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FAD041">
      <w:pPr>
        <w:spacing w:line="600" w:lineRule="exact"/>
        <w:jc w:val="center"/>
        <w:outlineLvl w:val="0"/>
        <w:rPr>
          <w:rFonts w:ascii="方正小标宋简体" w:hAnsi="宋体" w:eastAsia="方正小标宋简体"/>
          <w:color w:val="000000"/>
          <w:sz w:val="72"/>
          <w:szCs w:val="72"/>
        </w:rPr>
      </w:pPr>
      <w:bookmarkStart w:id="0" w:name="_Toc15306267"/>
    </w:p>
    <w:p w14:paraId="2AC3864D">
      <w:pPr>
        <w:spacing w:line="600" w:lineRule="exact"/>
        <w:jc w:val="center"/>
        <w:outlineLvl w:val="0"/>
        <w:rPr>
          <w:rFonts w:ascii="方正小标宋简体" w:hAnsi="宋体" w:eastAsia="方正小标宋简体"/>
          <w:color w:val="000000"/>
          <w:sz w:val="72"/>
          <w:szCs w:val="72"/>
        </w:rPr>
      </w:pPr>
    </w:p>
    <w:p w14:paraId="282B4A8E">
      <w:pPr>
        <w:spacing w:line="600" w:lineRule="exact"/>
        <w:jc w:val="center"/>
        <w:outlineLvl w:val="0"/>
        <w:rPr>
          <w:rFonts w:ascii="方正小标宋简体" w:hAnsi="宋体" w:eastAsia="方正小标宋简体"/>
          <w:color w:val="000000"/>
          <w:sz w:val="72"/>
          <w:szCs w:val="72"/>
        </w:rPr>
      </w:pPr>
    </w:p>
    <w:p w14:paraId="0F2AB6A4">
      <w:pPr>
        <w:spacing w:line="600" w:lineRule="exact"/>
        <w:jc w:val="center"/>
        <w:outlineLvl w:val="0"/>
        <w:rPr>
          <w:rFonts w:ascii="方正小标宋简体" w:hAnsi="宋体" w:eastAsia="方正小标宋简体"/>
          <w:color w:val="000000"/>
          <w:sz w:val="72"/>
          <w:szCs w:val="72"/>
        </w:rPr>
      </w:pPr>
    </w:p>
    <w:p w14:paraId="4786A119">
      <w:pPr>
        <w:spacing w:line="600" w:lineRule="exact"/>
        <w:jc w:val="center"/>
        <w:outlineLvl w:val="0"/>
        <w:rPr>
          <w:rFonts w:ascii="方正小标宋简体" w:hAnsi="宋体" w:eastAsia="方正小标宋简体"/>
          <w:color w:val="000000"/>
          <w:sz w:val="72"/>
          <w:szCs w:val="72"/>
        </w:rPr>
      </w:pPr>
    </w:p>
    <w:p w14:paraId="6773C4D6">
      <w:pPr>
        <w:spacing w:line="600" w:lineRule="exact"/>
        <w:jc w:val="center"/>
        <w:outlineLvl w:val="0"/>
        <w:rPr>
          <w:rFonts w:ascii="方正小标宋简体" w:hAnsi="宋体" w:eastAsia="方正小标宋简体"/>
          <w:color w:val="000000"/>
          <w:sz w:val="72"/>
          <w:szCs w:val="72"/>
        </w:rPr>
      </w:pPr>
    </w:p>
    <w:bookmarkEnd w:id="0"/>
    <w:p w14:paraId="6734B0AD">
      <w:pPr>
        <w:adjustRightInd w:val="0"/>
        <w:snapToGrid w:val="0"/>
        <w:spacing w:line="360" w:lineRule="auto"/>
        <w:jc w:val="center"/>
        <w:outlineLvl w:val="0"/>
        <w:rPr>
          <w:rFonts w:hint="eastAsia" w:ascii="方正小标宋简体" w:hAnsi="宋体" w:eastAsia="方正小标宋简体"/>
          <w:color w:val="000000"/>
          <w:sz w:val="72"/>
          <w:szCs w:val="72"/>
        </w:rPr>
      </w:pPr>
      <w:bookmarkStart w:id="1" w:name="_Toc15396475"/>
      <w:bookmarkStart w:id="2" w:name="_Toc15396597"/>
      <w:bookmarkStart w:id="3" w:name="_Toc15377425"/>
      <w:bookmarkStart w:id="4" w:name="_Toc15377193"/>
      <w:bookmarkStart w:id="5" w:name="_Toc15378441"/>
      <w:bookmarkStart w:id="6" w:name="_Toc47519986"/>
      <w:r>
        <w:rPr>
          <w:rFonts w:hint="eastAsia" w:ascii="方正小标宋简体" w:hAnsi="黑体" w:eastAsia="方正小标宋简体"/>
          <w:color w:val="000000"/>
          <w:sz w:val="72"/>
          <w:szCs w:val="72"/>
        </w:rPr>
        <w:t>2019</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Start w:id="7" w:name="_Toc15378442"/>
      <w:bookmarkStart w:id="8" w:name="_Toc15396598"/>
      <w:bookmarkStart w:id="9" w:name="_Toc15377194"/>
      <w:bookmarkStart w:id="10" w:name="_Toc15306268"/>
      <w:bookmarkStart w:id="11" w:name="_Toc15396476"/>
      <w:bookmarkStart w:id="12" w:name="_Toc47519987"/>
      <w:bookmarkStart w:id="13" w:name="_Toc15377426"/>
    </w:p>
    <w:p w14:paraId="61158377">
      <w:pPr>
        <w:adjustRightInd w:val="0"/>
        <w:snapToGrid w:val="0"/>
        <w:spacing w:line="360" w:lineRule="auto"/>
        <w:jc w:val="center"/>
        <w:outlineLvl w:val="0"/>
        <w:rPr>
          <w:rFonts w:hint="eastAsia" w:ascii="方正小标宋简体" w:hAnsi="宋体" w:eastAsia="方正小标宋简体"/>
          <w:color w:val="000000"/>
          <w:sz w:val="72"/>
          <w:szCs w:val="72"/>
        </w:rPr>
      </w:pPr>
      <w:r>
        <w:rPr>
          <w:rFonts w:hint="eastAsia" w:ascii="方正小标宋简体" w:hAnsi="宋体" w:eastAsia="方正小标宋简体"/>
          <w:color w:val="000000"/>
          <w:sz w:val="72"/>
          <w:szCs w:val="72"/>
          <w:lang w:eastAsia="zh-CN"/>
        </w:rPr>
        <w:t>中国共产党米易县委员会统战部</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14:paraId="79EC345A">
      <w:pPr>
        <w:widowControl/>
        <w:jc w:val="center"/>
        <w:rPr>
          <w:rFonts w:ascii="方正小标宋简体" w:hAnsi="宋体" w:eastAsia="方正小标宋简体"/>
          <w:color w:val="000000"/>
          <w:sz w:val="36"/>
          <w:szCs w:val="36"/>
        </w:rPr>
      </w:pPr>
      <w:r>
        <w:rPr>
          <w:rFonts w:ascii="方正小标宋简体" w:hAnsi="宋体" w:eastAsia="方正小标宋简体"/>
          <w:color w:val="000000"/>
          <w:sz w:val="36"/>
          <w:szCs w:val="36"/>
        </w:rPr>
        <w:br w:type="page"/>
      </w:r>
    </w:p>
    <w:p w14:paraId="07FA533B">
      <w:pPr>
        <w:widowControl/>
        <w:jc w:val="center"/>
        <w:rPr>
          <w:rFonts w:ascii="方正小标宋简体" w:hAnsi="宋体" w:eastAsia="方正小标宋简体"/>
          <w:color w:val="000000"/>
          <w:sz w:val="36"/>
          <w:szCs w:val="36"/>
        </w:rPr>
      </w:pPr>
    </w:p>
    <w:p w14:paraId="24DF64C9">
      <w:pPr>
        <w:widowControl/>
        <w:jc w:val="center"/>
        <w:rPr>
          <w:rFonts w:ascii="黑体" w:hAnsi="黑体" w:eastAsia="黑体"/>
          <w:b/>
          <w:bCs/>
          <w:color w:val="000000"/>
          <w:sz w:val="48"/>
          <w:szCs w:val="48"/>
        </w:rPr>
      </w:pPr>
      <w:r>
        <w:rPr>
          <w:rFonts w:hint="eastAsia" w:ascii="黑体" w:hAnsi="黑体" w:eastAsia="黑体"/>
          <w:b/>
          <w:bCs/>
          <w:color w:val="000000"/>
          <w:sz w:val="48"/>
          <w:szCs w:val="48"/>
        </w:rPr>
        <w:t>目</w:t>
      </w:r>
      <w:r>
        <w:rPr>
          <w:rFonts w:hint="eastAsia" w:ascii="黑体" w:hAnsi="黑体" w:eastAsia="黑体"/>
          <w:b/>
          <w:bCs/>
          <w:color w:val="000000"/>
          <w:sz w:val="48"/>
          <w:szCs w:val="48"/>
          <w:lang w:val="en-US" w:eastAsia="zh-CN"/>
        </w:rPr>
        <w:t xml:space="preserve">  </w:t>
      </w:r>
      <w:r>
        <w:rPr>
          <w:rFonts w:hint="eastAsia" w:ascii="黑体" w:hAnsi="黑体" w:eastAsia="黑体"/>
          <w:b/>
          <w:bCs/>
          <w:color w:val="000000"/>
          <w:sz w:val="48"/>
          <w:szCs w:val="48"/>
        </w:rPr>
        <w:t>录</w:t>
      </w:r>
    </w:p>
    <w:p w14:paraId="2FFC1DCA">
      <w:pPr>
        <w:widowControl/>
        <w:jc w:val="center"/>
        <w:rPr>
          <w:rFonts w:ascii="黑体" w:hAnsi="黑体" w:eastAsia="黑体" w:cstheme="minorBidi"/>
          <w:sz w:val="28"/>
          <w:szCs w:val="28"/>
        </w:rPr>
      </w:pPr>
    </w:p>
    <w:p w14:paraId="5CD6E9A7">
      <w:pPr>
        <w:pStyle w:val="10"/>
      </w:pPr>
      <w:r>
        <w:rPr>
          <w:rFonts w:hint="eastAsia"/>
        </w:rPr>
        <w:t>公开时间：2020年9月</w:t>
      </w:r>
      <w:r>
        <w:rPr>
          <w:rFonts w:hint="eastAsia"/>
          <w:lang w:val="en-US" w:eastAsia="zh-CN"/>
        </w:rPr>
        <w:t>3</w:t>
      </w:r>
      <w:r>
        <w:rPr>
          <w:rFonts w:hint="eastAsia"/>
        </w:rPr>
        <w:t>日</w:t>
      </w:r>
    </w:p>
    <w:p w14:paraId="7DFB06F0">
      <w:pPr>
        <w:pStyle w:val="10"/>
        <w:rPr>
          <w:rStyle w:val="15"/>
        </w:rPr>
      </w:pPr>
      <w:r>
        <w:fldChar w:fldCharType="begin"/>
      </w:r>
      <w:r>
        <w:rPr>
          <w:rStyle w:val="15"/>
        </w:rPr>
        <w:instrText xml:space="preserve"> TOC \o "1-2" \h \z \u </w:instrText>
      </w:r>
      <w:r>
        <w:fldChar w:fldCharType="separate"/>
      </w:r>
      <w:r>
        <w:fldChar w:fldCharType="begin"/>
      </w:r>
      <w:r>
        <w:rPr>
          <w:rStyle w:val="15"/>
        </w:rPr>
        <w:instrText xml:space="preserve"> HYPERLINK \l "_Toc47519989" </w:instrText>
      </w:r>
      <w:r>
        <w:fldChar w:fldCharType="separate"/>
      </w:r>
      <w:r>
        <w:rPr>
          <w:rStyle w:val="15"/>
          <w:rFonts w:hint="eastAsia"/>
        </w:rPr>
        <w:t>第一部分</w:t>
      </w:r>
      <w:r>
        <w:rPr>
          <w:rStyle w:val="15"/>
        </w:rPr>
        <w:t xml:space="preserve"> </w:t>
      </w:r>
      <w:r>
        <w:rPr>
          <w:rStyle w:val="15"/>
          <w:rFonts w:hint="eastAsia"/>
        </w:rPr>
        <w:t>部门概况</w:t>
      </w:r>
      <w:r>
        <w:rPr>
          <w:rStyle w:val="15"/>
        </w:rPr>
        <w:tab/>
      </w:r>
      <w:r>
        <w:rPr>
          <w:rFonts w:hint="eastAsia"/>
          <w:lang w:val="en-US" w:eastAsia="zh-CN"/>
        </w:rPr>
        <w:t>4</w:t>
      </w:r>
      <w:r>
        <w:fldChar w:fldCharType="end"/>
      </w:r>
    </w:p>
    <w:p w14:paraId="1996F1BE">
      <w:pPr>
        <w:pStyle w:val="10"/>
        <w:rPr>
          <w:rStyle w:val="15"/>
        </w:rPr>
      </w:pPr>
      <w:r>
        <w:fldChar w:fldCharType="begin"/>
      </w:r>
      <w:r>
        <w:rPr>
          <w:rStyle w:val="15"/>
        </w:rPr>
        <w:instrText xml:space="preserve"> HYPERLINK \l "_Toc47519990" </w:instrText>
      </w:r>
      <w:r>
        <w:fldChar w:fldCharType="separate"/>
      </w:r>
      <w:r>
        <w:rPr>
          <w:rStyle w:val="15"/>
          <w:rFonts w:hint="eastAsia"/>
        </w:rPr>
        <w:t>一、基本职能及主要工作</w:t>
      </w:r>
      <w:r>
        <w:rPr>
          <w:rStyle w:val="15"/>
        </w:rPr>
        <w:tab/>
      </w:r>
      <w:r>
        <w:rPr>
          <w:rFonts w:hint="eastAsia"/>
          <w:lang w:val="en-US" w:eastAsia="zh-CN"/>
        </w:rPr>
        <w:t>4</w:t>
      </w:r>
      <w:r>
        <w:fldChar w:fldCharType="end"/>
      </w:r>
    </w:p>
    <w:p w14:paraId="39A1BB9C">
      <w:pPr>
        <w:pStyle w:val="10"/>
        <w:rPr>
          <w:rStyle w:val="15"/>
        </w:rPr>
      </w:pPr>
      <w:r>
        <w:fldChar w:fldCharType="begin"/>
      </w:r>
      <w:r>
        <w:rPr>
          <w:rStyle w:val="15"/>
        </w:rPr>
        <w:instrText xml:space="preserve"> HYPERLINK \l "_Toc47519991" </w:instrText>
      </w:r>
      <w:r>
        <w:fldChar w:fldCharType="separate"/>
      </w:r>
      <w:r>
        <w:rPr>
          <w:rStyle w:val="15"/>
          <w:rFonts w:hint="eastAsia"/>
        </w:rPr>
        <w:t>二、机构设置</w:t>
      </w:r>
      <w:r>
        <w:rPr>
          <w:rStyle w:val="15"/>
        </w:rPr>
        <w:tab/>
      </w:r>
      <w:r>
        <w:rPr>
          <w:rFonts w:hint="eastAsia"/>
          <w:lang w:val="en-US" w:eastAsia="zh-CN"/>
        </w:rPr>
        <w:t>9</w:t>
      </w:r>
      <w:r>
        <w:fldChar w:fldCharType="end"/>
      </w:r>
    </w:p>
    <w:p w14:paraId="799BBC47">
      <w:pPr>
        <w:pStyle w:val="10"/>
        <w:rPr>
          <w:rStyle w:val="15"/>
          <w:rFonts w:hint="eastAsia" w:eastAsia="仿宋"/>
          <w:lang w:val="en-US" w:eastAsia="zh-CN"/>
        </w:rPr>
      </w:pPr>
      <w:r>
        <w:fldChar w:fldCharType="begin"/>
      </w:r>
      <w:r>
        <w:rPr>
          <w:rStyle w:val="15"/>
        </w:rPr>
        <w:instrText xml:space="preserve"> HYPERLINK \l "_Toc47519992" </w:instrText>
      </w:r>
      <w:r>
        <w:fldChar w:fldCharType="separate"/>
      </w:r>
      <w:r>
        <w:rPr>
          <w:rStyle w:val="15"/>
          <w:rFonts w:hint="eastAsia"/>
        </w:rPr>
        <w:t>第二部分</w:t>
      </w:r>
      <w:r>
        <w:rPr>
          <w:rStyle w:val="15"/>
        </w:rPr>
        <w:t xml:space="preserve"> 2019</w:t>
      </w:r>
      <w:r>
        <w:rPr>
          <w:rStyle w:val="15"/>
          <w:rFonts w:hint="eastAsia"/>
        </w:rPr>
        <w:t>年度部门决算情况说明</w:t>
      </w:r>
      <w:r>
        <w:rPr>
          <w:rStyle w:val="15"/>
        </w:rPr>
        <w:tab/>
      </w:r>
      <w:r>
        <w:rPr>
          <w:rFonts w:hint="eastAsia"/>
          <w:lang w:val="en-US" w:eastAsia="zh-CN"/>
        </w:rPr>
        <w:t>1</w:t>
      </w:r>
      <w:r>
        <w:fldChar w:fldCharType="end"/>
      </w:r>
      <w:r>
        <w:rPr>
          <w:rFonts w:hint="eastAsia"/>
          <w:lang w:val="en-US" w:eastAsia="zh-CN"/>
        </w:rPr>
        <w:t>0</w:t>
      </w:r>
    </w:p>
    <w:p w14:paraId="7B6BBD9F">
      <w:pPr>
        <w:pStyle w:val="10"/>
        <w:rPr>
          <w:rStyle w:val="15"/>
          <w:rFonts w:hint="eastAsia" w:eastAsia="仿宋"/>
          <w:lang w:val="en-US" w:eastAsia="zh-CN"/>
        </w:rPr>
      </w:pPr>
      <w:r>
        <w:fldChar w:fldCharType="begin"/>
      </w:r>
      <w:r>
        <w:rPr>
          <w:rStyle w:val="15"/>
        </w:rPr>
        <w:instrText xml:space="preserve"> HYPERLINK \l "_Toc47519994" </w:instrText>
      </w:r>
      <w:r>
        <w:fldChar w:fldCharType="separate"/>
      </w:r>
      <w:r>
        <w:rPr>
          <w:rStyle w:val="15"/>
          <w:rFonts w:hint="eastAsia"/>
          <w:lang w:eastAsia="zh-CN"/>
        </w:rPr>
        <w:t>一、</w:t>
      </w:r>
      <w:r>
        <w:rPr>
          <w:rStyle w:val="15"/>
          <w:rFonts w:hint="eastAsia"/>
        </w:rPr>
        <w:t>收入支出决算总体情况说明</w:t>
      </w:r>
      <w:r>
        <w:rPr>
          <w:rStyle w:val="15"/>
        </w:rPr>
        <w:tab/>
      </w:r>
      <w:r>
        <w:rPr>
          <w:rFonts w:hint="eastAsia"/>
          <w:lang w:val="en-US" w:eastAsia="zh-CN"/>
        </w:rPr>
        <w:t>1</w:t>
      </w:r>
      <w:r>
        <w:fldChar w:fldCharType="end"/>
      </w:r>
      <w:r>
        <w:rPr>
          <w:rFonts w:hint="eastAsia"/>
          <w:lang w:val="en-US" w:eastAsia="zh-CN"/>
        </w:rPr>
        <w:t>0</w:t>
      </w:r>
    </w:p>
    <w:p w14:paraId="5DDA0640">
      <w:pPr>
        <w:pStyle w:val="10"/>
        <w:rPr>
          <w:rStyle w:val="15"/>
          <w:rFonts w:hint="eastAsia" w:eastAsia="仿宋"/>
          <w:lang w:val="en-US" w:eastAsia="zh-CN"/>
        </w:rPr>
      </w:pPr>
      <w:r>
        <w:fldChar w:fldCharType="begin"/>
      </w:r>
      <w:r>
        <w:rPr>
          <w:rStyle w:val="15"/>
        </w:rPr>
        <w:instrText xml:space="preserve"> HYPERLINK \l "_Toc47519995" </w:instrText>
      </w:r>
      <w:r>
        <w:fldChar w:fldCharType="separate"/>
      </w:r>
      <w:r>
        <w:rPr>
          <w:rStyle w:val="15"/>
          <w:rFonts w:hint="eastAsia"/>
          <w:lang w:eastAsia="zh-CN"/>
        </w:rPr>
        <w:t>二、</w:t>
      </w:r>
      <w:r>
        <w:rPr>
          <w:rStyle w:val="15"/>
          <w:rFonts w:hint="eastAsia"/>
        </w:rPr>
        <w:t>收入决算情况说明</w:t>
      </w:r>
      <w:r>
        <w:rPr>
          <w:rStyle w:val="15"/>
        </w:rPr>
        <w:tab/>
      </w:r>
      <w:r>
        <w:rPr>
          <w:rFonts w:hint="eastAsia"/>
          <w:lang w:val="en-US" w:eastAsia="zh-CN"/>
        </w:rPr>
        <w:t>1</w:t>
      </w:r>
      <w:r>
        <w:fldChar w:fldCharType="end"/>
      </w:r>
      <w:r>
        <w:rPr>
          <w:rFonts w:hint="eastAsia"/>
          <w:lang w:val="en-US" w:eastAsia="zh-CN"/>
        </w:rPr>
        <w:t>0</w:t>
      </w:r>
    </w:p>
    <w:p w14:paraId="066EFCA2">
      <w:pPr>
        <w:pStyle w:val="10"/>
        <w:rPr>
          <w:rStyle w:val="15"/>
          <w:rFonts w:hint="eastAsia" w:eastAsia="仿宋"/>
          <w:lang w:val="en-US" w:eastAsia="zh-CN"/>
        </w:rPr>
      </w:pPr>
      <w:r>
        <w:fldChar w:fldCharType="begin"/>
      </w:r>
      <w:r>
        <w:rPr>
          <w:rStyle w:val="15"/>
        </w:rPr>
        <w:instrText xml:space="preserve"> HYPERLINK \l "_Toc47519997" </w:instrText>
      </w:r>
      <w:r>
        <w:fldChar w:fldCharType="separate"/>
      </w:r>
      <w:r>
        <w:rPr>
          <w:rFonts w:hint="eastAsia"/>
          <w:lang w:eastAsia="zh-CN"/>
        </w:rPr>
        <w:t>三、</w:t>
      </w:r>
      <w:r>
        <w:rPr>
          <w:rStyle w:val="15"/>
          <w:rFonts w:hint="eastAsia"/>
        </w:rPr>
        <w:t>支出决算情况说明</w:t>
      </w:r>
      <w:r>
        <w:rPr>
          <w:rStyle w:val="15"/>
        </w:rPr>
        <w:tab/>
      </w:r>
      <w:r>
        <w:rPr>
          <w:rFonts w:hint="eastAsia"/>
          <w:lang w:val="en-US" w:eastAsia="zh-CN"/>
        </w:rPr>
        <w:t>1</w:t>
      </w:r>
      <w:r>
        <w:fldChar w:fldCharType="end"/>
      </w:r>
      <w:r>
        <w:rPr>
          <w:rFonts w:hint="eastAsia"/>
          <w:lang w:val="en-US" w:eastAsia="zh-CN"/>
        </w:rPr>
        <w:t>1</w:t>
      </w:r>
    </w:p>
    <w:p w14:paraId="7E0FCBCF">
      <w:pPr>
        <w:pStyle w:val="10"/>
        <w:rPr>
          <w:rStyle w:val="15"/>
          <w:rFonts w:hint="eastAsia" w:eastAsia="仿宋"/>
          <w:lang w:val="en-US" w:eastAsia="zh-CN"/>
        </w:rPr>
      </w:pPr>
      <w:r>
        <w:fldChar w:fldCharType="begin"/>
      </w:r>
      <w:r>
        <w:rPr>
          <w:rStyle w:val="15"/>
        </w:rPr>
        <w:instrText xml:space="preserve"> HYPERLINK \l "_Toc47519998" </w:instrText>
      </w:r>
      <w:r>
        <w:fldChar w:fldCharType="separate"/>
      </w:r>
      <w:r>
        <w:rPr>
          <w:rStyle w:val="15"/>
          <w:rFonts w:hint="eastAsia"/>
          <w:lang w:eastAsia="zh-CN"/>
        </w:rPr>
        <w:t>四、</w:t>
      </w:r>
      <w:r>
        <w:rPr>
          <w:rStyle w:val="15"/>
          <w:rFonts w:hint="eastAsia"/>
        </w:rPr>
        <w:t>财政拨款收入支出决算总体情况说明</w:t>
      </w:r>
      <w:r>
        <w:rPr>
          <w:rStyle w:val="15"/>
        </w:rPr>
        <w:tab/>
      </w:r>
      <w:r>
        <w:rPr>
          <w:rFonts w:hint="eastAsia"/>
          <w:lang w:val="en-US" w:eastAsia="zh-CN"/>
        </w:rPr>
        <w:t>1</w:t>
      </w:r>
      <w:r>
        <w:fldChar w:fldCharType="end"/>
      </w:r>
      <w:r>
        <w:rPr>
          <w:rFonts w:hint="eastAsia"/>
          <w:lang w:val="en-US" w:eastAsia="zh-CN"/>
        </w:rPr>
        <w:t>2</w:t>
      </w:r>
    </w:p>
    <w:p w14:paraId="3B8D14AE">
      <w:pPr>
        <w:pStyle w:val="10"/>
        <w:rPr>
          <w:rStyle w:val="15"/>
          <w:rFonts w:hint="eastAsia" w:eastAsia="仿宋"/>
          <w:lang w:val="en-US" w:eastAsia="zh-CN"/>
        </w:rPr>
      </w:pPr>
      <w:r>
        <w:fldChar w:fldCharType="begin"/>
      </w:r>
      <w:r>
        <w:rPr>
          <w:rStyle w:val="15"/>
        </w:rPr>
        <w:instrText xml:space="preserve"> HYPERLINK \l "_Toc47519999" </w:instrText>
      </w:r>
      <w:r>
        <w:fldChar w:fldCharType="separate"/>
      </w:r>
      <w:r>
        <w:rPr>
          <w:rStyle w:val="15"/>
          <w:rFonts w:hint="eastAsia"/>
          <w:lang w:eastAsia="zh-CN"/>
        </w:rPr>
        <w:t>五、</w:t>
      </w:r>
      <w:r>
        <w:rPr>
          <w:rStyle w:val="15"/>
          <w:rFonts w:hint="eastAsia"/>
        </w:rPr>
        <w:t>一般公共预算财政拨款支出决算情况说明</w:t>
      </w:r>
      <w:r>
        <w:rPr>
          <w:rStyle w:val="15"/>
        </w:rPr>
        <w:tab/>
      </w:r>
      <w:r>
        <w:rPr>
          <w:rFonts w:hint="eastAsia"/>
          <w:lang w:val="en-US" w:eastAsia="zh-CN"/>
        </w:rPr>
        <w:t>1</w:t>
      </w:r>
      <w:r>
        <w:fldChar w:fldCharType="end"/>
      </w:r>
      <w:r>
        <w:rPr>
          <w:rFonts w:hint="eastAsia"/>
          <w:lang w:val="en-US" w:eastAsia="zh-CN"/>
        </w:rPr>
        <w:t>2</w:t>
      </w:r>
    </w:p>
    <w:p w14:paraId="0C60D028">
      <w:pPr>
        <w:pStyle w:val="10"/>
        <w:rPr>
          <w:rStyle w:val="15"/>
          <w:rFonts w:hint="eastAsia" w:eastAsia="仿宋"/>
          <w:lang w:val="en-US" w:eastAsia="zh-CN"/>
        </w:rPr>
      </w:pPr>
      <w:r>
        <w:fldChar w:fldCharType="begin"/>
      </w:r>
      <w:r>
        <w:rPr>
          <w:rStyle w:val="15"/>
        </w:rPr>
        <w:instrText xml:space="preserve"> HYPERLINK \l "_Toc47520000" </w:instrText>
      </w:r>
      <w:r>
        <w:fldChar w:fldCharType="separate"/>
      </w:r>
      <w:r>
        <w:rPr>
          <w:rStyle w:val="15"/>
          <w:rFonts w:hint="eastAsia"/>
          <w:lang w:eastAsia="zh-CN"/>
        </w:rPr>
        <w:t>六、</w:t>
      </w:r>
      <w:r>
        <w:rPr>
          <w:rStyle w:val="15"/>
          <w:rFonts w:hint="eastAsia"/>
        </w:rPr>
        <w:t>一般公共预算财政拨款基本支出决算情况说明</w:t>
      </w:r>
      <w:r>
        <w:rPr>
          <w:rStyle w:val="15"/>
        </w:rPr>
        <w:tab/>
      </w:r>
      <w:r>
        <w:rPr>
          <w:rFonts w:hint="eastAsia"/>
          <w:lang w:val="en-US" w:eastAsia="zh-CN"/>
        </w:rPr>
        <w:t>1</w:t>
      </w:r>
      <w:r>
        <w:fldChar w:fldCharType="end"/>
      </w:r>
      <w:r>
        <w:rPr>
          <w:rFonts w:hint="eastAsia"/>
          <w:lang w:val="en-US" w:eastAsia="zh-CN"/>
        </w:rPr>
        <w:t>5</w:t>
      </w:r>
    </w:p>
    <w:p w14:paraId="5B0B5384">
      <w:pPr>
        <w:pStyle w:val="10"/>
        <w:jc w:val="both"/>
        <w:rPr>
          <w:rFonts w:hint="default" w:eastAsia="仿宋"/>
          <w:lang w:val="en-US" w:eastAsia="zh-CN"/>
        </w:rPr>
      </w:pPr>
      <w:r>
        <w:rPr>
          <w:rStyle w:val="15"/>
          <w:rFonts w:hint="eastAsia"/>
          <w:color w:val="auto"/>
          <w:u w:val="none"/>
          <w:lang w:eastAsia="zh-CN"/>
        </w:rPr>
        <w:t>七、</w:t>
      </w:r>
      <w:r>
        <w:rPr>
          <w:rStyle w:val="15"/>
          <w:rFonts w:hint="eastAsia"/>
          <w:color w:val="auto"/>
          <w:u w:val="none"/>
        </w:rPr>
        <w:t>一般公共预算财政拨款“三公”经费支出决算情况说明</w:t>
      </w:r>
      <w:r>
        <w:rPr>
          <w:rStyle w:val="15"/>
        </w:rPr>
        <w:tab/>
      </w:r>
      <w:r>
        <w:rPr>
          <w:rStyle w:val="15"/>
          <w:rFonts w:hint="eastAsia"/>
          <w:color w:val="auto"/>
          <w:u w:val="none"/>
          <w:lang w:val="en-US" w:eastAsia="zh-CN"/>
        </w:rPr>
        <w:t>15</w:t>
      </w:r>
    </w:p>
    <w:p w14:paraId="32F876A9">
      <w:pPr>
        <w:pStyle w:val="10"/>
        <w:jc w:val="left"/>
        <w:rPr>
          <w:rStyle w:val="15"/>
          <w:rFonts w:hint="default" w:eastAsia="仿宋"/>
          <w:color w:val="auto"/>
          <w:u w:val="none"/>
          <w:lang w:val="en-US" w:eastAsia="zh-CN"/>
        </w:rPr>
      </w:pPr>
      <w:r>
        <w:rPr>
          <w:rStyle w:val="15"/>
          <w:rFonts w:hint="eastAsia"/>
          <w:color w:val="auto"/>
          <w:u w:val="none"/>
          <w:lang w:eastAsia="zh-CN"/>
        </w:rPr>
        <w:t>八、</w:t>
      </w:r>
      <w:r>
        <w:rPr>
          <w:rStyle w:val="15"/>
          <w:rFonts w:hint="eastAsia"/>
          <w:color w:val="auto"/>
          <w:u w:val="none"/>
        </w:rPr>
        <w:t>政府性基金预算财政拨款收入支出情况说明</w:t>
      </w:r>
      <w:r>
        <w:rPr>
          <w:rStyle w:val="15"/>
        </w:rPr>
        <w:tab/>
      </w:r>
      <w:r>
        <w:rPr>
          <w:rStyle w:val="15"/>
          <w:rFonts w:hint="eastAsia"/>
          <w:color w:val="auto"/>
          <w:u w:val="none"/>
          <w:lang w:val="en-US" w:eastAsia="zh-CN"/>
        </w:rPr>
        <w:t>20</w:t>
      </w:r>
    </w:p>
    <w:p w14:paraId="21A936EF">
      <w:pPr>
        <w:pStyle w:val="11"/>
        <w:adjustRightInd w:val="0"/>
        <w:snapToGrid w:val="0"/>
        <w:spacing w:line="440" w:lineRule="exact"/>
        <w:ind w:left="0" w:leftChars="0" w:firstLine="0" w:firstLineChars="0"/>
        <w:jc w:val="left"/>
        <w:rPr>
          <w:rFonts w:hint="default" w:ascii="仿宋" w:hAnsi="仿宋" w:eastAsia="宋体"/>
          <w:sz w:val="28"/>
          <w:szCs w:val="28"/>
          <w:lang w:val="en-US" w:eastAsia="zh-CN"/>
        </w:rPr>
      </w:pPr>
      <w:r>
        <w:rPr>
          <w:rFonts w:hint="eastAsia"/>
          <w:sz w:val="28"/>
          <w:szCs w:val="28"/>
          <w:lang w:val="en-US" w:eastAsia="zh-CN"/>
        </w:rPr>
        <w:t>九、</w:t>
      </w:r>
      <w:r>
        <w:rPr>
          <w:sz w:val="28"/>
          <w:szCs w:val="28"/>
        </w:rPr>
        <w:t>国</w:t>
      </w:r>
      <w:r>
        <w:rPr>
          <w:rFonts w:hint="eastAsia"/>
          <w:sz w:val="28"/>
          <w:szCs w:val="28"/>
        </w:rPr>
        <w:t>有资本经营预算支出决算情况说明</w:t>
      </w:r>
      <w:r>
        <w:rPr>
          <w:rStyle w:val="15"/>
          <w:rFonts w:hint="eastAsia"/>
          <w:color w:val="auto"/>
          <w:sz w:val="28"/>
          <w:szCs w:val="28"/>
          <w:u w:val="none"/>
        </w:rPr>
        <w:t>............</w:t>
      </w:r>
      <w:r>
        <w:rPr>
          <w:rStyle w:val="15"/>
          <w:rFonts w:hint="eastAsia"/>
          <w:color w:val="auto"/>
          <w:sz w:val="28"/>
          <w:szCs w:val="28"/>
          <w:u w:val="none"/>
          <w:lang w:val="en-US" w:eastAsia="zh-CN"/>
        </w:rPr>
        <w:t>..............................20</w:t>
      </w:r>
      <w:r>
        <w:rPr>
          <w:rStyle w:val="15"/>
          <w:rFonts w:hint="eastAsia"/>
          <w:color w:val="auto"/>
          <w:sz w:val="28"/>
          <w:szCs w:val="28"/>
          <w:u w:val="none"/>
        </w:rPr>
        <w:t xml:space="preserve"> </w:t>
      </w:r>
    </w:p>
    <w:p w14:paraId="76E453FC">
      <w:pPr>
        <w:pStyle w:val="10"/>
        <w:rPr>
          <w:rFonts w:hint="eastAsia" w:eastAsia="仿宋"/>
          <w:sz w:val="28"/>
          <w:szCs w:val="28"/>
          <w:lang w:val="en-US" w:eastAsia="zh-CN"/>
        </w:rPr>
      </w:pPr>
      <w:r>
        <w:fldChar w:fldCharType="begin"/>
      </w:r>
      <w:r>
        <w:rPr>
          <w:rStyle w:val="15"/>
        </w:rPr>
        <w:instrText xml:space="preserve"> HYPERLINK \l "_Toc47519999" </w:instrText>
      </w:r>
      <w:r>
        <w:fldChar w:fldCharType="separate"/>
      </w:r>
      <w:r>
        <w:rPr>
          <w:rStyle w:val="15"/>
          <w:rFonts w:hint="eastAsia"/>
          <w:lang w:eastAsia="zh-CN"/>
        </w:rPr>
        <w:t>十、</w:t>
      </w:r>
      <w:r>
        <w:rPr>
          <w:rFonts w:hint="eastAsia" w:asciiTheme="majorEastAsia" w:hAnsiTheme="majorEastAsia" w:eastAsiaTheme="majorEastAsia" w:cstheme="majorEastAsia"/>
          <w:sz w:val="28"/>
          <w:szCs w:val="28"/>
        </w:rPr>
        <w:t>其他重要事项的情况说明</w:t>
      </w:r>
      <w:r>
        <w:rPr>
          <w:rStyle w:val="15"/>
        </w:rPr>
        <w:tab/>
      </w:r>
      <w:r>
        <w:rPr>
          <w:rFonts w:hint="eastAsia"/>
          <w:lang w:val="en-US" w:eastAsia="zh-CN"/>
        </w:rPr>
        <w:t>2</w:t>
      </w:r>
      <w:r>
        <w:fldChar w:fldCharType="end"/>
      </w:r>
      <w:r>
        <w:rPr>
          <w:rFonts w:hint="eastAsia"/>
          <w:lang w:val="en-US" w:eastAsia="zh-CN"/>
        </w:rPr>
        <w:t>0</w:t>
      </w:r>
    </w:p>
    <w:p w14:paraId="42326463">
      <w:pPr>
        <w:pStyle w:val="10"/>
        <w:rPr>
          <w:rStyle w:val="15"/>
          <w:rFonts w:hint="eastAsia" w:eastAsia="仿宋"/>
          <w:lang w:val="en-US" w:eastAsia="zh-CN"/>
        </w:rPr>
      </w:pPr>
      <w:r>
        <w:fldChar w:fldCharType="begin"/>
      </w:r>
      <w:r>
        <w:rPr>
          <w:rStyle w:val="15"/>
        </w:rPr>
        <w:instrText xml:space="preserve"> HYPERLINK \l "_Toc47520001" </w:instrText>
      </w:r>
      <w:r>
        <w:fldChar w:fldCharType="separate"/>
      </w:r>
      <w:r>
        <w:rPr>
          <w:rStyle w:val="15"/>
          <w:rFonts w:hint="eastAsia"/>
        </w:rPr>
        <w:t>第三部分 名词解释</w:t>
      </w:r>
      <w:r>
        <w:rPr>
          <w:rStyle w:val="15"/>
        </w:rPr>
        <w:tab/>
      </w:r>
      <w:r>
        <w:rPr>
          <w:rFonts w:hint="eastAsia"/>
          <w:lang w:val="en-US" w:eastAsia="zh-CN"/>
        </w:rPr>
        <w:t>2</w:t>
      </w:r>
      <w:r>
        <w:fldChar w:fldCharType="end"/>
      </w:r>
      <w:r>
        <w:rPr>
          <w:rFonts w:hint="eastAsia"/>
          <w:lang w:val="en-US" w:eastAsia="zh-CN"/>
        </w:rPr>
        <w:t>3</w:t>
      </w:r>
    </w:p>
    <w:p w14:paraId="28B3C6BE">
      <w:pPr>
        <w:pStyle w:val="10"/>
        <w:rPr>
          <w:rFonts w:hint="eastAsia" w:eastAsia="仿宋"/>
          <w:lang w:val="en-US" w:eastAsia="zh-CN"/>
        </w:rPr>
      </w:pPr>
      <w:r>
        <w:fldChar w:fldCharType="begin"/>
      </w:r>
      <w:r>
        <w:rPr>
          <w:rStyle w:val="15"/>
        </w:rPr>
        <w:instrText xml:space="preserve"> HYPERLINK \l "_Toc47520002" </w:instrText>
      </w:r>
      <w:r>
        <w:fldChar w:fldCharType="separate"/>
      </w:r>
      <w:r>
        <w:rPr>
          <w:rStyle w:val="15"/>
          <w:rFonts w:hint="eastAsia"/>
        </w:rPr>
        <w:t>第四部分</w:t>
      </w:r>
      <w:r>
        <w:rPr>
          <w:rStyle w:val="15"/>
        </w:rPr>
        <w:t xml:space="preserve"> </w:t>
      </w:r>
      <w:r>
        <w:rPr>
          <w:rStyle w:val="15"/>
          <w:rFonts w:hint="eastAsia"/>
          <w:lang w:eastAsia="zh-CN"/>
        </w:rPr>
        <w:t>附件</w:t>
      </w:r>
      <w:r>
        <w:rPr>
          <w:rStyle w:val="15"/>
        </w:rPr>
        <w:tab/>
      </w:r>
      <w:r>
        <w:rPr>
          <w:rFonts w:hint="eastAsia"/>
          <w:lang w:val="en-US" w:eastAsia="zh-CN"/>
        </w:rPr>
        <w:t>2</w:t>
      </w:r>
      <w:r>
        <w:fldChar w:fldCharType="end"/>
      </w:r>
      <w:r>
        <w:rPr>
          <w:rFonts w:hint="eastAsia"/>
          <w:lang w:val="en-US" w:eastAsia="zh-CN"/>
        </w:rPr>
        <w:t>4</w:t>
      </w:r>
    </w:p>
    <w:p w14:paraId="63A78006">
      <w:pPr>
        <w:pStyle w:val="10"/>
        <w:rPr>
          <w:rFonts w:hint="eastAsia" w:eastAsia="仿宋"/>
          <w:lang w:val="en-US" w:eastAsia="zh-CN"/>
        </w:rPr>
      </w:pPr>
      <w:r>
        <w:rPr>
          <w:rFonts w:hint="eastAsia"/>
          <w:lang w:val="en-US" w:eastAsia="zh-CN"/>
        </w:rPr>
        <w:t xml:space="preserve">  </w:t>
      </w:r>
      <w:r>
        <w:fldChar w:fldCharType="begin"/>
      </w:r>
      <w:r>
        <w:rPr>
          <w:rStyle w:val="15"/>
        </w:rPr>
        <w:instrText xml:space="preserve"> HYPERLINK \l "_Toc47520002" </w:instrText>
      </w:r>
      <w:r>
        <w:fldChar w:fldCharType="separate"/>
      </w:r>
      <w:r>
        <w:rPr>
          <w:rStyle w:val="15"/>
        </w:rPr>
        <w:t xml:space="preserve"> </w:t>
      </w:r>
      <w:r>
        <w:rPr>
          <w:rStyle w:val="15"/>
          <w:rFonts w:hint="eastAsia"/>
          <w:lang w:val="en-US" w:eastAsia="zh-CN"/>
        </w:rPr>
        <w:t xml:space="preserve"> </w:t>
      </w:r>
      <w:r>
        <w:rPr>
          <w:rStyle w:val="15"/>
          <w:rFonts w:hint="eastAsia"/>
          <w:lang w:eastAsia="zh-CN"/>
        </w:rPr>
        <w:t>附件</w:t>
      </w:r>
      <w:r>
        <w:rPr>
          <w:rStyle w:val="15"/>
          <w:rFonts w:hint="eastAsia"/>
          <w:lang w:val="en-US" w:eastAsia="zh-CN"/>
        </w:rPr>
        <w:t>1</w:t>
      </w:r>
      <w:r>
        <w:rPr>
          <w:rStyle w:val="15"/>
        </w:rPr>
        <w:tab/>
      </w:r>
      <w:r>
        <w:rPr>
          <w:rFonts w:hint="eastAsia"/>
          <w:lang w:val="en-US" w:eastAsia="zh-CN"/>
        </w:rPr>
        <w:t>2</w:t>
      </w:r>
      <w:r>
        <w:fldChar w:fldCharType="end"/>
      </w:r>
      <w:r>
        <w:rPr>
          <w:rFonts w:hint="eastAsia"/>
          <w:lang w:val="en-US" w:eastAsia="zh-CN"/>
        </w:rPr>
        <w:t>4</w:t>
      </w:r>
    </w:p>
    <w:p w14:paraId="2638B8E0">
      <w:pPr>
        <w:pStyle w:val="10"/>
        <w:rPr>
          <w:rFonts w:hint="eastAsia" w:eastAsia="仿宋"/>
          <w:lang w:val="en-US" w:eastAsia="zh-CN"/>
        </w:rPr>
      </w:pPr>
      <w:r>
        <w:fldChar w:fldCharType="begin"/>
      </w:r>
      <w:r>
        <w:rPr>
          <w:rStyle w:val="15"/>
        </w:rPr>
        <w:instrText xml:space="preserve"> HYPERLINK \l "_Toc47520002" </w:instrText>
      </w:r>
      <w:r>
        <w:fldChar w:fldCharType="separate"/>
      </w:r>
      <w:r>
        <w:rPr>
          <w:rStyle w:val="15"/>
        </w:rPr>
        <w:t xml:space="preserve"> </w:t>
      </w:r>
      <w:r>
        <w:rPr>
          <w:rStyle w:val="15"/>
          <w:rFonts w:hint="eastAsia"/>
          <w:lang w:val="en-US" w:eastAsia="zh-CN"/>
        </w:rPr>
        <w:t xml:space="preserve">   </w:t>
      </w:r>
      <w:r>
        <w:rPr>
          <w:rStyle w:val="15"/>
          <w:rFonts w:hint="eastAsia" w:asciiTheme="majorEastAsia" w:hAnsiTheme="majorEastAsia" w:eastAsiaTheme="majorEastAsia" w:cstheme="majorEastAsia"/>
          <w:lang w:eastAsia="zh-CN"/>
        </w:rPr>
        <w:t>附</w:t>
      </w:r>
      <w:r>
        <w:rPr>
          <w:rStyle w:val="15"/>
          <w:rFonts w:hint="eastAsia"/>
          <w:lang w:eastAsia="zh-CN"/>
        </w:rPr>
        <w:t>件</w:t>
      </w:r>
      <w:r>
        <w:rPr>
          <w:rStyle w:val="15"/>
          <w:rFonts w:hint="eastAsia"/>
          <w:lang w:val="en-US" w:eastAsia="zh-CN"/>
        </w:rPr>
        <w:t>2</w:t>
      </w:r>
      <w:r>
        <w:rPr>
          <w:rStyle w:val="15"/>
        </w:rPr>
        <w:tab/>
      </w:r>
      <w:r>
        <w:rPr>
          <w:rFonts w:hint="eastAsia"/>
          <w:lang w:val="en-US" w:eastAsia="zh-CN"/>
        </w:rPr>
        <w:t>3</w:t>
      </w:r>
      <w:r>
        <w:fldChar w:fldCharType="end"/>
      </w:r>
      <w:r>
        <w:rPr>
          <w:rFonts w:hint="eastAsia"/>
          <w:lang w:val="en-US" w:eastAsia="zh-CN"/>
        </w:rPr>
        <w:t>7</w:t>
      </w:r>
    </w:p>
    <w:p w14:paraId="13DE3859">
      <w:pPr>
        <w:pStyle w:val="1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fldChar w:fldCharType="begin"/>
      </w:r>
      <w:r>
        <w:rPr>
          <w:rStyle w:val="15"/>
          <w:rFonts w:hint="eastAsia" w:asciiTheme="minorEastAsia" w:hAnsiTheme="minorEastAsia" w:eastAsiaTheme="minorEastAsia" w:cstheme="minorEastAsia"/>
        </w:rPr>
        <w:instrText xml:space="preserve"> HYPERLINK \l "_Toc47520002" </w:instrText>
      </w:r>
      <w:r>
        <w:rPr>
          <w:rFonts w:hint="eastAsia" w:asciiTheme="minorEastAsia" w:hAnsiTheme="minorEastAsia" w:eastAsiaTheme="minorEastAsia" w:cstheme="minorEastAsia"/>
        </w:rPr>
        <w:fldChar w:fldCharType="separate"/>
      </w:r>
      <w:r>
        <w:rPr>
          <w:rStyle w:val="15"/>
          <w:rFonts w:hint="eastAsia" w:asciiTheme="minorEastAsia" w:hAnsiTheme="minorEastAsia" w:eastAsiaTheme="minorEastAsia" w:cstheme="minorEastAsia"/>
        </w:rPr>
        <w:t>第</w:t>
      </w:r>
      <w:r>
        <w:rPr>
          <w:rStyle w:val="15"/>
          <w:rFonts w:hint="eastAsia" w:asciiTheme="minorEastAsia" w:hAnsiTheme="minorEastAsia" w:eastAsiaTheme="minorEastAsia" w:cstheme="minorEastAsia"/>
          <w:lang w:eastAsia="zh-CN"/>
        </w:rPr>
        <w:t>五</w:t>
      </w:r>
      <w:r>
        <w:rPr>
          <w:rStyle w:val="15"/>
          <w:rFonts w:hint="eastAsia" w:asciiTheme="minorEastAsia" w:hAnsiTheme="minorEastAsia" w:eastAsiaTheme="minorEastAsia" w:cstheme="minorEastAsia"/>
        </w:rPr>
        <w:t xml:space="preserve">部分 </w:t>
      </w:r>
      <w:r>
        <w:rPr>
          <w:rStyle w:val="15"/>
          <w:rFonts w:hint="eastAsia" w:asciiTheme="minorEastAsia" w:hAnsiTheme="minorEastAsia" w:eastAsiaTheme="minorEastAsia" w:cstheme="minorEastAsia"/>
          <w:lang w:eastAsia="zh-CN"/>
        </w:rPr>
        <w:t>附表</w:t>
      </w:r>
      <w:r>
        <w:rPr>
          <w:rStyle w:val="15"/>
          <w:rFonts w:hint="eastAsia" w:asciiTheme="minorEastAsia" w:hAnsiTheme="minorEastAsia" w:eastAsiaTheme="minorEastAsia" w:cstheme="minorEastAsia"/>
        </w:rPr>
        <w:tab/>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lang w:val="en-US" w:eastAsia="zh-CN"/>
        </w:rPr>
        <w:t>8</w:t>
      </w:r>
    </w:p>
    <w:p w14:paraId="60EB0B9F">
      <w:pPr>
        <w:pStyle w:val="10"/>
        <w:rPr>
          <w:rStyle w:val="15"/>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fldChar w:fldCharType="begin"/>
      </w:r>
      <w:r>
        <w:rPr>
          <w:rStyle w:val="15"/>
          <w:rFonts w:hint="eastAsia" w:asciiTheme="minorEastAsia" w:hAnsiTheme="minorEastAsia" w:eastAsiaTheme="minorEastAsia" w:cstheme="minorEastAsia"/>
        </w:rPr>
        <w:instrText xml:space="preserve"> HYPERLINK \l "_Toc47520003" </w:instrText>
      </w:r>
      <w:r>
        <w:rPr>
          <w:rFonts w:hint="eastAsia" w:asciiTheme="minorEastAsia" w:hAnsiTheme="minorEastAsia" w:eastAsiaTheme="minorEastAsia" w:cstheme="minorEastAsia"/>
        </w:rPr>
        <w:fldChar w:fldCharType="separate"/>
      </w:r>
      <w:r>
        <w:rPr>
          <w:rStyle w:val="15"/>
          <w:rFonts w:hint="eastAsia" w:asciiTheme="minorEastAsia" w:hAnsiTheme="minorEastAsia" w:eastAsiaTheme="minorEastAsia" w:cstheme="minorEastAsia"/>
        </w:rPr>
        <w:t>一、收入支出决算总表</w:t>
      </w:r>
      <w:r>
        <w:rPr>
          <w:rStyle w:val="15"/>
          <w:rFonts w:hint="eastAsia" w:asciiTheme="minorEastAsia" w:hAnsiTheme="minorEastAsia" w:eastAsiaTheme="minorEastAsia" w:cstheme="minorEastAsia"/>
        </w:rPr>
        <w:tab/>
      </w:r>
      <w:r>
        <w:rPr>
          <w:rStyle w:val="15"/>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lang w:val="en-US" w:eastAsia="zh-CN"/>
        </w:rPr>
        <w:t>8</w:t>
      </w:r>
    </w:p>
    <w:p w14:paraId="349936DB">
      <w:pPr>
        <w:pStyle w:val="10"/>
        <w:rPr>
          <w:rStyle w:val="15"/>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fldChar w:fldCharType="begin"/>
      </w:r>
      <w:r>
        <w:rPr>
          <w:rStyle w:val="15"/>
          <w:rFonts w:hint="eastAsia" w:asciiTheme="minorEastAsia" w:hAnsiTheme="minorEastAsia" w:eastAsiaTheme="minorEastAsia" w:cstheme="minorEastAsia"/>
        </w:rPr>
        <w:instrText xml:space="preserve"> HYPERLINK \l "_Toc47520004" </w:instrText>
      </w:r>
      <w:r>
        <w:rPr>
          <w:rFonts w:hint="eastAsia" w:asciiTheme="minorEastAsia" w:hAnsiTheme="minorEastAsia" w:eastAsiaTheme="minorEastAsia" w:cstheme="minorEastAsia"/>
        </w:rPr>
        <w:fldChar w:fldCharType="separate"/>
      </w:r>
      <w:r>
        <w:rPr>
          <w:rStyle w:val="15"/>
          <w:rFonts w:hint="eastAsia" w:asciiTheme="minorEastAsia" w:hAnsiTheme="minorEastAsia" w:eastAsiaTheme="minorEastAsia" w:cstheme="minorEastAsia"/>
        </w:rPr>
        <w:t>二、收入决算表</w:t>
      </w:r>
      <w:r>
        <w:rPr>
          <w:rStyle w:val="15"/>
          <w:rFonts w:hint="eastAsia" w:asciiTheme="minorEastAsia" w:hAnsiTheme="minorEastAsia" w:eastAsiaTheme="minorEastAsia" w:cstheme="minorEastAsia"/>
        </w:rPr>
        <w:tab/>
      </w:r>
      <w:r>
        <w:rPr>
          <w:rStyle w:val="15"/>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lang w:val="en-US" w:eastAsia="zh-CN"/>
        </w:rPr>
        <w:t>8</w:t>
      </w:r>
    </w:p>
    <w:p w14:paraId="639A6E8C">
      <w:pPr>
        <w:pStyle w:val="10"/>
        <w:rPr>
          <w:rStyle w:val="15"/>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fldChar w:fldCharType="begin"/>
      </w:r>
      <w:r>
        <w:rPr>
          <w:rStyle w:val="15"/>
          <w:rFonts w:hint="eastAsia" w:asciiTheme="minorEastAsia" w:hAnsiTheme="minorEastAsia" w:eastAsiaTheme="minorEastAsia" w:cstheme="minorEastAsia"/>
        </w:rPr>
        <w:instrText xml:space="preserve"> HYPERLINK \l "_Toc47520005" </w:instrText>
      </w:r>
      <w:r>
        <w:rPr>
          <w:rFonts w:hint="eastAsia" w:asciiTheme="minorEastAsia" w:hAnsiTheme="minorEastAsia" w:eastAsiaTheme="minorEastAsia" w:cstheme="minorEastAsia"/>
        </w:rPr>
        <w:fldChar w:fldCharType="separate"/>
      </w:r>
      <w:r>
        <w:rPr>
          <w:rStyle w:val="15"/>
          <w:rFonts w:hint="eastAsia" w:asciiTheme="minorEastAsia" w:hAnsiTheme="minorEastAsia" w:eastAsiaTheme="minorEastAsia" w:cstheme="minorEastAsia"/>
        </w:rPr>
        <w:t>三、支出决算表</w:t>
      </w:r>
      <w:r>
        <w:rPr>
          <w:rStyle w:val="15"/>
          <w:rFonts w:hint="eastAsia" w:asciiTheme="minorEastAsia" w:hAnsiTheme="minorEastAsia" w:eastAsiaTheme="minorEastAsia" w:cstheme="minorEastAsia"/>
        </w:rPr>
        <w:tab/>
      </w:r>
      <w:r>
        <w:rPr>
          <w:rStyle w:val="15"/>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lang w:val="en-US" w:eastAsia="zh-CN"/>
        </w:rPr>
        <w:t>8</w:t>
      </w:r>
    </w:p>
    <w:p w14:paraId="5EEA0837">
      <w:pPr>
        <w:pStyle w:val="10"/>
        <w:rPr>
          <w:rStyle w:val="15"/>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fldChar w:fldCharType="begin"/>
      </w:r>
      <w:r>
        <w:rPr>
          <w:rStyle w:val="15"/>
          <w:rFonts w:hint="eastAsia" w:asciiTheme="minorEastAsia" w:hAnsiTheme="minorEastAsia" w:eastAsiaTheme="minorEastAsia" w:cstheme="minorEastAsia"/>
        </w:rPr>
        <w:instrText xml:space="preserve"> HYPERLINK \l "_Toc47520006" </w:instrText>
      </w:r>
      <w:r>
        <w:rPr>
          <w:rFonts w:hint="eastAsia" w:asciiTheme="minorEastAsia" w:hAnsiTheme="minorEastAsia" w:eastAsiaTheme="minorEastAsia" w:cstheme="minorEastAsia"/>
        </w:rPr>
        <w:fldChar w:fldCharType="separate"/>
      </w:r>
      <w:r>
        <w:rPr>
          <w:rStyle w:val="15"/>
          <w:rFonts w:hint="eastAsia" w:asciiTheme="minorEastAsia" w:hAnsiTheme="minorEastAsia" w:eastAsiaTheme="minorEastAsia" w:cstheme="minorEastAsia"/>
        </w:rPr>
        <w:t>四、财政拨款收入支出决算总表</w:t>
      </w:r>
      <w:r>
        <w:rPr>
          <w:rStyle w:val="15"/>
          <w:rFonts w:hint="eastAsia" w:asciiTheme="minorEastAsia" w:hAnsiTheme="minorEastAsia" w:eastAsiaTheme="minorEastAsia" w:cstheme="minorEastAsia"/>
        </w:rPr>
        <w:tab/>
      </w:r>
      <w:r>
        <w:rPr>
          <w:rStyle w:val="15"/>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lang w:val="en-US" w:eastAsia="zh-CN"/>
        </w:rPr>
        <w:t>8</w:t>
      </w:r>
    </w:p>
    <w:p w14:paraId="7666727F">
      <w:pPr>
        <w:pStyle w:val="10"/>
        <w:rPr>
          <w:rStyle w:val="15"/>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fldChar w:fldCharType="begin"/>
      </w:r>
      <w:r>
        <w:rPr>
          <w:rStyle w:val="15"/>
          <w:rFonts w:hint="eastAsia" w:asciiTheme="minorEastAsia" w:hAnsiTheme="minorEastAsia" w:eastAsiaTheme="minorEastAsia" w:cstheme="minorEastAsia"/>
        </w:rPr>
        <w:instrText xml:space="preserve"> HYPERLINK \l "_Toc47520007" </w:instrText>
      </w:r>
      <w:r>
        <w:rPr>
          <w:rFonts w:hint="eastAsia" w:asciiTheme="minorEastAsia" w:hAnsiTheme="minorEastAsia" w:eastAsiaTheme="minorEastAsia" w:cstheme="minorEastAsia"/>
        </w:rPr>
        <w:fldChar w:fldCharType="separate"/>
      </w:r>
      <w:r>
        <w:rPr>
          <w:rStyle w:val="15"/>
          <w:rFonts w:hint="eastAsia" w:asciiTheme="minorEastAsia" w:hAnsiTheme="minorEastAsia" w:eastAsiaTheme="minorEastAsia" w:cstheme="minorEastAsia"/>
        </w:rPr>
        <w:t>五、</w:t>
      </w:r>
      <w:r>
        <w:rPr>
          <w:rFonts w:hint="eastAsia" w:asciiTheme="minorEastAsia" w:hAnsiTheme="minorEastAsia" w:eastAsiaTheme="minorEastAsia" w:cstheme="minorEastAsia"/>
          <w:sz w:val="28"/>
          <w:szCs w:val="28"/>
        </w:rPr>
        <w:t>财政拨款支出决算明细表</w:t>
      </w:r>
      <w:r>
        <w:rPr>
          <w:rStyle w:val="15"/>
          <w:rFonts w:hint="eastAsia" w:asciiTheme="minorEastAsia" w:hAnsiTheme="minorEastAsia" w:eastAsiaTheme="minorEastAsia" w:cstheme="minorEastAsia"/>
        </w:rPr>
        <w:tab/>
      </w:r>
      <w:r>
        <w:rPr>
          <w:rStyle w:val="15"/>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lang w:val="en-US" w:eastAsia="zh-CN"/>
        </w:rPr>
        <w:t>8</w:t>
      </w:r>
    </w:p>
    <w:p w14:paraId="1EBA07B9">
      <w:pPr>
        <w:pStyle w:val="10"/>
        <w:rPr>
          <w:rStyle w:val="15"/>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fldChar w:fldCharType="begin"/>
      </w:r>
      <w:r>
        <w:rPr>
          <w:rStyle w:val="15"/>
          <w:rFonts w:hint="eastAsia" w:asciiTheme="minorEastAsia" w:hAnsiTheme="minorEastAsia" w:eastAsiaTheme="minorEastAsia" w:cstheme="minorEastAsia"/>
        </w:rPr>
        <w:instrText xml:space="preserve"> HYPERLINK \l "_Toc47520008" </w:instrText>
      </w:r>
      <w:r>
        <w:rPr>
          <w:rFonts w:hint="eastAsia" w:asciiTheme="minorEastAsia" w:hAnsiTheme="minorEastAsia" w:eastAsiaTheme="minorEastAsia" w:cstheme="minorEastAsia"/>
        </w:rPr>
        <w:fldChar w:fldCharType="separate"/>
      </w:r>
      <w:r>
        <w:rPr>
          <w:rStyle w:val="15"/>
          <w:rFonts w:hint="eastAsia" w:asciiTheme="minorEastAsia" w:hAnsiTheme="minorEastAsia" w:eastAsiaTheme="minorEastAsia" w:cstheme="minorEastAsia"/>
        </w:rPr>
        <w:t>六、</w:t>
      </w:r>
      <w:r>
        <w:rPr>
          <w:rFonts w:hint="eastAsia" w:asciiTheme="minorEastAsia" w:hAnsiTheme="minorEastAsia" w:eastAsiaTheme="minorEastAsia" w:cstheme="minorEastAsia"/>
          <w:sz w:val="24"/>
        </w:rPr>
        <w:t>一般公共预算财政拨款支出决算表</w:t>
      </w:r>
      <w:r>
        <w:rPr>
          <w:rStyle w:val="15"/>
          <w:rFonts w:hint="eastAsia" w:asciiTheme="minorEastAsia" w:hAnsiTheme="minorEastAsia" w:eastAsiaTheme="minorEastAsia" w:cstheme="minorEastAsia"/>
        </w:rPr>
        <w:tab/>
      </w:r>
      <w:r>
        <w:rPr>
          <w:rStyle w:val="15"/>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lang w:val="en-US" w:eastAsia="zh-CN"/>
        </w:rPr>
        <w:t>8</w:t>
      </w:r>
    </w:p>
    <w:p w14:paraId="60D97EAE">
      <w:pPr>
        <w:pStyle w:val="11"/>
        <w:adjustRightInd w:val="0"/>
        <w:snapToGrid w:val="0"/>
        <w:spacing w:line="440" w:lineRule="exact"/>
        <w:ind w:left="0" w:leftChars="0" w:firstLine="0" w:firstLineChars="0"/>
        <w:jc w:val="left"/>
        <w:rPr>
          <w:rStyle w:val="15"/>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4"/>
          <w:szCs w:val="24"/>
        </w:rPr>
        <w:fldChar w:fldCharType="begin"/>
      </w:r>
      <w:r>
        <w:rPr>
          <w:rStyle w:val="15"/>
          <w:rFonts w:hint="eastAsia" w:asciiTheme="minorEastAsia" w:hAnsiTheme="minorEastAsia" w:eastAsiaTheme="minorEastAsia" w:cstheme="minorEastAsia"/>
          <w:sz w:val="24"/>
          <w:szCs w:val="24"/>
        </w:rPr>
        <w:instrText xml:space="preserve"> HYPERLINK \l "_Toc47520009" </w:instrText>
      </w:r>
      <w:r>
        <w:rPr>
          <w:rFonts w:hint="eastAsia" w:asciiTheme="minorEastAsia" w:hAnsiTheme="minorEastAsia" w:eastAsiaTheme="minorEastAsia" w:cstheme="minorEastAsia"/>
          <w:sz w:val="24"/>
          <w:szCs w:val="24"/>
        </w:rPr>
        <w:fldChar w:fldCharType="separate"/>
      </w:r>
      <w:r>
        <w:rPr>
          <w:rStyle w:val="15"/>
          <w:rFonts w:hint="eastAsia" w:asciiTheme="minorEastAsia" w:hAnsiTheme="minorEastAsia" w:eastAsiaTheme="minorEastAsia" w:cstheme="minorEastAsia"/>
          <w:sz w:val="24"/>
          <w:szCs w:val="24"/>
        </w:rPr>
        <w:t>七、</w:t>
      </w:r>
      <w:r>
        <w:rPr>
          <w:rFonts w:hint="eastAsia" w:asciiTheme="minorEastAsia" w:hAnsiTheme="minorEastAsia" w:eastAsiaTheme="minorEastAsia" w:cstheme="minorEastAsia"/>
          <w:sz w:val="24"/>
          <w:szCs w:val="24"/>
        </w:rPr>
        <w:t>一般公共预算财政拨款支出决算明细表</w:t>
      </w:r>
      <w:r>
        <w:rPr>
          <w:rStyle w:val="15"/>
          <w:rFonts w:hint="eastAsia" w:asciiTheme="minorEastAsia" w:hAnsiTheme="minorEastAsia" w:eastAsiaTheme="minorEastAsia" w:cstheme="minorEastAsia"/>
          <w:sz w:val="24"/>
          <w:szCs w:val="24"/>
        </w:rPr>
        <w:tab/>
      </w:r>
      <w:r>
        <w:rPr>
          <w:rStyle w:val="15"/>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rPr>
        <w:t>8</w:t>
      </w:r>
    </w:p>
    <w:p w14:paraId="32E7767E">
      <w:pPr>
        <w:pStyle w:val="1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fldChar w:fldCharType="begin"/>
      </w:r>
      <w:r>
        <w:rPr>
          <w:rStyle w:val="15"/>
          <w:rFonts w:hint="eastAsia" w:asciiTheme="minorEastAsia" w:hAnsiTheme="minorEastAsia" w:eastAsiaTheme="minorEastAsia" w:cstheme="minorEastAsia"/>
        </w:rPr>
        <w:instrText xml:space="preserve"> HYPERLINK \l "_Toc47520010" </w:instrText>
      </w:r>
      <w:r>
        <w:rPr>
          <w:rFonts w:hint="eastAsia" w:asciiTheme="minorEastAsia" w:hAnsiTheme="minorEastAsia" w:eastAsiaTheme="minorEastAsia" w:cstheme="minorEastAsia"/>
        </w:rPr>
        <w:fldChar w:fldCharType="separate"/>
      </w:r>
      <w:r>
        <w:rPr>
          <w:rStyle w:val="15"/>
          <w:rFonts w:hint="eastAsia" w:asciiTheme="minorEastAsia" w:hAnsiTheme="minorEastAsia" w:eastAsiaTheme="minorEastAsia" w:cstheme="minorEastAsia"/>
        </w:rPr>
        <w:t>八、</w:t>
      </w:r>
      <w:r>
        <w:rPr>
          <w:rFonts w:hint="eastAsia" w:asciiTheme="minorEastAsia" w:hAnsiTheme="minorEastAsia" w:eastAsiaTheme="minorEastAsia" w:cstheme="minorEastAsia"/>
          <w:sz w:val="24"/>
        </w:rPr>
        <w:t>一般公共预算财政拨款基本支出决算表</w:t>
      </w:r>
      <w:r>
        <w:rPr>
          <w:rStyle w:val="15"/>
          <w:rFonts w:hint="eastAsia" w:asciiTheme="minorEastAsia" w:hAnsiTheme="minorEastAsia" w:eastAsiaTheme="minorEastAsia" w:cstheme="minorEastAsia"/>
        </w:rPr>
        <w:tab/>
      </w:r>
      <w:r>
        <w:rPr>
          <w:rStyle w:val="15"/>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lang w:val="en-US" w:eastAsia="zh-CN"/>
        </w:rPr>
        <w:t>8</w:t>
      </w:r>
    </w:p>
    <w:p w14:paraId="3B7D0320">
      <w:pPr>
        <w:pStyle w:val="10"/>
        <w:jc w:val="both"/>
        <w:rPr>
          <w:rStyle w:val="15"/>
          <w:rFonts w:hint="default" w:asciiTheme="minorEastAsia" w:hAnsiTheme="minorEastAsia" w:eastAsiaTheme="minorEastAsia" w:cstheme="minorEastAsia"/>
          <w:color w:val="auto"/>
          <w:u w:val="none"/>
          <w:lang w:val="en-US" w:eastAsia="zh-CN"/>
        </w:rPr>
      </w:pPr>
      <w:r>
        <w:rPr>
          <w:rStyle w:val="15"/>
          <w:rFonts w:hint="eastAsia" w:asciiTheme="minorEastAsia" w:hAnsiTheme="minorEastAsia" w:eastAsiaTheme="minorEastAsia" w:cstheme="minorEastAsia"/>
          <w:color w:val="auto"/>
          <w:u w:val="none"/>
        </w:rPr>
        <w:t>九、</w:t>
      </w:r>
      <w:r>
        <w:rPr>
          <w:rFonts w:hint="eastAsia" w:asciiTheme="minorEastAsia" w:hAnsiTheme="minorEastAsia" w:eastAsiaTheme="minorEastAsia" w:cstheme="minorEastAsia"/>
          <w:sz w:val="24"/>
        </w:rPr>
        <w:t>一般公共预算财政拨款项目支出决算表</w:t>
      </w:r>
      <w:r>
        <w:rPr>
          <w:rFonts w:hint="eastAsia" w:asciiTheme="minorEastAsia" w:hAnsiTheme="minorEastAsia" w:eastAsiaTheme="minorEastAsia" w:cstheme="minorEastAsia"/>
          <w:sz w:val="24"/>
          <w:lang w:val="en-US" w:eastAsia="zh-CN"/>
        </w:rPr>
        <w:t>.........................</w:t>
      </w:r>
      <w:r>
        <w:rPr>
          <w:rStyle w:val="15"/>
          <w:rFonts w:hint="eastAsia" w:asciiTheme="minorEastAsia" w:hAnsiTheme="minorEastAsia" w:eastAsiaTheme="minorEastAsia" w:cstheme="minorEastAsia"/>
          <w:color w:val="auto"/>
          <w:u w:val="none"/>
          <w:lang w:val="en-US" w:eastAsia="zh-CN"/>
        </w:rPr>
        <w:t>...38</w:t>
      </w:r>
    </w:p>
    <w:p w14:paraId="40EBF37C">
      <w:pPr>
        <w:pStyle w:val="1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fldChar w:fldCharType="begin"/>
      </w:r>
      <w:r>
        <w:rPr>
          <w:rStyle w:val="15"/>
          <w:rFonts w:hint="eastAsia" w:asciiTheme="minorEastAsia" w:hAnsiTheme="minorEastAsia" w:eastAsiaTheme="minorEastAsia" w:cstheme="minorEastAsia"/>
        </w:rPr>
        <w:instrText xml:space="preserve"> HYPERLINK \l "_Toc47520006" </w:instrText>
      </w:r>
      <w:r>
        <w:rPr>
          <w:rFonts w:hint="eastAsia" w:asciiTheme="minorEastAsia" w:hAnsiTheme="minorEastAsia" w:eastAsiaTheme="minorEastAsia" w:cstheme="minorEastAsia"/>
        </w:rPr>
        <w:fldChar w:fldCharType="separate"/>
      </w:r>
      <w:r>
        <w:rPr>
          <w:rStyle w:val="15"/>
          <w:rFonts w:hint="eastAsia" w:asciiTheme="minorEastAsia" w:hAnsiTheme="minorEastAsia" w:eastAsiaTheme="minorEastAsia" w:cstheme="minorEastAsia"/>
          <w:lang w:eastAsia="zh-CN"/>
        </w:rPr>
        <w:t>十</w:t>
      </w:r>
      <w:r>
        <w:rPr>
          <w:rStyle w:val="15"/>
          <w:rFonts w:hint="eastAsia" w:asciiTheme="minorEastAsia" w:hAnsiTheme="minorEastAsia" w:eastAsiaTheme="minorEastAsia" w:cstheme="minorEastAsia"/>
        </w:rPr>
        <w:t>、</w:t>
      </w:r>
      <w:r>
        <w:rPr>
          <w:rFonts w:hint="eastAsia" w:asciiTheme="minorEastAsia" w:hAnsiTheme="minorEastAsia" w:eastAsiaTheme="minorEastAsia" w:cstheme="minorEastAsia"/>
          <w:sz w:val="24"/>
        </w:rPr>
        <w:t>一般公共预财政拨款“三公”经费支出决算表</w:t>
      </w:r>
      <w:r>
        <w:rPr>
          <w:rStyle w:val="15"/>
          <w:rFonts w:hint="eastAsia" w:asciiTheme="minorEastAsia" w:hAnsiTheme="minorEastAsia" w:eastAsiaTheme="minorEastAsia" w:cstheme="minorEastAsia"/>
        </w:rPr>
        <w:tab/>
      </w:r>
      <w:r>
        <w:rPr>
          <w:rStyle w:val="15"/>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lang w:val="en-US" w:eastAsia="zh-CN"/>
        </w:rPr>
        <w:t>8</w:t>
      </w:r>
    </w:p>
    <w:p w14:paraId="733726C3">
      <w:pPr>
        <w:pStyle w:val="1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fldChar w:fldCharType="begin"/>
      </w:r>
      <w:r>
        <w:rPr>
          <w:rStyle w:val="15"/>
          <w:rFonts w:hint="eastAsia" w:asciiTheme="minorEastAsia" w:hAnsiTheme="minorEastAsia" w:eastAsiaTheme="minorEastAsia" w:cstheme="minorEastAsia"/>
        </w:rPr>
        <w:instrText xml:space="preserve"> HYPERLINK \l "_Toc47520006" </w:instrText>
      </w:r>
      <w:r>
        <w:rPr>
          <w:rFonts w:hint="eastAsia" w:asciiTheme="minorEastAsia" w:hAnsiTheme="minorEastAsia" w:eastAsiaTheme="minorEastAsia" w:cstheme="minorEastAsia"/>
        </w:rPr>
        <w:fldChar w:fldCharType="separate"/>
      </w:r>
      <w:r>
        <w:rPr>
          <w:rStyle w:val="15"/>
          <w:rFonts w:hint="eastAsia" w:asciiTheme="minorEastAsia" w:hAnsiTheme="minorEastAsia" w:eastAsiaTheme="minorEastAsia" w:cstheme="minorEastAsia"/>
          <w:lang w:eastAsia="zh-CN"/>
        </w:rPr>
        <w:t>十一</w:t>
      </w:r>
      <w:r>
        <w:rPr>
          <w:rStyle w:val="15"/>
          <w:rFonts w:hint="eastAsia" w:asciiTheme="minorEastAsia" w:hAnsiTheme="minorEastAsia" w:eastAsiaTheme="minorEastAsia" w:cstheme="minorEastAsia"/>
        </w:rPr>
        <w:t>、</w:t>
      </w:r>
      <w:r>
        <w:rPr>
          <w:rFonts w:hint="eastAsia" w:asciiTheme="minorEastAsia" w:hAnsiTheme="minorEastAsia" w:eastAsiaTheme="minorEastAsia" w:cstheme="minorEastAsia"/>
          <w:sz w:val="24"/>
        </w:rPr>
        <w:t>政府性基金预算财政拨款收入支出决算表</w:t>
      </w:r>
      <w:r>
        <w:rPr>
          <w:rStyle w:val="15"/>
          <w:rFonts w:hint="eastAsia" w:asciiTheme="minorEastAsia" w:hAnsiTheme="minorEastAsia" w:eastAsiaTheme="minorEastAsia" w:cstheme="minorEastAsia"/>
        </w:rPr>
        <w:tab/>
      </w:r>
      <w:r>
        <w:rPr>
          <w:rStyle w:val="15"/>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lang w:val="en-US" w:eastAsia="zh-CN"/>
        </w:rPr>
        <w:t>8</w:t>
      </w:r>
    </w:p>
    <w:p w14:paraId="0E479BAA">
      <w:pPr>
        <w:pStyle w:val="1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fldChar w:fldCharType="begin"/>
      </w:r>
      <w:r>
        <w:rPr>
          <w:rStyle w:val="15"/>
          <w:rFonts w:hint="eastAsia" w:asciiTheme="minorEastAsia" w:hAnsiTheme="minorEastAsia" w:eastAsiaTheme="minorEastAsia" w:cstheme="minorEastAsia"/>
        </w:rPr>
        <w:instrText xml:space="preserve"> HYPERLINK \l "_Toc47520006" </w:instrText>
      </w:r>
      <w:r>
        <w:rPr>
          <w:rFonts w:hint="eastAsia" w:asciiTheme="minorEastAsia" w:hAnsiTheme="minorEastAsia" w:eastAsiaTheme="minorEastAsia" w:cstheme="minorEastAsia"/>
        </w:rPr>
        <w:fldChar w:fldCharType="separate"/>
      </w:r>
      <w:r>
        <w:rPr>
          <w:rStyle w:val="15"/>
          <w:rFonts w:hint="eastAsia" w:asciiTheme="minorEastAsia" w:hAnsiTheme="minorEastAsia" w:eastAsiaTheme="minorEastAsia" w:cstheme="minorEastAsia"/>
          <w:lang w:eastAsia="zh-CN"/>
        </w:rPr>
        <w:t>十二</w:t>
      </w:r>
      <w:r>
        <w:rPr>
          <w:rStyle w:val="15"/>
          <w:rFonts w:hint="eastAsia" w:asciiTheme="minorEastAsia" w:hAnsiTheme="minorEastAsia" w:eastAsiaTheme="minorEastAsia" w:cstheme="minorEastAsia"/>
        </w:rPr>
        <w:t>、</w:t>
      </w:r>
      <w:r>
        <w:rPr>
          <w:rFonts w:hint="eastAsia" w:asciiTheme="minorEastAsia" w:hAnsiTheme="minorEastAsia" w:eastAsiaTheme="minorEastAsia" w:cstheme="minorEastAsia"/>
          <w:sz w:val="24"/>
        </w:rPr>
        <w:t>政府性基金预算财政拨款“三公”经费支出决算表</w:t>
      </w:r>
      <w:r>
        <w:rPr>
          <w:rStyle w:val="15"/>
          <w:rFonts w:hint="eastAsia" w:asciiTheme="minorEastAsia" w:hAnsiTheme="minorEastAsia" w:eastAsiaTheme="minorEastAsia" w:cstheme="minorEastAsia"/>
        </w:rPr>
        <w:tab/>
      </w:r>
      <w:r>
        <w:rPr>
          <w:rStyle w:val="15"/>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lang w:val="en-US" w:eastAsia="zh-CN"/>
        </w:rPr>
        <w:t>8</w:t>
      </w:r>
    </w:p>
    <w:p w14:paraId="41F3CEB2">
      <w:pPr>
        <w:pStyle w:val="10"/>
        <w:rPr>
          <w:rStyle w:val="15"/>
          <w:rFonts w:hint="eastAsia"/>
        </w:rPr>
      </w:pPr>
      <w:r>
        <w:rPr>
          <w:rFonts w:hint="eastAsia" w:asciiTheme="minorEastAsia" w:hAnsiTheme="minorEastAsia" w:eastAsiaTheme="minorEastAsia" w:cstheme="minorEastAsia"/>
        </w:rPr>
        <w:fldChar w:fldCharType="begin"/>
      </w:r>
      <w:r>
        <w:rPr>
          <w:rStyle w:val="15"/>
          <w:rFonts w:hint="eastAsia" w:asciiTheme="minorEastAsia" w:hAnsiTheme="minorEastAsia" w:eastAsiaTheme="minorEastAsia" w:cstheme="minorEastAsia"/>
        </w:rPr>
        <w:instrText xml:space="preserve"> HYPERLINK \l "_Toc47520006" </w:instrText>
      </w:r>
      <w:r>
        <w:rPr>
          <w:rFonts w:hint="eastAsia" w:asciiTheme="minorEastAsia" w:hAnsiTheme="minorEastAsia" w:eastAsiaTheme="minorEastAsia" w:cstheme="minorEastAsia"/>
        </w:rPr>
        <w:fldChar w:fldCharType="separate"/>
      </w:r>
      <w:r>
        <w:rPr>
          <w:rStyle w:val="15"/>
          <w:rFonts w:hint="eastAsia" w:asciiTheme="minorEastAsia" w:hAnsiTheme="minorEastAsia" w:eastAsiaTheme="minorEastAsia" w:cstheme="minorEastAsia"/>
          <w:lang w:eastAsia="zh-CN"/>
        </w:rPr>
        <w:t>十三</w:t>
      </w:r>
      <w:r>
        <w:rPr>
          <w:rStyle w:val="15"/>
          <w:rFonts w:hint="eastAsia" w:asciiTheme="minorEastAsia" w:hAnsiTheme="minorEastAsia" w:eastAsiaTheme="minorEastAsia" w:cstheme="minorEastAsia"/>
        </w:rPr>
        <w:t>、</w:t>
      </w:r>
      <w:r>
        <w:rPr>
          <w:rFonts w:hint="eastAsia" w:asciiTheme="minorEastAsia" w:hAnsiTheme="minorEastAsia" w:eastAsiaTheme="minorEastAsia" w:cstheme="minorEastAsia"/>
          <w:sz w:val="24"/>
        </w:rPr>
        <w:t>国有资本经营预算支出决算表</w:t>
      </w:r>
      <w:r>
        <w:rPr>
          <w:rStyle w:val="15"/>
          <w:rFonts w:hint="eastAsia" w:asciiTheme="minorEastAsia" w:hAnsiTheme="minorEastAsia" w:eastAsiaTheme="minorEastAsia" w:cstheme="minorEastAsia"/>
        </w:rPr>
        <w:tab/>
      </w:r>
      <w:r>
        <w:rPr>
          <w:rStyle w:val="15"/>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lang w:val="en-US" w:eastAsia="zh-CN"/>
        </w:rPr>
        <w:t>8</w:t>
      </w:r>
    </w:p>
    <w:p w14:paraId="56E64346">
      <w:pPr>
        <w:pStyle w:val="10"/>
        <w:rPr>
          <w:rFonts w:hint="eastAsia"/>
          <w:lang w:val="en-US" w:eastAsia="zh-CN"/>
        </w:rPr>
      </w:pPr>
      <w:r>
        <w:fldChar w:fldCharType="end"/>
      </w:r>
      <w:r>
        <w:rPr>
          <w:rFonts w:hint="eastAsia" w:asciiTheme="minorEastAsia" w:hAnsiTheme="minorEastAsia" w:eastAsiaTheme="minorEastAsia" w:cstheme="minorEastAsia"/>
          <w:color w:val="000000" w:themeColor="text1"/>
          <w:u w:val="none"/>
          <w14:textFill>
            <w14:solidFill>
              <w14:schemeClr w14:val="tx1"/>
            </w14:solidFill>
          </w14:textFill>
        </w:rPr>
        <w:fldChar w:fldCharType="begin"/>
      </w:r>
      <w:r>
        <w:rPr>
          <w:rStyle w:val="15"/>
          <w:rFonts w:hint="eastAsia" w:asciiTheme="minorEastAsia" w:hAnsiTheme="minorEastAsia" w:eastAsiaTheme="minorEastAsia" w:cstheme="minorEastAsia"/>
          <w:color w:val="000000" w:themeColor="text1"/>
          <w:u w:val="none"/>
          <w14:textFill>
            <w14:solidFill>
              <w14:schemeClr w14:val="tx1"/>
            </w14:solidFill>
          </w14:textFill>
        </w:rPr>
        <w:instrText xml:space="preserve"> HYPERLINK \l "_Toc47520006" </w:instrText>
      </w:r>
      <w:r>
        <w:rPr>
          <w:rFonts w:hint="eastAsia" w:asciiTheme="minorEastAsia" w:hAnsiTheme="minorEastAsia" w:eastAsiaTheme="minorEastAsia" w:cstheme="minorEastAsia"/>
          <w:color w:val="000000" w:themeColor="text1"/>
          <w:u w:val="none"/>
          <w14:textFill>
            <w14:solidFill>
              <w14:schemeClr w14:val="tx1"/>
            </w14:solidFill>
          </w14:textFill>
        </w:rPr>
        <w:fldChar w:fldCharType="separate"/>
      </w:r>
      <w:r>
        <w:rPr>
          <w:rStyle w:val="15"/>
          <w:rFonts w:hint="eastAsia" w:asciiTheme="minorEastAsia" w:hAnsiTheme="minorEastAsia" w:eastAsiaTheme="minorEastAsia" w:cstheme="minorEastAsia"/>
          <w:color w:val="000000" w:themeColor="text1"/>
          <w:u w:val="none"/>
          <w:lang w:eastAsia="zh-CN"/>
          <w14:textFill>
            <w14:solidFill>
              <w14:schemeClr w14:val="tx1"/>
            </w14:solidFill>
          </w14:textFill>
        </w:rPr>
        <w:t>十四</w:t>
      </w:r>
      <w:r>
        <w:rPr>
          <w:rStyle w:val="15"/>
          <w:rFonts w:hint="eastAsia" w:asciiTheme="minorEastAsia" w:hAnsiTheme="minorEastAsia" w:eastAsiaTheme="minorEastAsia" w:cstheme="minorEastAsia"/>
          <w:color w:val="000000" w:themeColor="text1"/>
          <w:u w:val="none"/>
          <w14:textFill>
            <w14:solidFill>
              <w14:schemeClr w14:val="tx1"/>
            </w14:solidFill>
          </w14:textFill>
        </w:rPr>
        <w:t>、</w:t>
      </w:r>
      <w:r>
        <w:rPr>
          <w:rFonts w:hint="eastAsia" w:asciiTheme="minorEastAsia" w:hAnsiTheme="minorEastAsia" w:eastAsiaTheme="minorEastAsia" w:cstheme="minorEastAsia"/>
          <w:color w:val="000000" w:themeColor="text1"/>
          <w:sz w:val="24"/>
          <w:u w:val="none"/>
          <w14:textFill>
            <w14:solidFill>
              <w14:schemeClr w14:val="tx1"/>
            </w14:solidFill>
          </w14:textFill>
        </w:rPr>
        <w:t>机关运行经费、资产占用情况及政府采购支出信息表</w:t>
      </w:r>
      <w:r>
        <w:rPr>
          <w:rStyle w:val="15"/>
          <w:rFonts w:hint="eastAsia" w:asciiTheme="minorEastAsia" w:hAnsiTheme="minorEastAsia" w:eastAsiaTheme="minorEastAsia" w:cstheme="minorEastAsia"/>
          <w:color w:val="000000" w:themeColor="text1"/>
          <w:u w:val="none"/>
          <w14:textFill>
            <w14:solidFill>
              <w14:schemeClr w14:val="tx1"/>
            </w14:solidFill>
          </w14:textFill>
        </w:rPr>
        <w:tab/>
      </w:r>
      <w:r>
        <w:rPr>
          <w:rStyle w:val="15"/>
          <w:rFonts w:hint="eastAsia" w:asciiTheme="minorEastAsia" w:hAnsiTheme="minorEastAsia" w:eastAsiaTheme="minorEastAsia" w:cstheme="minorEastAsia"/>
          <w:color w:val="000000" w:themeColor="text1"/>
          <w:u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u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u w:val="none"/>
          <w:lang w:val="en-US" w:eastAsia="zh-CN"/>
          <w14:textFill>
            <w14:solidFill>
              <w14:schemeClr w14:val="tx1"/>
            </w14:solidFill>
          </w14:textFill>
        </w:rPr>
        <w:t>8</w:t>
      </w:r>
    </w:p>
    <w:p w14:paraId="0BDF0610">
      <w:pPr>
        <w:rPr>
          <w:rFonts w:cstheme="minorBidi"/>
          <w:sz w:val="24"/>
          <w:szCs w:val="24"/>
        </w:rPr>
      </w:pPr>
    </w:p>
    <w:p w14:paraId="70C0C777">
      <w:pPr>
        <w:widowControl/>
        <w:spacing w:line="440" w:lineRule="exact"/>
        <w:jc w:val="left"/>
        <w:rPr>
          <w:rFonts w:ascii="仿宋" w:hAnsi="仿宋" w:eastAsia="仿宋"/>
          <w:bCs/>
          <w:kern w:val="44"/>
          <w:sz w:val="24"/>
        </w:rPr>
      </w:pPr>
      <w:bookmarkStart w:id="14" w:name="_Toc15396599"/>
      <w:bookmarkStart w:id="15" w:name="_Toc15377196"/>
      <w:r>
        <w:rPr>
          <w:rFonts w:ascii="仿宋" w:hAnsi="仿宋" w:eastAsia="仿宋"/>
          <w:b/>
          <w:sz w:val="24"/>
        </w:rPr>
        <w:br w:type="page"/>
      </w:r>
    </w:p>
    <w:p w14:paraId="1D0CBA47">
      <w:pPr>
        <w:pStyle w:val="2"/>
        <w:numPr>
          <w:ilvl w:val="0"/>
          <w:numId w:val="1"/>
        </w:numPr>
        <w:jc w:val="center"/>
        <w:rPr>
          <w:rStyle w:val="24"/>
          <w:rFonts w:hint="eastAsia" w:ascii="黑体" w:hAnsi="黑体" w:eastAsia="黑体"/>
          <w:b w:val="0"/>
          <w:bCs w:val="0"/>
        </w:rPr>
      </w:pPr>
      <w:r>
        <w:rPr>
          <w:rStyle w:val="24"/>
          <w:rFonts w:hint="eastAsia" w:ascii="黑体" w:hAnsi="黑体" w:eastAsia="黑体"/>
          <w:b w:val="0"/>
          <w:bCs w:val="0"/>
        </w:rPr>
        <w:t>部门概况</w:t>
      </w:r>
      <w:bookmarkEnd w:id="14"/>
      <w:bookmarkEnd w:id="15"/>
    </w:p>
    <w:p w14:paraId="0811911D">
      <w:pPr>
        <w:numPr>
          <w:ilvl w:val="0"/>
          <w:numId w:val="0"/>
        </w:numPr>
      </w:pPr>
    </w:p>
    <w:p w14:paraId="50805B35">
      <w:pPr>
        <w:pStyle w:val="3"/>
        <w:rPr>
          <w:rStyle w:val="25"/>
          <w:rFonts w:ascii="仿宋" w:hAnsi="仿宋" w:eastAsia="仿宋"/>
          <w:b w:val="0"/>
          <w:bCs w:val="0"/>
        </w:rPr>
      </w:pPr>
      <w:bookmarkStart w:id="16" w:name="_Toc15377197"/>
      <w:bookmarkStart w:id="17"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p>
    <w:p w14:paraId="34DBFD4F">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8" w:name="_Toc15377198"/>
      <w:bookmarkStart w:id="19" w:name="_Toc15378445"/>
      <w:r>
        <w:rPr>
          <w:rFonts w:hint="eastAsia" w:ascii="仿宋" w:hAnsi="仿宋" w:eastAsia="仿宋"/>
          <w:bCs/>
          <w:color w:val="000000"/>
          <w:sz w:val="32"/>
          <w:szCs w:val="32"/>
        </w:rPr>
        <w:t>（一）主要职能。</w:t>
      </w:r>
    </w:p>
    <w:p w14:paraId="6EB450F2">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根据《米易县机构改革方案》（米委发</w:t>
      </w:r>
      <w:r>
        <w:rPr>
          <w:rFonts w:hint="eastAsia" w:ascii="仿宋_GB2312" w:hAnsi="宋体" w:eastAsia="仿宋_GB2312"/>
          <w:sz w:val="32"/>
          <w:szCs w:val="32"/>
        </w:rPr>
        <w:t>〔2019〕2号和</w:t>
      </w:r>
      <w:r>
        <w:rPr>
          <w:rFonts w:hint="eastAsia" w:ascii="仿宋_GB2312" w:hAnsi="仿宋" w:eastAsia="仿宋_GB2312"/>
          <w:sz w:val="32"/>
          <w:szCs w:val="32"/>
        </w:rPr>
        <w:t>《关于〈米易县机构改革方案〉的实施意见》（米机改</w:t>
      </w:r>
      <w:r>
        <w:rPr>
          <w:rFonts w:hint="eastAsia" w:ascii="仿宋_GB2312" w:hAnsi="宋体" w:eastAsia="仿宋_GB2312"/>
          <w:sz w:val="32"/>
          <w:szCs w:val="32"/>
        </w:rPr>
        <w:t>〔2019〕2号）的规定，米易县民族宗教事务局是米易县人民政府的工作部门，于2019年3月25日起与县委统战部合署办公，实行一套机构、两个机关名称。主要职责是：</w:t>
      </w:r>
    </w:p>
    <w:p w14:paraId="2009CA9B">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贯彻落实加强党对统一战线工作集中统一领导要求，发挥县在统战工作方面的参谋机构、组织协调机构、具体执行机构、督促检查机构作用，承担了解情况、掌握政策、协调关系、安排人事、增进共识、加强团结等职责。协调统一战线各方面关系，组织落实党中央、省委、市委和县委关于统一战线工作重大决策部署，巩固壮大最广泛的爱国统一战线。</w:t>
      </w:r>
    </w:p>
    <w:p w14:paraId="4959307F">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深入调查研究，推动落实统一战线工作的政策和法规，及时向县委报告统一战线工作情况、提出建议，统筹协调和指导乡镇、部门（单位）统一战线工作，指导基层统战工作实践创新基地建设。</w:t>
      </w:r>
    </w:p>
    <w:p w14:paraId="75EA2DCB">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负责发现、培养党外代表人士，制定党外干部培养规划。</w:t>
      </w:r>
    </w:p>
    <w:p w14:paraId="7B47C4C7">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负责联系各民主党派，通报情况、反映意见。贯彻落实中国共产党领导的多党合作和政治协商制度，研究贯彻做好民主党派工作的方针政策，制定年度政党协商计划。支持民主党派履行职责、发挥作用，支持、帮助民主党派加强自身建设。</w:t>
      </w:r>
    </w:p>
    <w:p w14:paraId="35AF872D">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负责联系、培养无党派代表人士和新的社会阶层人士，开展思想政治工作。</w:t>
      </w:r>
    </w:p>
    <w:p w14:paraId="02A5AEEF">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承担全县非公有制经济协调工作，负责全县非公有制经济代表人士工作。参与制定、推动落实鼓励支持引导非公有制经济发展的政策，了解和反映非公有制经济人士的意见。调查研究全县非公有制经济人士情况，协调关系，提出政策建议，团结、服务、引导、教育非公有制经济人士，促进非公有制经济健康发展和非公有制经济人士健康成长。</w:t>
      </w:r>
    </w:p>
    <w:p w14:paraId="1A0AE53C">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统一领导港澳统战工作，牵头开展海外港澳统战工作，联系香港、澳门、台湾和海外有关党派、团体及代表人士。</w:t>
      </w:r>
    </w:p>
    <w:p w14:paraId="5DCBC14B">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贯彻执行党中央国务院、省委省政府、市委市政府和县委县政府对台工作方针、政策。研究、拟定全县对台工作计划及实施意见并组织实施，开展对台统战工作。</w:t>
      </w:r>
    </w:p>
    <w:p w14:paraId="69B2DC68">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贯彻落实党的侨务工作方针政策。负责侨务工作的组织协调、督促检查落实，调查研究侨情和侨务工作情况，管理侨务行政事务。统筹协调有关部门和社会团体涉侨工作，联系海外有关侨团和代表人士，负责海外侨胞代表人士在相关统战团体的安排。指导推动涉侨宣传、文化交流、华文教育工作，保护华侨和归侨侨眷在县内的合法权利益。</w:t>
      </w:r>
    </w:p>
    <w:p w14:paraId="79629FD5">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贯彻落实党的宣传工作方针，统筹推进全县统一战线宣传和形态工作，组织贯彻党中央、省委、市委和县委统一战线宣传工作政策和规划。</w:t>
      </w:r>
    </w:p>
    <w:p w14:paraId="1D861FF3">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协助做好民族宗教部门领导班子成员推荐工作。领导工商联党组，指导工商联工作。做好有关统战团体管理及其工作指导。</w:t>
      </w:r>
    </w:p>
    <w:p w14:paraId="0322F845">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负责职责范围内的安全生产、生态环境保护、审批服务便民化等工作。</w:t>
      </w:r>
    </w:p>
    <w:p w14:paraId="1EAF471D">
      <w:pPr>
        <w:snapToGrid w:val="0"/>
        <w:spacing w:line="520" w:lineRule="exact"/>
        <w:ind w:firstLine="640" w:firstLineChars="200"/>
        <w:rPr>
          <w:rFonts w:ascii="仿宋" w:hAnsi="仿宋" w:eastAsia="仿宋"/>
          <w:bCs/>
          <w:color w:val="000000"/>
          <w:sz w:val="32"/>
          <w:szCs w:val="32"/>
        </w:rPr>
      </w:pPr>
      <w:r>
        <w:rPr>
          <w:rFonts w:hint="eastAsia" w:ascii="仿宋_GB2312" w:hAnsi="仿宋" w:eastAsia="仿宋_GB2312"/>
          <w:sz w:val="32"/>
          <w:szCs w:val="32"/>
        </w:rPr>
        <w:t>完成县委、县政府交办的其他任务。</w:t>
      </w:r>
      <w:bookmarkEnd w:id="18"/>
      <w:bookmarkEnd w:id="19"/>
    </w:p>
    <w:p w14:paraId="1815C894">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0" w:name="_Toc15377199"/>
      <w:bookmarkStart w:id="21"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0"/>
      <w:bookmarkEnd w:id="21"/>
    </w:p>
    <w:p w14:paraId="5087840C">
      <w:pPr>
        <w:spacing w:line="560" w:lineRule="exact"/>
        <w:ind w:firstLine="720" w:firstLineChars="225"/>
        <w:rPr>
          <w:rFonts w:eastAsia="方正黑体_GBK"/>
          <w:sz w:val="32"/>
          <w:szCs w:val="32"/>
        </w:rPr>
      </w:pPr>
      <w:r>
        <w:rPr>
          <w:rFonts w:eastAsia="方正仿宋简体"/>
          <w:sz w:val="32"/>
          <w:szCs w:val="32"/>
        </w:rPr>
        <w:t>201</w:t>
      </w:r>
      <w:r>
        <w:rPr>
          <w:rFonts w:hint="eastAsia" w:eastAsia="方正仿宋简体"/>
          <w:sz w:val="32"/>
          <w:szCs w:val="32"/>
        </w:rPr>
        <w:t>9</w:t>
      </w:r>
      <w:r>
        <w:rPr>
          <w:rFonts w:hint="eastAsia" w:ascii="方正仿宋简体" w:eastAsia="方正仿宋简体"/>
          <w:sz w:val="32"/>
          <w:szCs w:val="32"/>
        </w:rPr>
        <w:t>年，在县委的正确领导和市委统战部的精心指导下，县委统战认真落实中央、省委、市委和县委系列重大决策部署和全国、全省、全市统战部长会议及民族宗教工作会议精神，紧紧围绕年初确定的职能目标任务，圆满完成了年初确定的各项职能目标任务。</w:t>
      </w:r>
    </w:p>
    <w:p w14:paraId="3661E656">
      <w:pPr>
        <w:widowControl/>
        <w:spacing w:line="560" w:lineRule="exact"/>
        <w:ind w:firstLine="1296" w:firstLineChars="405"/>
        <w:rPr>
          <w:rFonts w:eastAsia="方正黑体_GBK"/>
          <w:sz w:val="32"/>
          <w:szCs w:val="32"/>
        </w:rPr>
      </w:pPr>
      <w:r>
        <w:rPr>
          <w:rFonts w:hint="eastAsia" w:eastAsia="方正黑体_GBK"/>
          <w:sz w:val="32"/>
          <w:szCs w:val="32"/>
        </w:rPr>
        <w:t>1、</w:t>
      </w:r>
      <w:r>
        <w:rPr>
          <w:rFonts w:eastAsia="方正黑体_GBK"/>
          <w:sz w:val="32"/>
          <w:szCs w:val="32"/>
        </w:rPr>
        <w:t>推动落实统战政策和制度，大统战工作效应明显增强</w:t>
      </w:r>
    </w:p>
    <w:p w14:paraId="110713FF">
      <w:pPr>
        <w:widowControl/>
        <w:spacing w:line="560" w:lineRule="exact"/>
        <w:ind w:firstLine="660"/>
        <w:rPr>
          <w:rFonts w:eastAsia="方正仿宋_GBK"/>
          <w:sz w:val="32"/>
          <w:szCs w:val="32"/>
        </w:rPr>
      </w:pPr>
      <w:r>
        <w:rPr>
          <w:rFonts w:hint="eastAsia" w:ascii="方正楷体_GBK" w:eastAsia="方正楷体_GBK"/>
          <w:sz w:val="32"/>
          <w:szCs w:val="32"/>
        </w:rPr>
        <w:t>一是推动县委统一战线工作领导小组充分发挥作用。</w:t>
      </w:r>
      <w:r>
        <w:rPr>
          <w:rFonts w:hint="eastAsia" w:eastAsia="方正仿宋_GBK"/>
          <w:sz w:val="32"/>
          <w:szCs w:val="32"/>
        </w:rPr>
        <w:t>牵头调整充实县委统一战线工作领导小组，领导小组全体会议研究并审议通过</w:t>
      </w:r>
      <w:r>
        <w:rPr>
          <w:rFonts w:eastAsia="方正仿宋_GBK"/>
          <w:color w:val="000000"/>
          <w:sz w:val="32"/>
          <w:szCs w:val="32"/>
        </w:rPr>
        <w:t>《关于米易县党外干部队伍建设十条措施（试行）的报告》、《关于在乡镇设置统战委员职数的报告》、《关于解决民主党派主委、副主委待遇的报告》、《关于设立米易县统一战线联络服务中心的报告》、《关于调整县委常委联系党外代表人士的报告》等议题，党外代表人士队伍建设、乡镇统战、民主党派基层组织建设、统战机关队伍建设、统战联谊交友等方面的问题得以解决、落实。</w:t>
      </w:r>
    </w:p>
    <w:p w14:paraId="48B71919">
      <w:pPr>
        <w:widowControl/>
        <w:spacing w:line="560" w:lineRule="exact"/>
        <w:ind w:firstLine="660"/>
        <w:rPr>
          <w:rFonts w:eastAsia="方正仿宋_GBK"/>
          <w:sz w:val="32"/>
          <w:szCs w:val="32"/>
        </w:rPr>
      </w:pPr>
      <w:r>
        <w:rPr>
          <w:rFonts w:hint="eastAsia" w:ascii="方正楷体_GBK" w:eastAsia="方正楷体_GBK"/>
          <w:sz w:val="32"/>
          <w:szCs w:val="32"/>
        </w:rPr>
        <w:t>二是大力夯实统战基层基础工作。</w:t>
      </w:r>
      <w:r>
        <w:rPr>
          <w:rFonts w:eastAsia="方正仿宋_GBK"/>
          <w:sz w:val="32"/>
          <w:szCs w:val="32"/>
        </w:rPr>
        <w:t>建立</w:t>
      </w:r>
      <w:r>
        <w:rPr>
          <w:rFonts w:hint="eastAsia" w:eastAsia="方正仿宋_GBK"/>
          <w:sz w:val="32"/>
          <w:szCs w:val="32"/>
        </w:rPr>
        <w:t>完善横向到边、纵向到底的基层统战工作网络体系，调整统战、民宗机构合署办公后统战各领域重点工作力量分配，及时修订完善统战部（民宗局）机关各项规章制度，组建完成统战部党支部，各级各部门统战工作负责人、联络员落实到位，实现机构设置、力量调配、考核管理、工作体系有机统一。</w:t>
      </w:r>
    </w:p>
    <w:p w14:paraId="57957A3C">
      <w:pPr>
        <w:widowControl/>
        <w:spacing w:line="560" w:lineRule="exact"/>
        <w:ind w:firstLine="660"/>
        <w:rPr>
          <w:rFonts w:eastAsia="方正仿宋_GBK"/>
          <w:sz w:val="32"/>
          <w:szCs w:val="32"/>
        </w:rPr>
      </w:pPr>
      <w:r>
        <w:rPr>
          <w:rFonts w:hint="eastAsia" w:ascii="方正楷体_GBK" w:eastAsia="方正楷体_GBK"/>
          <w:sz w:val="32"/>
          <w:szCs w:val="32"/>
        </w:rPr>
        <w:t>三是建立民主党派工作系列制度。</w:t>
      </w:r>
      <w:r>
        <w:rPr>
          <w:rFonts w:eastAsia="方正仿宋_GBK"/>
          <w:sz w:val="32"/>
          <w:szCs w:val="32"/>
        </w:rPr>
        <w:t>强化</w:t>
      </w:r>
      <w:r>
        <w:rPr>
          <w:rFonts w:hint="eastAsia" w:ascii="方正仿宋_GBK" w:eastAsia="方正仿宋_GBK"/>
          <w:sz w:val="32"/>
          <w:szCs w:val="32"/>
        </w:rPr>
        <w:t>“党派之家”</w:t>
      </w:r>
      <w:r>
        <w:rPr>
          <w:rFonts w:eastAsia="方正仿宋_GBK"/>
          <w:sz w:val="32"/>
          <w:szCs w:val="32"/>
        </w:rPr>
        <w:t>阵地建设，健全落实党派学习制度、基层组织建设制度、建言献策制度、调研制度、知情明政制度、社情民意收集反映制度、会议提案制度、社会服务制度等，各民主党派党员数量清、档案资料齐、后备人才足、学习活动有特色、社会服务活力强，基层组织建设年工作成效明显。在县政协十四届四次会议上提出集体提案</w:t>
      </w:r>
      <w:r>
        <w:rPr>
          <w:rFonts w:hint="eastAsia" w:eastAsia="方正仿宋_GBK"/>
          <w:sz w:val="32"/>
          <w:szCs w:val="32"/>
        </w:rPr>
        <w:t>6个、个人提案16个，占会议提案总数的37%；组织开展</w:t>
      </w:r>
      <w:r>
        <w:rPr>
          <w:rFonts w:hint="eastAsia" w:ascii="方正仿宋_GBK" w:eastAsia="方正仿宋_GBK"/>
          <w:sz w:val="32"/>
          <w:szCs w:val="32"/>
        </w:rPr>
        <w:t>“不忘合作初心、继续携手前进”</w:t>
      </w:r>
      <w:r>
        <w:rPr>
          <w:rFonts w:eastAsia="方正仿宋_GBK"/>
          <w:sz w:val="32"/>
          <w:szCs w:val="32"/>
        </w:rPr>
        <w:t>主题教育活动，提出意见、建议</w:t>
      </w:r>
      <w:r>
        <w:rPr>
          <w:rFonts w:hint="eastAsia" w:eastAsia="方正仿宋_GBK"/>
          <w:sz w:val="32"/>
          <w:szCs w:val="32"/>
        </w:rPr>
        <w:t>10条，</w:t>
      </w:r>
      <w:r>
        <w:rPr>
          <w:rFonts w:eastAsia="方正仿宋_GBK"/>
          <w:sz w:val="32"/>
          <w:szCs w:val="32"/>
        </w:rPr>
        <w:t>完成《大力实施农村环境整治 推进乡村生态振兴》、《打造山区教育强县 建设区域教育高地》等</w:t>
      </w:r>
      <w:r>
        <w:rPr>
          <w:rFonts w:hint="eastAsia" w:eastAsia="方正仿宋_GBK"/>
          <w:sz w:val="32"/>
          <w:szCs w:val="32"/>
        </w:rPr>
        <w:t>7篇</w:t>
      </w:r>
      <w:r>
        <w:rPr>
          <w:rFonts w:eastAsia="方正仿宋_GBK"/>
          <w:sz w:val="32"/>
          <w:szCs w:val="32"/>
        </w:rPr>
        <w:t>调研报告。</w:t>
      </w:r>
    </w:p>
    <w:p w14:paraId="14935844">
      <w:pPr>
        <w:widowControl/>
        <w:spacing w:line="560" w:lineRule="exact"/>
        <w:ind w:firstLine="660"/>
        <w:rPr>
          <w:rFonts w:eastAsia="方正仿宋_GBK"/>
          <w:sz w:val="32"/>
          <w:szCs w:val="32"/>
        </w:rPr>
      </w:pPr>
      <w:r>
        <w:rPr>
          <w:rFonts w:hint="eastAsia" w:ascii="方正楷体_GBK" w:eastAsia="方正楷体_GBK"/>
          <w:sz w:val="32"/>
          <w:szCs w:val="32"/>
        </w:rPr>
        <w:t>四是加大党外干部工作力度。</w:t>
      </w:r>
      <w:r>
        <w:rPr>
          <w:rFonts w:hint="eastAsia" w:eastAsia="方正仿宋_GBK"/>
          <w:sz w:val="32"/>
          <w:szCs w:val="32"/>
        </w:rPr>
        <w:t>组织、统战部门密切配合，全面落实“五个共同”工作机制，</w:t>
      </w:r>
      <w:r>
        <w:rPr>
          <w:rFonts w:eastAsia="方正仿宋_GBK"/>
          <w:sz w:val="32"/>
          <w:szCs w:val="32"/>
        </w:rPr>
        <w:t>新一轮机构改革后全县选配并形成了一支数量充足、结构合理、素质良好的党外后备干部队伍。全年提拔党外干部</w:t>
      </w:r>
      <w:r>
        <w:rPr>
          <w:rFonts w:hint="eastAsia" w:eastAsia="方正仿宋_GBK"/>
          <w:sz w:val="32"/>
          <w:szCs w:val="32"/>
        </w:rPr>
        <w:t>7名，</w:t>
      </w:r>
      <w:r>
        <w:rPr>
          <w:rFonts w:eastAsia="方正仿宋_GBK"/>
          <w:sz w:val="32"/>
          <w:szCs w:val="32"/>
        </w:rPr>
        <w:t>党外科级领导干部达3</w:t>
      </w:r>
      <w:r>
        <w:rPr>
          <w:rFonts w:hint="eastAsia" w:eastAsia="方正仿宋_GBK"/>
          <w:sz w:val="32"/>
          <w:szCs w:val="32"/>
        </w:rPr>
        <w:t>7</w:t>
      </w:r>
      <w:r>
        <w:rPr>
          <w:rFonts w:eastAsia="方正仿宋_GBK"/>
          <w:sz w:val="32"/>
          <w:szCs w:val="32"/>
        </w:rPr>
        <w:t>人，其中： 27个政府工作部门中</w:t>
      </w:r>
      <w:r>
        <w:rPr>
          <w:rFonts w:hint="eastAsia" w:eastAsia="方正仿宋_GBK"/>
          <w:sz w:val="32"/>
          <w:szCs w:val="32"/>
        </w:rPr>
        <w:t>11个部门配备党外科级领导干部12名，</w:t>
      </w:r>
      <w:r>
        <w:rPr>
          <w:rFonts w:eastAsia="方正仿宋_GBK"/>
          <w:sz w:val="32"/>
          <w:szCs w:val="32"/>
        </w:rPr>
        <w:t>超过</w:t>
      </w:r>
      <w:r>
        <w:rPr>
          <w:rFonts w:hint="eastAsia" w:ascii="方正仿宋_GBK" w:eastAsia="方正仿宋_GBK"/>
          <w:sz w:val="32"/>
          <w:szCs w:val="32"/>
        </w:rPr>
        <w:t>“四分之一”</w:t>
      </w:r>
      <w:r>
        <w:rPr>
          <w:rFonts w:eastAsia="方正仿宋_GBK"/>
          <w:sz w:val="32"/>
          <w:szCs w:val="32"/>
        </w:rPr>
        <w:t>的规定；县政府职能部门党外正职配备达</w:t>
      </w:r>
      <w:r>
        <w:rPr>
          <w:rFonts w:hint="eastAsia" w:eastAsia="方正仿宋_GBK"/>
          <w:sz w:val="32"/>
          <w:szCs w:val="32"/>
        </w:rPr>
        <w:t>3</w:t>
      </w:r>
      <w:r>
        <w:rPr>
          <w:rFonts w:eastAsia="方正仿宋_GBK"/>
          <w:sz w:val="32"/>
          <w:szCs w:val="32"/>
        </w:rPr>
        <w:t>人，法院、检察院领导班子中分别配备1名党外干部，人大、政协委室配备了一定数量的党外科级干部。</w:t>
      </w:r>
    </w:p>
    <w:p w14:paraId="4D80E3A8">
      <w:pPr>
        <w:widowControl/>
        <w:spacing w:line="560" w:lineRule="exact"/>
        <w:ind w:firstLine="660"/>
        <w:rPr>
          <w:rFonts w:eastAsia="方正仿宋_GBK"/>
          <w:sz w:val="32"/>
          <w:szCs w:val="32"/>
        </w:rPr>
      </w:pPr>
    </w:p>
    <w:p w14:paraId="015535D4">
      <w:pPr>
        <w:widowControl/>
        <w:spacing w:line="560" w:lineRule="exact"/>
        <w:ind w:firstLine="660"/>
        <w:rPr>
          <w:rFonts w:eastAsia="方正仿宋_GBK"/>
          <w:sz w:val="32"/>
          <w:szCs w:val="32"/>
        </w:rPr>
      </w:pPr>
    </w:p>
    <w:p w14:paraId="06B0C047">
      <w:pPr>
        <w:widowControl/>
        <w:spacing w:line="560" w:lineRule="exact"/>
        <w:ind w:firstLine="660"/>
        <w:rPr>
          <w:rFonts w:eastAsia="方正仿宋_GBK"/>
          <w:sz w:val="32"/>
          <w:szCs w:val="32"/>
        </w:rPr>
      </w:pPr>
      <w:r>
        <w:rPr>
          <w:rFonts w:hint="eastAsia" w:ascii="方正楷体_GBK" w:eastAsia="方正楷体_GBK"/>
          <w:sz w:val="32"/>
          <w:szCs w:val="32"/>
          <w:lang w:eastAsia="zh-CN"/>
        </w:rPr>
        <w:t>五</w:t>
      </w:r>
      <w:r>
        <w:rPr>
          <w:rFonts w:hint="eastAsia" w:ascii="方正楷体_GBK" w:eastAsia="方正楷体_GBK"/>
          <w:sz w:val="32"/>
          <w:szCs w:val="32"/>
        </w:rPr>
        <w:t>是加强非公经济“两个健康”工作。</w:t>
      </w:r>
      <w:r>
        <w:rPr>
          <w:rFonts w:hint="eastAsia" w:eastAsia="方正仿宋_GBK"/>
          <w:sz w:val="32"/>
          <w:szCs w:val="32"/>
        </w:rPr>
        <w:t>落实非公经济联席会议制度，牵头开展工商联所属商会改革和发展工作，全面排查基层商（协）会运行及作用发挥情况，拟定米易县工商联所属商（协）会改革和发展工作初步方案；开展组建企业关工委工作，组织非公企业开展</w:t>
      </w:r>
      <w:r>
        <w:rPr>
          <w:rFonts w:hint="eastAsia" w:ascii="方正仿宋_GBK" w:eastAsia="方正仿宋_GBK"/>
          <w:sz w:val="32"/>
          <w:szCs w:val="32"/>
        </w:rPr>
        <w:t>“万企帮万村”</w:t>
      </w:r>
      <w:r>
        <w:rPr>
          <w:rFonts w:eastAsia="方正仿宋_GBK"/>
          <w:sz w:val="32"/>
          <w:szCs w:val="32"/>
        </w:rPr>
        <w:t>活动，协调四川安宁铁钛股份有限公司、攀枝花元宝山矿业有限公司等民营企业与部分村签订村企帮扶协议，有效助力全县脱贫攻坚和乡村振兴；建立检察机关与工商联沟通联系机制，努力构建</w:t>
      </w:r>
      <w:r>
        <w:rPr>
          <w:rFonts w:hint="eastAsia" w:ascii="方正仿宋_GBK" w:eastAsia="方正仿宋_GBK"/>
          <w:sz w:val="32"/>
          <w:szCs w:val="32"/>
        </w:rPr>
        <w:t>“亲”“清”</w:t>
      </w:r>
      <w:r>
        <w:rPr>
          <w:rFonts w:eastAsia="方正仿宋_GBK"/>
          <w:sz w:val="32"/>
          <w:szCs w:val="32"/>
        </w:rPr>
        <w:t>新型政商关系，共同护航民营经济健康发展；做好攀西经济区商会联盟第一次会议在米易召开的协调服务工作。</w:t>
      </w:r>
    </w:p>
    <w:p w14:paraId="4FCDF3C3">
      <w:pPr>
        <w:spacing w:line="600" w:lineRule="exact"/>
        <w:ind w:firstLine="630" w:firstLineChars="197"/>
        <w:rPr>
          <w:rFonts w:ascii="方正仿宋简体" w:eastAsia="方正仿宋简体"/>
          <w:sz w:val="32"/>
          <w:szCs w:val="32"/>
        </w:rPr>
      </w:pPr>
      <w:r>
        <w:rPr>
          <w:rFonts w:hint="eastAsia" w:ascii="方正楷体_GBK" w:eastAsia="方正楷体_GBK"/>
          <w:sz w:val="32"/>
          <w:szCs w:val="32"/>
          <w:lang w:eastAsia="zh-CN"/>
        </w:rPr>
        <w:t>六</w:t>
      </w:r>
      <w:r>
        <w:rPr>
          <w:rFonts w:hint="eastAsia" w:ascii="方正楷体_GBK" w:eastAsia="方正楷体_GBK"/>
          <w:sz w:val="32"/>
          <w:szCs w:val="32"/>
        </w:rPr>
        <w:t>是强化统一战线凝聚工程。</w:t>
      </w:r>
      <w:r>
        <w:rPr>
          <w:rFonts w:hint="eastAsia" w:ascii="方正仿宋简体" w:eastAsia="方正仿宋简体"/>
          <w:sz w:val="32"/>
          <w:szCs w:val="32"/>
        </w:rPr>
        <w:t>以深入学习贯彻党的十九届三中、四中全会精神为主线，在全县统一战线组织开展“聚力伟大梦想”的主题教育活动。召开了全县统一战线庆祝中华人民共和国成立70周年座谈会，组织统战系统单位职工和统战团体成员前往攀枝花中国三线建设博物馆、米易县历史文化展览馆参观考察，</w:t>
      </w:r>
      <w:r>
        <w:rPr>
          <w:rFonts w:hint="eastAsia" w:ascii="方正仿宋简体" w:hAnsi="Comic Sans MS" w:eastAsia="方正仿宋简体"/>
          <w:color w:val="000000"/>
          <w:spacing w:val="15"/>
          <w:sz w:val="32"/>
          <w:szCs w:val="32"/>
        </w:rPr>
        <w:t>牵头举办彝族火把节传统文体活动及宗教工作“六进一创”活动，组织新阶送岗位</w:t>
      </w:r>
      <w:r>
        <w:rPr>
          <w:rFonts w:ascii="方正仿宋简体" w:hAnsi="Comic Sans MS" w:eastAsia="方正仿宋简体"/>
          <w:color w:val="000000"/>
          <w:spacing w:val="15"/>
          <w:sz w:val="32"/>
          <w:szCs w:val="32"/>
        </w:rPr>
        <w:t>30余个、招聘200余人，</w:t>
      </w:r>
      <w:r>
        <w:rPr>
          <w:rFonts w:eastAsia="方正仿宋_GBK"/>
          <w:sz w:val="32"/>
          <w:szCs w:val="32"/>
        </w:rPr>
        <w:t>争取爱德基金会助学资金14000元帮助10名孤儿学生。</w:t>
      </w:r>
    </w:p>
    <w:p w14:paraId="3BBB0F50">
      <w:pPr>
        <w:widowControl/>
        <w:spacing w:line="560" w:lineRule="exact"/>
        <w:ind w:firstLine="979" w:firstLineChars="306"/>
        <w:rPr>
          <w:rFonts w:eastAsia="方正黑体_GBK"/>
          <w:sz w:val="32"/>
          <w:szCs w:val="32"/>
        </w:rPr>
      </w:pPr>
      <w:r>
        <w:rPr>
          <w:rFonts w:hint="eastAsia" w:eastAsia="方正黑体_GBK"/>
          <w:sz w:val="32"/>
          <w:szCs w:val="32"/>
          <w:lang w:val="en-US" w:eastAsia="zh-CN"/>
        </w:rPr>
        <w:t>2</w:t>
      </w:r>
      <w:r>
        <w:rPr>
          <w:rFonts w:hint="eastAsia" w:eastAsia="方正黑体_GBK"/>
          <w:sz w:val="32"/>
          <w:szCs w:val="32"/>
        </w:rPr>
        <w:t>、围绕中心服务大局，积极开展基层统战工作创新实践</w:t>
      </w:r>
    </w:p>
    <w:p w14:paraId="44FCD098">
      <w:pPr>
        <w:spacing w:line="560" w:lineRule="exact"/>
        <w:ind w:firstLine="960" w:firstLineChars="300"/>
        <w:rPr>
          <w:rFonts w:ascii="方正仿宋简体" w:eastAsia="方正仿宋简体"/>
          <w:sz w:val="32"/>
          <w:szCs w:val="32"/>
        </w:rPr>
      </w:pPr>
      <w:r>
        <w:rPr>
          <w:rFonts w:hint="eastAsia" w:ascii="方正楷体_GBK" w:eastAsia="方正楷体_GBK"/>
          <w:sz w:val="32"/>
          <w:szCs w:val="32"/>
        </w:rPr>
        <w:t>建立新山傈僳族乡新山村“同心·助振兴”创新实践基地。</w:t>
      </w:r>
      <w:r>
        <w:rPr>
          <w:rFonts w:hint="eastAsia" w:ascii="方正仿宋简体" w:eastAsia="方正仿宋简体"/>
          <w:sz w:val="32"/>
          <w:szCs w:val="32"/>
        </w:rPr>
        <w:t>通过实施凝聚思想共识、提升能力素质、厚植民族底蕴、推动农文旅融合、强化环境整治等工程，有力促进新山村组织振兴、人才振兴、文化振兴、产业振兴、生态振兴。</w:t>
      </w:r>
    </w:p>
    <w:p w14:paraId="7DDC54CE">
      <w:pPr>
        <w:spacing w:line="560" w:lineRule="exact"/>
        <w:ind w:firstLine="640" w:firstLineChars="200"/>
        <w:rPr>
          <w:rFonts w:ascii="方正仿宋简体" w:eastAsia="方正仿宋简体"/>
          <w:sz w:val="32"/>
          <w:szCs w:val="32"/>
        </w:rPr>
      </w:pPr>
      <w:r>
        <w:rPr>
          <w:rFonts w:hint="eastAsia" w:ascii="方正楷体_GBK" w:eastAsia="方正楷体_GBK"/>
          <w:sz w:val="32"/>
          <w:szCs w:val="32"/>
        </w:rPr>
        <w:t>建立草场乡龙华村“同心·冬春枇杷”产业示范基地。</w:t>
      </w:r>
      <w:r>
        <w:rPr>
          <w:rFonts w:hint="eastAsia" w:ascii="方正仿宋简体" w:eastAsia="方正仿宋简体"/>
          <w:sz w:val="32"/>
          <w:szCs w:val="32"/>
        </w:rPr>
        <w:t>成立“新乡贤”联谊组织，开展聚智建言智力支持、产业培育、科技成果推广、“三农”人才培养等工作，翻开了米易县统一战线助力乡村振兴的新篇章。</w:t>
      </w:r>
    </w:p>
    <w:p w14:paraId="25A95CB6">
      <w:pPr>
        <w:snapToGrid w:val="0"/>
        <w:spacing w:line="520" w:lineRule="exact"/>
        <w:ind w:firstLine="640" w:firstLineChars="200"/>
        <w:rPr>
          <w:rFonts w:hint="eastAsia" w:hAnsi="仿宋"/>
          <w:bCs/>
          <w:color w:val="000000"/>
          <w:sz w:val="32"/>
          <w:szCs w:val="32"/>
        </w:rPr>
      </w:pPr>
      <w:r>
        <w:rPr>
          <w:rFonts w:hint="eastAsia" w:ascii="方正楷体_GBK" w:eastAsia="方正楷体_GBK"/>
          <w:sz w:val="32"/>
          <w:szCs w:val="32"/>
        </w:rPr>
        <w:t>积极协调组织开展各类“同心”公益活动。</w:t>
      </w:r>
      <w:r>
        <w:rPr>
          <w:rFonts w:ascii="方正仿宋简体" w:eastAsia="方正仿宋简体"/>
          <w:sz w:val="32"/>
          <w:szCs w:val="32"/>
        </w:rPr>
        <w:t>致公党攀枝花市委开展的“健康饮水·扶贫惠民”公益捐赠活动走进米易，“筑梦未来”教育精准扶贫活动走进全县</w:t>
      </w:r>
      <w:r>
        <w:rPr>
          <w:rFonts w:eastAsia="方正仿宋简体"/>
          <w:sz w:val="32"/>
          <w:szCs w:val="32"/>
        </w:rPr>
        <w:t>19</w:t>
      </w:r>
      <w:r>
        <w:rPr>
          <w:rFonts w:ascii="方正仿宋简体" w:eastAsia="方正仿宋简体"/>
          <w:sz w:val="32"/>
          <w:szCs w:val="32"/>
        </w:rPr>
        <w:t>所义务教育阶段学校，“致美四川. 脸盆计划”公益活动走进白坡彝族乡中心校，</w:t>
      </w:r>
      <w:r>
        <w:rPr>
          <w:rFonts w:eastAsia="方正仿宋简体"/>
          <w:sz w:val="32"/>
          <w:szCs w:val="32"/>
        </w:rPr>
        <w:t>3次公益活动物资折合100余万元。</w:t>
      </w:r>
    </w:p>
    <w:p w14:paraId="62ABC10A">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p>
    <w:p w14:paraId="4FAD6A54">
      <w:pPr>
        <w:pStyle w:val="3"/>
        <w:rPr>
          <w:rStyle w:val="25"/>
          <w:b w:val="0"/>
          <w:bCs w:val="0"/>
        </w:rPr>
      </w:pPr>
      <w:bookmarkStart w:id="22" w:name="_Toc15377200"/>
      <w:bookmarkStart w:id="23"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2"/>
      <w:bookmarkEnd w:id="23"/>
    </w:p>
    <w:p w14:paraId="0E4A16B0">
      <w:pPr>
        <w:ind w:firstLine="800" w:firstLineChars="250"/>
        <w:rPr>
          <w:rFonts w:ascii="仿宋_GB2312" w:hAnsi="仿宋" w:eastAsia="仿宋_GB2312"/>
          <w:sz w:val="32"/>
          <w:szCs w:val="32"/>
        </w:rPr>
      </w:pPr>
      <w:bookmarkStart w:id="24" w:name="_Toc15377204"/>
      <w:bookmarkStart w:id="25" w:name="_Toc15396602"/>
      <w:r>
        <w:rPr>
          <w:rFonts w:hint="eastAsia" w:ascii="仿宋_GB2312" w:hAnsi="仿宋" w:eastAsia="仿宋_GB2312"/>
          <w:sz w:val="32"/>
          <w:szCs w:val="32"/>
          <w:lang w:eastAsia="zh-CN"/>
        </w:rPr>
        <w:t>中国共产党米易县委员会统战部</w:t>
      </w:r>
      <w:r>
        <w:rPr>
          <w:rFonts w:hint="eastAsia" w:ascii="仿宋_GB2312" w:hAnsi="仿宋" w:eastAsia="仿宋_GB2312"/>
          <w:sz w:val="32"/>
          <w:szCs w:val="32"/>
        </w:rPr>
        <w:t>下属二级单位</w:t>
      </w:r>
      <w:r>
        <w:rPr>
          <w:rFonts w:hint="eastAsia" w:ascii="仿宋_GB2312" w:hAnsi="仿宋" w:eastAsia="仿宋_GB2312"/>
          <w:sz w:val="32"/>
          <w:szCs w:val="32"/>
          <w:lang w:val="en-US" w:eastAsia="zh-CN"/>
        </w:rPr>
        <w:t>0</w:t>
      </w:r>
      <w:r>
        <w:rPr>
          <w:rFonts w:hint="eastAsia" w:ascii="仿宋_GB2312" w:hAnsi="仿宋" w:eastAsia="仿宋_GB2312"/>
          <w:sz w:val="32"/>
          <w:szCs w:val="32"/>
        </w:rPr>
        <w:t>个，其中行政单位</w:t>
      </w:r>
      <w:r>
        <w:rPr>
          <w:rFonts w:hint="eastAsia" w:ascii="仿宋_GB2312" w:hAnsi="仿宋" w:eastAsia="仿宋_GB2312"/>
          <w:sz w:val="32"/>
          <w:szCs w:val="32"/>
          <w:lang w:val="en-US" w:eastAsia="zh-CN"/>
        </w:rPr>
        <w:t>0</w:t>
      </w:r>
      <w:r>
        <w:rPr>
          <w:rFonts w:hint="eastAsia" w:ascii="仿宋_GB2312" w:hAnsi="仿宋" w:eastAsia="仿宋_GB2312"/>
          <w:sz w:val="32"/>
          <w:szCs w:val="32"/>
        </w:rPr>
        <w:t>个，参照公务员法管理的事业单位</w:t>
      </w:r>
      <w:r>
        <w:rPr>
          <w:rFonts w:hint="eastAsia" w:ascii="仿宋_GB2312" w:hAnsi="仿宋" w:eastAsia="仿宋_GB2312"/>
          <w:bCs/>
          <w:sz w:val="32"/>
          <w:szCs w:val="32"/>
          <w:lang w:val="en-US" w:eastAsia="zh-CN"/>
        </w:rPr>
        <w:t>0</w:t>
      </w:r>
      <w:r>
        <w:rPr>
          <w:rFonts w:hint="eastAsia" w:ascii="仿宋_GB2312" w:hAnsi="仿宋" w:eastAsia="仿宋_GB2312"/>
          <w:sz w:val="32"/>
          <w:szCs w:val="32"/>
        </w:rPr>
        <w:t>个，其他事业单位</w:t>
      </w:r>
      <w:r>
        <w:rPr>
          <w:rFonts w:hint="eastAsia" w:ascii="仿宋_GB2312" w:hAnsi="仿宋" w:eastAsia="仿宋_GB2312"/>
          <w:sz w:val="32"/>
          <w:szCs w:val="32"/>
          <w:lang w:val="en-US" w:eastAsia="zh-CN"/>
        </w:rPr>
        <w:t>0</w:t>
      </w:r>
      <w:r>
        <w:rPr>
          <w:rFonts w:hint="eastAsia" w:ascii="仿宋_GB2312" w:hAnsi="仿宋" w:eastAsia="仿宋_GB2312"/>
          <w:sz w:val="32"/>
          <w:szCs w:val="32"/>
        </w:rPr>
        <w:t>个。</w:t>
      </w:r>
    </w:p>
    <w:p w14:paraId="4479EFD6">
      <w:pPr>
        <w:pStyle w:val="5"/>
        <w:adjustRightInd w:val="0"/>
        <w:snapToGrid w:val="0"/>
        <w:spacing w:before="93" w:line="600" w:lineRule="exact"/>
        <w:ind w:firstLine="672" w:firstLineChars="210"/>
        <w:rPr>
          <w:rFonts w:hAnsi="仿宋"/>
          <w:color w:val="000000"/>
          <w:sz w:val="32"/>
          <w:szCs w:val="32"/>
        </w:rPr>
      </w:pPr>
      <w:r>
        <w:rPr>
          <w:rFonts w:hint="eastAsia" w:hAnsi="仿宋"/>
          <w:color w:val="000000"/>
          <w:sz w:val="32"/>
          <w:szCs w:val="32"/>
        </w:rPr>
        <w:t>纳入</w:t>
      </w:r>
      <w:r>
        <w:rPr>
          <w:rFonts w:hint="eastAsia" w:hAnsi="仿宋"/>
          <w:color w:val="000000"/>
          <w:sz w:val="32"/>
          <w:szCs w:val="32"/>
          <w:lang w:eastAsia="zh-CN"/>
        </w:rPr>
        <w:t>县委统战部</w:t>
      </w:r>
      <w:r>
        <w:rPr>
          <w:rFonts w:hAnsi="仿宋"/>
          <w:color w:val="000000"/>
          <w:sz w:val="32"/>
          <w:szCs w:val="32"/>
        </w:rPr>
        <w:t>2019</w:t>
      </w:r>
      <w:r>
        <w:rPr>
          <w:rFonts w:hint="eastAsia" w:hAnsi="仿宋"/>
          <w:color w:val="000000"/>
          <w:sz w:val="32"/>
          <w:szCs w:val="32"/>
        </w:rPr>
        <w:t>年度部门决算编制范围的二级预算单位：</w:t>
      </w:r>
    </w:p>
    <w:p w14:paraId="1FAF7F9E">
      <w:pPr>
        <w:pStyle w:val="5"/>
        <w:adjustRightInd w:val="0"/>
        <w:snapToGrid w:val="0"/>
        <w:spacing w:before="93" w:line="600" w:lineRule="exact"/>
        <w:ind w:firstLine="1120" w:firstLineChars="350"/>
        <w:rPr>
          <w:rFonts w:hint="eastAsia" w:hAnsi="仿宋" w:eastAsia="仿宋_GB2312"/>
          <w:color w:val="000000"/>
          <w:sz w:val="32"/>
          <w:szCs w:val="32"/>
          <w:lang w:eastAsia="zh-CN"/>
        </w:rPr>
      </w:pPr>
      <w:r>
        <w:rPr>
          <w:rFonts w:hint="eastAsia" w:hAnsi="仿宋"/>
          <w:color w:val="000000"/>
          <w:sz w:val="32"/>
          <w:szCs w:val="32"/>
          <w:lang w:eastAsia="zh-CN"/>
        </w:rPr>
        <w:t>无</w:t>
      </w:r>
    </w:p>
    <w:p w14:paraId="5801EFB5">
      <w:pPr>
        <w:pStyle w:val="2"/>
        <w:ind w:right="440"/>
        <w:jc w:val="right"/>
      </w:pPr>
      <w:r>
        <w:rPr>
          <w:rFonts w:ascii="仿宋_GB2312" w:hAnsi="仿宋" w:eastAsia="仿宋_GB2312"/>
          <w:color w:val="000000"/>
          <w:sz w:val="32"/>
          <w:szCs w:val="32"/>
        </w:rPr>
        <w:br w:type="page"/>
      </w:r>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4"/>
      <w:bookmarkEnd w:id="25"/>
    </w:p>
    <w:p w14:paraId="1D955C7B">
      <w:pPr>
        <w:pStyle w:val="23"/>
        <w:numPr>
          <w:ilvl w:val="0"/>
          <w:numId w:val="2"/>
        </w:numPr>
        <w:spacing w:line="600" w:lineRule="exact"/>
        <w:ind w:firstLineChars="0"/>
        <w:outlineLvl w:val="1"/>
        <w:rPr>
          <w:rStyle w:val="25"/>
          <w:rFonts w:ascii="黑体" w:hAnsi="黑体" w:eastAsia="黑体"/>
          <w:b w:val="0"/>
        </w:rPr>
      </w:pPr>
      <w:bookmarkStart w:id="26" w:name="_Toc15377205"/>
      <w:bookmarkStart w:id="27"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6"/>
      <w:bookmarkEnd w:id="27"/>
    </w:p>
    <w:p w14:paraId="341DB9FE">
      <w:pPr>
        <w:ind w:firstLine="480" w:firstLineChars="150"/>
        <w:rPr>
          <w:rFonts w:hint="eastAsia"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年度收</w:t>
      </w:r>
      <w:r>
        <w:rPr>
          <w:rFonts w:hint="eastAsia" w:ascii="仿宋_GB2312" w:hAnsi="仿宋" w:eastAsia="仿宋_GB2312"/>
          <w:color w:val="000000"/>
          <w:sz w:val="32"/>
          <w:szCs w:val="32"/>
          <w:lang w:eastAsia="zh-CN"/>
        </w:rPr>
        <w:t>入</w:t>
      </w:r>
      <w:r>
        <w:rPr>
          <w:rFonts w:hint="eastAsia" w:ascii="仿宋_GB2312" w:hAnsi="仿宋" w:eastAsia="仿宋_GB2312"/>
          <w:color w:val="000000"/>
          <w:sz w:val="32"/>
          <w:szCs w:val="32"/>
          <w:lang w:val="en-US" w:eastAsia="zh-CN"/>
        </w:rPr>
        <w:t>157.51万元，支出157.51万元。</w:t>
      </w:r>
      <w:r>
        <w:rPr>
          <w:rFonts w:hint="eastAsia" w:ascii="仿宋_GB2312" w:hAnsi="仿宋" w:eastAsia="仿宋_GB2312"/>
          <w:color w:val="000000"/>
          <w:sz w:val="32"/>
          <w:szCs w:val="32"/>
        </w:rPr>
        <w:t>与</w:t>
      </w:r>
      <w:r>
        <w:rPr>
          <w:rFonts w:ascii="仿宋_GB2312" w:hAnsi="仿宋" w:eastAsia="仿宋_GB2312"/>
          <w:color w:val="000000"/>
          <w:sz w:val="32"/>
          <w:szCs w:val="32"/>
        </w:rPr>
        <w:t>2018</w:t>
      </w:r>
      <w:r>
        <w:rPr>
          <w:rFonts w:hint="eastAsia" w:ascii="仿宋_GB2312" w:hAnsi="仿宋" w:eastAsia="仿宋_GB2312"/>
          <w:color w:val="000000"/>
          <w:sz w:val="32"/>
          <w:szCs w:val="32"/>
        </w:rPr>
        <w:t>年相比，收</w:t>
      </w:r>
      <w:r>
        <w:rPr>
          <w:rFonts w:hint="eastAsia" w:ascii="仿宋_GB2312" w:hAnsi="仿宋" w:eastAsia="仿宋_GB2312"/>
          <w:color w:val="000000"/>
          <w:sz w:val="32"/>
          <w:szCs w:val="32"/>
          <w:lang w:eastAsia="zh-CN"/>
        </w:rPr>
        <w:t>入减少</w:t>
      </w:r>
      <w:r>
        <w:rPr>
          <w:rFonts w:hint="eastAsia" w:ascii="仿宋_GB2312" w:hAnsi="仿宋" w:eastAsia="仿宋_GB2312"/>
          <w:color w:val="000000"/>
          <w:sz w:val="32"/>
          <w:szCs w:val="32"/>
          <w:lang w:val="en-US" w:eastAsia="zh-CN"/>
        </w:rPr>
        <w:t>6.87万元，支出减少6.87万元，</w:t>
      </w:r>
      <w:r>
        <w:rPr>
          <w:rFonts w:hint="eastAsia" w:ascii="仿宋_GB2312" w:hAnsi="仿宋" w:eastAsia="仿宋_GB2312"/>
          <w:color w:val="000000"/>
          <w:sz w:val="32"/>
          <w:szCs w:val="32"/>
        </w:rPr>
        <w:t>下降</w:t>
      </w:r>
      <w:r>
        <w:rPr>
          <w:rFonts w:hint="eastAsia" w:ascii="仿宋_GB2312" w:hAnsi="仿宋" w:eastAsia="仿宋_GB2312"/>
          <w:color w:val="000000"/>
          <w:sz w:val="32"/>
          <w:szCs w:val="32"/>
          <w:lang w:val="en-US" w:eastAsia="zh-CN"/>
        </w:rPr>
        <w:t>4.18</w:t>
      </w:r>
      <w:r>
        <w:rPr>
          <w:rFonts w:ascii="仿宋_GB2312" w:hAnsi="仿宋" w:eastAsia="仿宋_GB2312"/>
          <w:color w:val="000000"/>
          <w:sz w:val="32"/>
          <w:szCs w:val="32"/>
        </w:rPr>
        <w:t>%</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eastAsia="zh-CN"/>
        </w:rPr>
        <w:t>减少项目支出的费用，压减不必要的支出</w:t>
      </w:r>
      <w:r>
        <w:rPr>
          <w:rFonts w:hint="eastAsia" w:ascii="仿宋_GB2312" w:hAnsi="仿宋" w:eastAsia="仿宋_GB2312"/>
          <w:color w:val="000000"/>
          <w:sz w:val="32"/>
          <w:szCs w:val="32"/>
        </w:rPr>
        <w:t>。</w:t>
      </w:r>
    </w:p>
    <w:p w14:paraId="7AC08C86">
      <w:pPr>
        <w:ind w:firstLine="480" w:firstLineChars="15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lang w:eastAsia="zh-CN"/>
        </w:rPr>
        <w:drawing>
          <wp:inline distT="0" distB="0" distL="114300" distR="114300">
            <wp:extent cx="4042410" cy="2496185"/>
            <wp:effectExtent l="4445" t="4445" r="10795" b="1397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B7D04A2">
      <w:pPr>
        <w:ind w:firstLine="480" w:firstLineChars="150"/>
        <w:rPr>
          <w:rFonts w:hint="eastAsia" w:ascii="仿宋_GB2312" w:hAnsi="仿宋" w:eastAsia="仿宋_GB2312"/>
          <w:color w:val="000000"/>
          <w:sz w:val="32"/>
          <w:szCs w:val="32"/>
          <w:lang w:eastAsia="zh-CN"/>
        </w:rPr>
      </w:pPr>
    </w:p>
    <w:p w14:paraId="40BA9DD7">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14:paraId="7DCC22CE">
      <w:pPr>
        <w:pStyle w:val="23"/>
        <w:numPr>
          <w:ilvl w:val="0"/>
          <w:numId w:val="2"/>
        </w:numPr>
        <w:spacing w:line="600" w:lineRule="exact"/>
        <w:ind w:firstLineChars="0"/>
        <w:outlineLvl w:val="1"/>
        <w:rPr>
          <w:rStyle w:val="25"/>
          <w:rFonts w:ascii="黑体" w:hAnsi="黑体" w:eastAsia="黑体"/>
          <w:b w:val="0"/>
        </w:rPr>
      </w:pPr>
      <w:bookmarkStart w:id="28" w:name="_Toc15377206"/>
      <w:bookmarkStart w:id="29"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8"/>
      <w:bookmarkEnd w:id="29"/>
    </w:p>
    <w:p w14:paraId="673B0805">
      <w:pPr>
        <w:ind w:firstLine="480" w:firstLineChars="150"/>
        <w:rPr>
          <w:rFonts w:ascii="仿宋_GB2312" w:hAnsi="仿宋" w:eastAsia="仿宋_GB2312"/>
          <w:color w:val="000000"/>
          <w:sz w:val="32"/>
          <w:szCs w:val="32"/>
        </w:rPr>
      </w:pPr>
      <w:bookmarkStart w:id="30" w:name="_Toc47519996"/>
      <w:r>
        <w:rPr>
          <w:rFonts w:ascii="仿宋_GB2312" w:hAnsi="仿宋" w:eastAsia="仿宋_GB2312"/>
          <w:color w:val="000000"/>
          <w:sz w:val="32"/>
          <w:szCs w:val="32"/>
        </w:rPr>
        <w:t>201</w:t>
      </w:r>
      <w:r>
        <w:rPr>
          <w:rFonts w:hint="eastAsia" w:ascii="仿宋_GB2312" w:hAnsi="仿宋" w:eastAsia="仿宋_GB2312"/>
          <w:color w:val="000000"/>
          <w:sz w:val="32"/>
          <w:szCs w:val="32"/>
        </w:rPr>
        <w:t>9年本年收入合计</w:t>
      </w:r>
      <w:r>
        <w:rPr>
          <w:rFonts w:hint="eastAsia" w:ascii="仿宋_GB2312" w:hAnsi="仿宋" w:eastAsia="仿宋_GB2312"/>
          <w:color w:val="000000"/>
          <w:sz w:val="32"/>
          <w:szCs w:val="32"/>
          <w:lang w:val="en-US" w:eastAsia="zh-CN"/>
        </w:rPr>
        <w:t>157.51</w:t>
      </w:r>
      <w:r>
        <w:rPr>
          <w:rFonts w:hint="eastAsia" w:ascii="仿宋_GB2312" w:hAnsi="仿宋" w:eastAsia="仿宋_GB2312"/>
          <w:color w:val="000000"/>
          <w:sz w:val="32"/>
          <w:szCs w:val="32"/>
        </w:rPr>
        <w:t>万元，其中：一般公共预算财政拨款收入</w:t>
      </w:r>
      <w:r>
        <w:rPr>
          <w:rFonts w:hint="eastAsia" w:ascii="仿宋_GB2312" w:hAnsi="仿宋" w:eastAsia="仿宋_GB2312"/>
          <w:color w:val="000000"/>
          <w:sz w:val="32"/>
          <w:szCs w:val="32"/>
          <w:lang w:val="en-US" w:eastAsia="zh-CN"/>
        </w:rPr>
        <w:t>157.51</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100</w:t>
      </w:r>
      <w:r>
        <w:rPr>
          <w:rFonts w:ascii="仿宋_GB2312" w:hAnsi="仿宋" w:eastAsia="仿宋_GB2312"/>
          <w:color w:val="000000"/>
          <w:sz w:val="32"/>
          <w:szCs w:val="32"/>
        </w:rPr>
        <w:t>%</w:t>
      </w:r>
      <w:r>
        <w:rPr>
          <w:rFonts w:hint="eastAsia" w:ascii="仿宋_GB2312" w:hAnsi="仿宋" w:eastAsia="仿宋_GB2312"/>
          <w:color w:val="000000"/>
          <w:sz w:val="32"/>
          <w:szCs w:val="32"/>
        </w:rPr>
        <w:t>；政府性基金预算财政拨款收入</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；国有资本经营预算财政拨款收入</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；事业收入</w:t>
      </w:r>
      <w:r>
        <w:rPr>
          <w:rFonts w:hint="eastAsia" w:ascii="仿宋_GB2312" w:hAnsi="仿宋" w:eastAsia="仿宋_GB2312"/>
          <w:color w:val="000000"/>
          <w:sz w:val="32"/>
          <w:szCs w:val="32"/>
          <w:lang w:val="en-US" w:eastAsia="zh-CN"/>
        </w:rPr>
        <w:t xml:space="preserve">0 </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；经营收入</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；附属单位上缴收入</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；其他收入</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w:t>
      </w:r>
      <w:bookmarkEnd w:id="30"/>
    </w:p>
    <w:p w14:paraId="789D2AE7">
      <w:pPr>
        <w:spacing w:line="600" w:lineRule="exact"/>
        <w:ind w:firstLine="640" w:firstLineChars="200"/>
        <w:outlineLvl w:val="1"/>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1553210</wp:posOffset>
            </wp:positionH>
            <wp:positionV relativeFrom="paragraph">
              <wp:posOffset>252095</wp:posOffset>
            </wp:positionV>
            <wp:extent cx="3460750" cy="1781175"/>
            <wp:effectExtent l="0" t="0" r="0" b="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1EDBE14B">
      <w:pPr>
        <w:spacing w:line="600" w:lineRule="exact"/>
        <w:ind w:firstLine="640" w:firstLineChars="200"/>
        <w:outlineLvl w:val="1"/>
        <w:rPr>
          <w:rFonts w:ascii="仿宋" w:hAnsi="仿宋" w:eastAsia="仿宋"/>
          <w:color w:val="000000"/>
          <w:sz w:val="32"/>
          <w:szCs w:val="32"/>
        </w:rPr>
      </w:pPr>
    </w:p>
    <w:p w14:paraId="319B139E">
      <w:pPr>
        <w:spacing w:line="600" w:lineRule="exact"/>
        <w:ind w:firstLine="640" w:firstLineChars="200"/>
        <w:outlineLvl w:val="1"/>
        <w:rPr>
          <w:rFonts w:ascii="仿宋" w:hAnsi="仿宋" w:eastAsia="仿宋"/>
          <w:color w:val="000000"/>
          <w:sz w:val="32"/>
          <w:szCs w:val="32"/>
        </w:rPr>
      </w:pPr>
    </w:p>
    <w:p w14:paraId="0449B8AA">
      <w:pPr>
        <w:spacing w:line="600" w:lineRule="exact"/>
        <w:ind w:firstLine="640" w:firstLineChars="200"/>
        <w:outlineLvl w:val="1"/>
        <w:rPr>
          <w:rFonts w:ascii="仿宋" w:hAnsi="仿宋" w:eastAsia="仿宋"/>
          <w:color w:val="000000"/>
          <w:sz w:val="32"/>
          <w:szCs w:val="32"/>
        </w:rPr>
      </w:pPr>
    </w:p>
    <w:p w14:paraId="5B3769BE">
      <w:pPr>
        <w:spacing w:line="600" w:lineRule="exact"/>
        <w:rPr>
          <w:rFonts w:hint="eastAsia" w:ascii="仿宋" w:hAnsi="仿宋" w:eastAsia="仿宋"/>
          <w:color w:val="000000" w:themeColor="text1"/>
          <w:sz w:val="32"/>
          <w:szCs w:val="32"/>
          <w14:textFill>
            <w14:solidFill>
              <w14:schemeClr w14:val="tx1"/>
            </w14:solidFill>
          </w14:textFill>
        </w:rPr>
      </w:pPr>
    </w:p>
    <w:p w14:paraId="1C18F9CD">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14:paraId="785576F4">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14:paraId="0AB8D212">
      <w:pPr>
        <w:spacing w:line="600" w:lineRule="exact"/>
        <w:ind w:firstLine="640" w:firstLineChars="200"/>
        <w:rPr>
          <w:rFonts w:ascii="仿宋_GB2312" w:eastAsia="仿宋_GB2312"/>
          <w:color w:val="FF0000"/>
          <w:sz w:val="32"/>
          <w:szCs w:val="32"/>
        </w:rPr>
      </w:pPr>
    </w:p>
    <w:p w14:paraId="7DFA1051">
      <w:pPr>
        <w:pStyle w:val="23"/>
        <w:numPr>
          <w:ilvl w:val="0"/>
          <w:numId w:val="2"/>
        </w:numPr>
        <w:spacing w:line="600" w:lineRule="exact"/>
        <w:ind w:firstLineChars="0"/>
        <w:outlineLvl w:val="1"/>
        <w:rPr>
          <w:rStyle w:val="25"/>
          <w:rFonts w:ascii="黑体" w:hAnsi="黑体" w:eastAsia="黑体"/>
          <w:b w:val="0"/>
        </w:rPr>
      </w:pPr>
      <w:bookmarkStart w:id="31" w:name="_Toc15377207"/>
      <w:bookmarkStart w:id="32"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31"/>
      <w:bookmarkEnd w:id="32"/>
    </w:p>
    <w:p w14:paraId="7FF78CCB">
      <w:pPr>
        <w:spacing w:line="600" w:lineRule="exact"/>
        <w:ind w:firstLine="640" w:firstLineChars="200"/>
        <w:outlineLvl w:val="1"/>
        <w:rPr>
          <w:rFonts w:hint="eastAsia"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年本年支出合计</w:t>
      </w:r>
      <w:r>
        <w:rPr>
          <w:rFonts w:hint="eastAsia" w:ascii="仿宋_GB2312" w:hAnsi="仿宋" w:eastAsia="仿宋_GB2312"/>
          <w:color w:val="000000"/>
          <w:sz w:val="32"/>
          <w:szCs w:val="32"/>
          <w:lang w:val="en-US" w:eastAsia="zh-CN"/>
        </w:rPr>
        <w:t>157.51</w:t>
      </w:r>
      <w:r>
        <w:rPr>
          <w:rFonts w:hint="eastAsia" w:ascii="仿宋_GB2312" w:hAnsi="仿宋" w:eastAsia="仿宋_GB2312"/>
          <w:color w:val="000000"/>
          <w:sz w:val="32"/>
          <w:szCs w:val="32"/>
        </w:rPr>
        <w:t>万元，其中：基本支出</w:t>
      </w:r>
      <w:r>
        <w:rPr>
          <w:rFonts w:hint="eastAsia" w:ascii="仿宋_GB2312" w:hAnsi="仿宋" w:eastAsia="仿宋_GB2312"/>
          <w:color w:val="000000"/>
          <w:sz w:val="32"/>
          <w:szCs w:val="32"/>
          <w:lang w:val="en-US" w:eastAsia="zh-CN"/>
        </w:rPr>
        <w:t>119.29</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总支出的</w:t>
      </w:r>
      <w:r>
        <w:rPr>
          <w:rFonts w:hint="eastAsia" w:ascii="仿宋_GB2312" w:hAnsi="仿宋" w:eastAsia="仿宋_GB2312"/>
          <w:color w:val="000000"/>
          <w:sz w:val="32"/>
          <w:szCs w:val="32"/>
          <w:lang w:val="en-US" w:eastAsia="zh-CN"/>
        </w:rPr>
        <w:t>75.73</w:t>
      </w:r>
      <w:r>
        <w:rPr>
          <w:rFonts w:ascii="仿宋_GB2312" w:hAnsi="仿宋" w:eastAsia="仿宋_GB2312"/>
          <w:color w:val="000000"/>
          <w:sz w:val="32"/>
          <w:szCs w:val="32"/>
        </w:rPr>
        <w:t>%</w:t>
      </w:r>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38.22</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总支出的</w:t>
      </w:r>
      <w:r>
        <w:rPr>
          <w:rFonts w:hint="eastAsia" w:ascii="仿宋_GB2312" w:hAnsi="仿宋" w:eastAsia="仿宋_GB2312"/>
          <w:color w:val="000000"/>
          <w:sz w:val="32"/>
          <w:szCs w:val="32"/>
          <w:lang w:val="en-US" w:eastAsia="zh-CN"/>
        </w:rPr>
        <w:t>24.27</w:t>
      </w:r>
      <w:r>
        <w:rPr>
          <w:rFonts w:ascii="仿宋_GB2312" w:hAnsi="仿宋" w:eastAsia="仿宋_GB2312"/>
          <w:color w:val="000000"/>
          <w:sz w:val="32"/>
          <w:szCs w:val="32"/>
        </w:rPr>
        <w:t>%</w:t>
      </w:r>
      <w:r>
        <w:rPr>
          <w:rFonts w:hint="eastAsia" w:ascii="仿宋_GB2312" w:hAnsi="仿宋" w:eastAsia="仿宋_GB2312"/>
          <w:color w:val="000000"/>
          <w:sz w:val="32"/>
          <w:szCs w:val="32"/>
        </w:rPr>
        <w:t>；上缴上级支出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总支出的</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；经营支出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总支出的</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；对附属单位补助支出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总支出的</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w:t>
      </w:r>
    </w:p>
    <w:p w14:paraId="589B724A">
      <w:pPr>
        <w:spacing w:line="600" w:lineRule="exact"/>
        <w:ind w:firstLine="640" w:firstLineChars="200"/>
        <w:outlineLvl w:val="1"/>
        <w:rPr>
          <w:rFonts w:hint="eastAsia" w:ascii="仿宋_GB2312" w:hAnsi="仿宋" w:eastAsia="仿宋_GB2312"/>
          <w:color w:val="000000"/>
          <w:sz w:val="32"/>
          <w:szCs w:val="32"/>
        </w:rPr>
      </w:pPr>
      <w:r>
        <w:rPr>
          <w:rFonts w:hint="eastAsia" w:ascii="仿宋_GB2312" w:hAnsi="仿宋" w:eastAsia="仿宋_GB2312"/>
          <w:color w:val="000000"/>
          <w:sz w:val="32"/>
          <w:szCs w:val="32"/>
          <w:lang w:eastAsia="zh-CN"/>
        </w:rPr>
        <w:drawing>
          <wp:anchor distT="0" distB="0" distL="114300" distR="114300" simplePos="0" relativeHeight="251660288" behindDoc="0" locked="0" layoutInCell="1" allowOverlap="1">
            <wp:simplePos x="0" y="0"/>
            <wp:positionH relativeFrom="column">
              <wp:posOffset>267335</wp:posOffset>
            </wp:positionH>
            <wp:positionV relativeFrom="paragraph">
              <wp:posOffset>173990</wp:posOffset>
            </wp:positionV>
            <wp:extent cx="4975860" cy="2031365"/>
            <wp:effectExtent l="4445" t="4445" r="10795" b="2159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359B5AE7">
      <w:pPr>
        <w:spacing w:line="600" w:lineRule="exact"/>
        <w:ind w:firstLine="640" w:firstLineChars="200"/>
        <w:outlineLvl w:val="1"/>
        <w:rPr>
          <w:rFonts w:hint="eastAsia" w:ascii="仿宋_GB2312" w:hAnsi="仿宋" w:eastAsia="仿宋_GB2312"/>
          <w:color w:val="000000"/>
          <w:sz w:val="32"/>
          <w:szCs w:val="32"/>
        </w:rPr>
      </w:pPr>
    </w:p>
    <w:p w14:paraId="6BD2DCB6">
      <w:pPr>
        <w:spacing w:line="600" w:lineRule="exact"/>
        <w:ind w:firstLine="640" w:firstLineChars="200"/>
        <w:outlineLvl w:val="1"/>
        <w:rPr>
          <w:rFonts w:hint="eastAsia" w:ascii="仿宋_GB2312" w:hAnsi="仿宋" w:eastAsia="仿宋_GB2312"/>
          <w:color w:val="000000"/>
          <w:sz w:val="32"/>
          <w:szCs w:val="32"/>
        </w:rPr>
      </w:pPr>
    </w:p>
    <w:p w14:paraId="1D0E9E72">
      <w:pPr>
        <w:spacing w:line="600" w:lineRule="exact"/>
        <w:ind w:firstLine="640" w:firstLineChars="200"/>
        <w:outlineLvl w:val="1"/>
        <w:rPr>
          <w:rFonts w:hint="eastAsia" w:ascii="仿宋_GB2312" w:hAnsi="仿宋" w:eastAsia="仿宋_GB2312"/>
          <w:color w:val="000000"/>
          <w:sz w:val="32"/>
          <w:szCs w:val="32"/>
        </w:rPr>
      </w:pPr>
    </w:p>
    <w:p w14:paraId="5490A744">
      <w:pPr>
        <w:spacing w:line="600" w:lineRule="exact"/>
        <w:ind w:firstLine="640" w:firstLineChars="200"/>
        <w:outlineLvl w:val="1"/>
        <w:rPr>
          <w:rFonts w:hint="eastAsia" w:ascii="仿宋_GB2312" w:hAnsi="仿宋" w:eastAsia="仿宋_GB2312"/>
          <w:color w:val="000000"/>
          <w:sz w:val="32"/>
          <w:szCs w:val="32"/>
          <w:lang w:eastAsia="zh-CN"/>
        </w:rPr>
      </w:pPr>
    </w:p>
    <w:p w14:paraId="4D5C07CB">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14:paraId="3AC748A2">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14:paraId="4ECD9FDC">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14:paraId="680C7561">
      <w:pPr>
        <w:spacing w:line="600" w:lineRule="exact"/>
        <w:ind w:firstLine="640" w:firstLineChars="200"/>
        <w:rPr>
          <w:rFonts w:ascii="仿宋_GB2312" w:eastAsia="仿宋_GB2312"/>
          <w:color w:val="FF0000"/>
          <w:sz w:val="32"/>
          <w:szCs w:val="32"/>
        </w:rPr>
      </w:pPr>
    </w:p>
    <w:p w14:paraId="010E3684">
      <w:pPr>
        <w:spacing w:line="600" w:lineRule="exact"/>
        <w:ind w:firstLine="640" w:firstLineChars="200"/>
        <w:outlineLvl w:val="1"/>
        <w:rPr>
          <w:rStyle w:val="25"/>
          <w:rFonts w:ascii="黑体" w:hAnsi="黑体" w:eastAsia="黑体"/>
          <w:b w:val="0"/>
        </w:rPr>
      </w:pPr>
      <w:bookmarkStart w:id="33" w:name="_Toc15377208"/>
      <w:bookmarkStart w:id="34"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3"/>
      <w:bookmarkEnd w:id="34"/>
    </w:p>
    <w:p w14:paraId="5CA14F3B">
      <w:pPr>
        <w:spacing w:line="600" w:lineRule="exact"/>
        <w:ind w:firstLine="640"/>
        <w:rPr>
          <w:rFonts w:hint="eastAsia" w:ascii="仿宋_GB2312" w:hAnsi="仿宋" w:eastAsia="仿宋_GB2312"/>
          <w:color w:val="000000"/>
          <w:sz w:val="32"/>
          <w:szCs w:val="32"/>
          <w:lang w:eastAsia="zh-CN"/>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年财政拨款收</w:t>
      </w:r>
      <w:r>
        <w:rPr>
          <w:rFonts w:hint="eastAsia" w:ascii="仿宋_GB2312" w:hAnsi="仿宋" w:eastAsia="仿宋_GB2312"/>
          <w:color w:val="000000"/>
          <w:sz w:val="32"/>
          <w:szCs w:val="32"/>
          <w:lang w:eastAsia="zh-CN"/>
        </w:rPr>
        <w:t>入</w:t>
      </w:r>
      <w:r>
        <w:rPr>
          <w:rFonts w:hint="eastAsia" w:ascii="仿宋_GB2312" w:hAnsi="仿宋" w:eastAsia="仿宋_GB2312"/>
          <w:color w:val="000000"/>
          <w:sz w:val="32"/>
          <w:szCs w:val="32"/>
          <w:lang w:val="en-US" w:eastAsia="zh-CN"/>
        </w:rPr>
        <w:t>157.51</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，财政拨款支出</w:t>
      </w:r>
      <w:r>
        <w:rPr>
          <w:rFonts w:hint="eastAsia" w:ascii="仿宋_GB2312" w:hAnsi="仿宋" w:eastAsia="仿宋_GB2312"/>
          <w:color w:val="000000"/>
          <w:sz w:val="32"/>
          <w:szCs w:val="32"/>
          <w:lang w:val="en-US" w:eastAsia="zh-CN"/>
        </w:rPr>
        <w:t>157.51</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与</w:t>
      </w:r>
      <w:r>
        <w:rPr>
          <w:rFonts w:ascii="仿宋_GB2312" w:hAnsi="仿宋" w:eastAsia="仿宋_GB2312"/>
          <w:color w:val="000000"/>
          <w:sz w:val="32"/>
          <w:szCs w:val="32"/>
        </w:rPr>
        <w:t>2018</w:t>
      </w:r>
      <w:r>
        <w:rPr>
          <w:rFonts w:hint="eastAsia" w:ascii="仿宋_GB2312" w:hAnsi="仿宋" w:eastAsia="仿宋_GB2312"/>
          <w:color w:val="000000"/>
          <w:sz w:val="32"/>
          <w:szCs w:val="32"/>
        </w:rPr>
        <w:t>年相比，财政拨款收</w:t>
      </w:r>
      <w:r>
        <w:rPr>
          <w:rFonts w:hint="eastAsia" w:ascii="仿宋_GB2312" w:hAnsi="仿宋" w:eastAsia="仿宋_GB2312"/>
          <w:color w:val="000000"/>
          <w:sz w:val="32"/>
          <w:szCs w:val="32"/>
          <w:lang w:eastAsia="zh-CN"/>
        </w:rPr>
        <w:t>入减少了</w:t>
      </w:r>
      <w:r>
        <w:rPr>
          <w:rFonts w:hint="eastAsia" w:ascii="仿宋_GB2312" w:hAnsi="仿宋" w:eastAsia="仿宋_GB2312"/>
          <w:color w:val="000000"/>
          <w:sz w:val="32"/>
          <w:szCs w:val="32"/>
          <w:lang w:val="en-US" w:eastAsia="zh-CN"/>
        </w:rPr>
        <w:t>6.87万元，下降4.18</w:t>
      </w:r>
      <w:r>
        <w:rPr>
          <w:rFonts w:ascii="仿宋_GB2312" w:hAnsi="仿宋" w:eastAsia="仿宋_GB2312"/>
          <w:color w:val="000000"/>
          <w:sz w:val="32"/>
          <w:szCs w:val="32"/>
        </w:rPr>
        <w:t>%</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支</w:t>
      </w:r>
      <w:r>
        <w:rPr>
          <w:rFonts w:hint="eastAsia" w:ascii="仿宋_GB2312" w:hAnsi="仿宋" w:eastAsia="仿宋_GB2312"/>
          <w:color w:val="000000"/>
          <w:sz w:val="32"/>
          <w:szCs w:val="32"/>
          <w:lang w:eastAsia="zh-CN"/>
        </w:rPr>
        <w:t>出</w:t>
      </w:r>
      <w:r>
        <w:rPr>
          <w:rFonts w:hint="eastAsia" w:ascii="仿宋_GB2312" w:hAnsi="仿宋" w:eastAsia="仿宋_GB2312"/>
          <w:color w:val="000000"/>
          <w:sz w:val="32"/>
          <w:szCs w:val="32"/>
        </w:rPr>
        <w:t>减少</w:t>
      </w:r>
      <w:r>
        <w:rPr>
          <w:rFonts w:hint="eastAsia" w:ascii="仿宋_GB2312" w:hAnsi="仿宋" w:eastAsia="仿宋_GB2312"/>
          <w:color w:val="000000"/>
          <w:sz w:val="32"/>
          <w:szCs w:val="32"/>
          <w:lang w:val="en-US" w:eastAsia="zh-CN"/>
        </w:rPr>
        <w:t>6.87</w:t>
      </w:r>
      <w:r>
        <w:rPr>
          <w:rFonts w:hint="eastAsia" w:ascii="仿宋_GB2312" w:hAnsi="仿宋" w:eastAsia="仿宋_GB2312"/>
          <w:color w:val="000000"/>
          <w:sz w:val="32"/>
          <w:szCs w:val="32"/>
        </w:rPr>
        <w:t>万元，下降</w:t>
      </w:r>
      <w:r>
        <w:rPr>
          <w:rFonts w:hint="eastAsia" w:ascii="仿宋_GB2312" w:hAnsi="仿宋" w:eastAsia="仿宋_GB2312"/>
          <w:color w:val="000000"/>
          <w:sz w:val="32"/>
          <w:szCs w:val="32"/>
          <w:lang w:val="en-US" w:eastAsia="zh-CN"/>
        </w:rPr>
        <w:t>4.18</w:t>
      </w:r>
      <w:r>
        <w:rPr>
          <w:rFonts w:ascii="仿宋_GB2312" w:hAnsi="仿宋" w:eastAsia="仿宋_GB2312"/>
          <w:color w:val="000000"/>
          <w:sz w:val="32"/>
          <w:szCs w:val="32"/>
        </w:rPr>
        <w:t>%</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eastAsia="zh-CN"/>
        </w:rPr>
        <w:t>减少项目经费的安排</w:t>
      </w:r>
      <w:r>
        <w:rPr>
          <w:rFonts w:hint="eastAsia" w:ascii="仿宋_GB2312" w:hAnsi="仿宋" w:eastAsia="仿宋_GB2312"/>
          <w:color w:val="000000"/>
          <w:sz w:val="32"/>
          <w:szCs w:val="32"/>
          <w:lang w:val="en-US" w:eastAsia="zh-CN"/>
        </w:rPr>
        <w:t>,压减不必要的支出</w:t>
      </w:r>
      <w:r>
        <w:rPr>
          <w:rFonts w:hint="eastAsia" w:ascii="仿宋_GB2312" w:hAnsi="仿宋" w:eastAsia="仿宋_GB2312"/>
          <w:color w:val="000000"/>
          <w:sz w:val="32"/>
          <w:szCs w:val="32"/>
          <w:lang w:eastAsia="zh-CN"/>
        </w:rPr>
        <w:t>。</w:t>
      </w:r>
    </w:p>
    <w:p w14:paraId="38475A78">
      <w:pPr>
        <w:spacing w:line="600" w:lineRule="exact"/>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1312" behindDoc="0" locked="0" layoutInCell="1" allowOverlap="1">
            <wp:simplePos x="0" y="0"/>
            <wp:positionH relativeFrom="column">
              <wp:posOffset>-81915</wp:posOffset>
            </wp:positionH>
            <wp:positionV relativeFrom="paragraph">
              <wp:posOffset>215900</wp:posOffset>
            </wp:positionV>
            <wp:extent cx="5642610" cy="2883535"/>
            <wp:effectExtent l="4445" t="4445" r="10795" b="762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08519BE1">
      <w:pPr>
        <w:spacing w:line="600" w:lineRule="exact"/>
        <w:rPr>
          <w:rFonts w:ascii="仿宋" w:hAnsi="仿宋" w:eastAsia="仿宋"/>
          <w:color w:val="000000"/>
          <w:sz w:val="32"/>
          <w:szCs w:val="32"/>
        </w:rPr>
      </w:pPr>
    </w:p>
    <w:p w14:paraId="69096344">
      <w:pPr>
        <w:spacing w:line="600" w:lineRule="exact"/>
        <w:rPr>
          <w:rFonts w:ascii="仿宋" w:hAnsi="仿宋" w:eastAsia="仿宋"/>
          <w:color w:val="000000"/>
          <w:sz w:val="32"/>
          <w:szCs w:val="32"/>
        </w:rPr>
      </w:pPr>
    </w:p>
    <w:p w14:paraId="2028C236">
      <w:pPr>
        <w:spacing w:line="600" w:lineRule="exact"/>
        <w:rPr>
          <w:rFonts w:ascii="仿宋" w:hAnsi="仿宋" w:eastAsia="仿宋"/>
          <w:color w:val="000000"/>
          <w:sz w:val="32"/>
          <w:szCs w:val="32"/>
        </w:rPr>
      </w:pPr>
    </w:p>
    <w:p w14:paraId="1310EEEE">
      <w:pPr>
        <w:spacing w:line="600" w:lineRule="exact"/>
        <w:rPr>
          <w:rFonts w:ascii="仿宋" w:hAnsi="仿宋" w:eastAsia="仿宋"/>
          <w:color w:val="000000"/>
          <w:sz w:val="32"/>
          <w:szCs w:val="32"/>
        </w:rPr>
      </w:pPr>
    </w:p>
    <w:p w14:paraId="33521559">
      <w:pPr>
        <w:spacing w:line="600" w:lineRule="exact"/>
        <w:rPr>
          <w:rFonts w:ascii="仿宋" w:hAnsi="仿宋" w:eastAsia="仿宋"/>
          <w:color w:val="000000"/>
          <w:sz w:val="32"/>
          <w:szCs w:val="32"/>
        </w:rPr>
      </w:pPr>
    </w:p>
    <w:p w14:paraId="776C1750">
      <w:pPr>
        <w:spacing w:line="600" w:lineRule="exact"/>
        <w:rPr>
          <w:rFonts w:ascii="仿宋" w:hAnsi="仿宋" w:eastAsia="仿宋"/>
          <w:color w:val="000000"/>
          <w:sz w:val="32"/>
          <w:szCs w:val="32"/>
        </w:rPr>
      </w:pPr>
    </w:p>
    <w:p w14:paraId="07417C27">
      <w:pPr>
        <w:spacing w:line="600" w:lineRule="exact"/>
        <w:rPr>
          <w:rFonts w:hint="eastAsia" w:ascii="仿宋" w:hAnsi="仿宋" w:eastAsia="仿宋"/>
          <w:color w:val="000000"/>
          <w:sz w:val="32"/>
          <w:szCs w:val="32"/>
          <w:lang w:eastAsia="zh-CN"/>
        </w:rPr>
      </w:pPr>
    </w:p>
    <w:p w14:paraId="1BEEA657">
      <w:pPr>
        <w:spacing w:line="600" w:lineRule="exact"/>
        <w:rPr>
          <w:rFonts w:hint="eastAsia" w:ascii="仿宋" w:hAnsi="仿宋" w:eastAsia="仿宋"/>
          <w:color w:val="000000"/>
          <w:sz w:val="32"/>
          <w:szCs w:val="32"/>
          <w:lang w:eastAsia="zh-CN"/>
        </w:rPr>
      </w:pPr>
    </w:p>
    <w:p w14:paraId="0C75BC9C">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14:paraId="0EA06CA3">
      <w:pPr>
        <w:spacing w:line="600" w:lineRule="exact"/>
        <w:ind w:firstLine="640"/>
        <w:rPr>
          <w:rFonts w:ascii="仿宋" w:hAnsi="仿宋" w:eastAsia="仿宋"/>
          <w:b/>
          <w:color w:val="00B050"/>
          <w:sz w:val="32"/>
          <w:szCs w:val="32"/>
        </w:rPr>
      </w:pPr>
    </w:p>
    <w:p w14:paraId="3F55A45A">
      <w:pPr>
        <w:spacing w:line="600" w:lineRule="exact"/>
        <w:ind w:firstLine="640" w:firstLineChars="200"/>
        <w:outlineLvl w:val="1"/>
        <w:rPr>
          <w:rStyle w:val="25"/>
          <w:rFonts w:ascii="黑体" w:hAnsi="黑体" w:eastAsia="黑体"/>
          <w:b w:val="0"/>
        </w:rPr>
      </w:pPr>
      <w:bookmarkStart w:id="35" w:name="_Toc15396607"/>
      <w:bookmarkStart w:id="36"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5"/>
      <w:bookmarkEnd w:id="36"/>
    </w:p>
    <w:p w14:paraId="18306B2A">
      <w:pPr>
        <w:spacing w:line="600" w:lineRule="exact"/>
        <w:ind w:firstLine="643" w:firstLineChars="200"/>
        <w:outlineLvl w:val="2"/>
        <w:rPr>
          <w:rFonts w:ascii="仿宋" w:hAnsi="仿宋" w:eastAsia="仿宋"/>
          <w:b/>
          <w:color w:val="000000"/>
          <w:sz w:val="32"/>
          <w:szCs w:val="32"/>
        </w:rPr>
      </w:pPr>
      <w:bookmarkStart w:id="37" w:name="_Toc15377210"/>
      <w:r>
        <w:rPr>
          <w:rFonts w:hint="eastAsia" w:ascii="仿宋" w:hAnsi="仿宋" w:eastAsia="仿宋"/>
          <w:b/>
          <w:color w:val="000000"/>
          <w:sz w:val="32"/>
          <w:szCs w:val="32"/>
        </w:rPr>
        <w:t>（一）一般公共预算财政拨款支出决算总体情况</w:t>
      </w:r>
      <w:bookmarkEnd w:id="37"/>
    </w:p>
    <w:p w14:paraId="40075E6F">
      <w:pPr>
        <w:spacing w:line="600" w:lineRule="exact"/>
        <w:ind w:firstLine="640" w:firstLineChars="200"/>
        <w:outlineLvl w:val="2"/>
        <w:rPr>
          <w:rFonts w:ascii="仿宋_GB2312" w:hAnsi="仿宋" w:eastAsia="仿宋_GB2312"/>
          <w:color w:val="000000"/>
          <w:sz w:val="32"/>
          <w:szCs w:val="32"/>
        </w:rPr>
      </w:pPr>
      <w:r>
        <w:rPr>
          <w:rFonts w:ascii="仿宋_GB2312" w:hAnsi="仿宋" w:eastAsia="仿宋_GB2312"/>
          <w:color w:val="000000"/>
          <w:sz w:val="32"/>
          <w:szCs w:val="32"/>
        </w:rPr>
        <w:t>1</w:t>
      </w:r>
      <w:r>
        <w:rPr>
          <w:rFonts w:hint="eastAsia" w:ascii="仿宋_GB2312" w:hAnsi="仿宋" w:eastAsia="仿宋_GB2312"/>
          <w:color w:val="000000"/>
          <w:sz w:val="32"/>
          <w:szCs w:val="32"/>
        </w:rPr>
        <w:t>.一般公共预算财政拨款支出决算总体情况</w:t>
      </w:r>
    </w:p>
    <w:p w14:paraId="67FDFE03">
      <w:pPr>
        <w:ind w:firstLine="480" w:firstLineChars="150"/>
        <w:rPr>
          <w:rFonts w:hint="eastAsia"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年一般公共预算财政拨款支出</w:t>
      </w:r>
      <w:r>
        <w:rPr>
          <w:rFonts w:hint="eastAsia" w:ascii="仿宋_GB2312" w:hAnsi="仿宋" w:eastAsia="仿宋_GB2312"/>
          <w:color w:val="000000"/>
          <w:sz w:val="32"/>
          <w:szCs w:val="32"/>
          <w:lang w:val="en-US" w:eastAsia="zh-CN"/>
        </w:rPr>
        <w:t>157.51</w:t>
      </w:r>
      <w:r>
        <w:rPr>
          <w:rFonts w:hint="eastAsia" w:ascii="仿宋_GB2312" w:hAnsi="仿宋" w:eastAsia="仿宋_GB2312"/>
          <w:color w:val="000000"/>
          <w:sz w:val="32"/>
          <w:szCs w:val="32"/>
        </w:rPr>
        <w:t>万元，占本年支出合计的</w:t>
      </w:r>
      <w:r>
        <w:rPr>
          <w:rFonts w:hint="eastAsia" w:ascii="仿宋_GB2312" w:hAnsi="仿宋" w:eastAsia="仿宋_GB2312"/>
          <w:color w:val="000000"/>
          <w:sz w:val="32"/>
          <w:szCs w:val="32"/>
          <w:lang w:val="en-US" w:eastAsia="zh-CN"/>
        </w:rPr>
        <w:t>100</w:t>
      </w:r>
      <w:r>
        <w:rPr>
          <w:rFonts w:ascii="仿宋_GB2312" w:hAnsi="仿宋" w:eastAsia="仿宋_GB2312"/>
          <w:color w:val="000000"/>
          <w:sz w:val="32"/>
          <w:szCs w:val="32"/>
        </w:rPr>
        <w:t>%</w:t>
      </w:r>
      <w:r>
        <w:rPr>
          <w:rFonts w:hint="eastAsia" w:ascii="仿宋_GB2312" w:hAnsi="仿宋" w:eastAsia="仿宋_GB2312"/>
          <w:color w:val="000000"/>
          <w:sz w:val="32"/>
          <w:szCs w:val="32"/>
        </w:rPr>
        <w:t>。与</w:t>
      </w:r>
      <w:r>
        <w:rPr>
          <w:rFonts w:ascii="仿宋_GB2312" w:hAnsi="仿宋" w:eastAsia="仿宋_GB2312"/>
          <w:color w:val="000000"/>
          <w:sz w:val="32"/>
          <w:szCs w:val="32"/>
        </w:rPr>
        <w:t>2018</w:t>
      </w:r>
      <w:r>
        <w:rPr>
          <w:rFonts w:hint="eastAsia" w:ascii="仿宋_GB2312" w:hAnsi="仿宋" w:eastAsia="仿宋_GB2312"/>
          <w:color w:val="000000"/>
          <w:sz w:val="32"/>
          <w:szCs w:val="32"/>
        </w:rPr>
        <w:t>年相比，收</w:t>
      </w:r>
      <w:r>
        <w:rPr>
          <w:rFonts w:hint="eastAsia" w:ascii="仿宋_GB2312" w:hAnsi="仿宋" w:eastAsia="仿宋_GB2312"/>
          <w:color w:val="000000"/>
          <w:sz w:val="32"/>
          <w:szCs w:val="32"/>
          <w:lang w:eastAsia="zh-CN"/>
        </w:rPr>
        <w:t>入减少</w:t>
      </w:r>
      <w:r>
        <w:rPr>
          <w:rFonts w:hint="eastAsia" w:ascii="仿宋_GB2312" w:hAnsi="仿宋" w:eastAsia="仿宋_GB2312"/>
          <w:color w:val="000000"/>
          <w:sz w:val="32"/>
          <w:szCs w:val="32"/>
          <w:lang w:val="en-US" w:eastAsia="zh-CN"/>
        </w:rPr>
        <w:t>6.87万元，支出减少6.87万元，</w:t>
      </w:r>
      <w:r>
        <w:rPr>
          <w:rFonts w:hint="eastAsia" w:ascii="仿宋_GB2312" w:hAnsi="仿宋" w:eastAsia="仿宋_GB2312"/>
          <w:color w:val="000000"/>
          <w:sz w:val="32"/>
          <w:szCs w:val="32"/>
        </w:rPr>
        <w:t>下降</w:t>
      </w:r>
      <w:r>
        <w:rPr>
          <w:rFonts w:hint="eastAsia" w:ascii="仿宋_GB2312" w:hAnsi="仿宋" w:eastAsia="仿宋_GB2312"/>
          <w:color w:val="000000"/>
          <w:sz w:val="32"/>
          <w:szCs w:val="32"/>
          <w:lang w:val="en-US" w:eastAsia="zh-CN"/>
        </w:rPr>
        <w:t>4.18</w:t>
      </w:r>
      <w:r>
        <w:rPr>
          <w:rFonts w:ascii="仿宋_GB2312" w:hAnsi="仿宋" w:eastAsia="仿宋_GB2312"/>
          <w:color w:val="000000"/>
          <w:sz w:val="32"/>
          <w:szCs w:val="32"/>
        </w:rPr>
        <w:t>%</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eastAsia="zh-CN"/>
        </w:rPr>
        <w:t>减少项目支出的费用，压减不必要的支出</w:t>
      </w:r>
      <w:r>
        <w:rPr>
          <w:rFonts w:hint="eastAsia" w:ascii="仿宋_GB2312" w:hAnsi="仿宋" w:eastAsia="仿宋_GB2312"/>
          <w:color w:val="000000"/>
          <w:sz w:val="32"/>
          <w:szCs w:val="32"/>
        </w:rPr>
        <w:t>。</w:t>
      </w:r>
    </w:p>
    <w:p w14:paraId="76A50844">
      <w:pPr>
        <w:spacing w:line="600" w:lineRule="exact"/>
        <w:ind w:firstLine="640" w:firstLineChars="200"/>
        <w:outlineLvl w:val="2"/>
        <w:rPr>
          <w:rFonts w:hint="eastAsia" w:ascii="仿宋_GB2312" w:hAnsi="仿宋" w:eastAsia="仿宋_GB2312"/>
          <w:color w:val="000000"/>
          <w:sz w:val="32"/>
          <w:szCs w:val="32"/>
        </w:rPr>
      </w:pPr>
      <w:r>
        <w:rPr>
          <w:rFonts w:hint="eastAsia" w:ascii="仿宋" w:hAns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420370</wp:posOffset>
            </wp:positionH>
            <wp:positionV relativeFrom="paragraph">
              <wp:posOffset>62230</wp:posOffset>
            </wp:positionV>
            <wp:extent cx="4956810" cy="2504440"/>
            <wp:effectExtent l="4445" t="4445" r="10795" b="571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208508F5">
      <w:pPr>
        <w:spacing w:line="600" w:lineRule="exact"/>
        <w:ind w:firstLine="640" w:firstLineChars="200"/>
        <w:rPr>
          <w:rFonts w:ascii="仿宋" w:hAnsi="仿宋" w:eastAsia="仿宋"/>
          <w:color w:val="000000"/>
          <w:sz w:val="32"/>
          <w:szCs w:val="32"/>
        </w:rPr>
      </w:pPr>
    </w:p>
    <w:p w14:paraId="694A4BDE">
      <w:pPr>
        <w:spacing w:line="600" w:lineRule="exact"/>
        <w:ind w:firstLine="640" w:firstLineChars="200"/>
        <w:rPr>
          <w:rFonts w:ascii="仿宋" w:hAnsi="仿宋" w:eastAsia="仿宋"/>
          <w:color w:val="000000"/>
          <w:sz w:val="32"/>
          <w:szCs w:val="32"/>
        </w:rPr>
      </w:pPr>
    </w:p>
    <w:p w14:paraId="47FE1020">
      <w:pPr>
        <w:spacing w:line="600" w:lineRule="exact"/>
        <w:ind w:firstLine="640" w:firstLineChars="200"/>
        <w:rPr>
          <w:rFonts w:ascii="仿宋" w:hAnsi="仿宋" w:eastAsia="仿宋"/>
          <w:color w:val="000000"/>
          <w:sz w:val="32"/>
          <w:szCs w:val="32"/>
        </w:rPr>
      </w:pPr>
    </w:p>
    <w:p w14:paraId="3E8D4C17">
      <w:pPr>
        <w:spacing w:line="600" w:lineRule="exact"/>
        <w:ind w:firstLine="640" w:firstLineChars="200"/>
        <w:rPr>
          <w:rFonts w:ascii="仿宋" w:hAnsi="仿宋" w:eastAsia="仿宋"/>
          <w:color w:val="000000"/>
          <w:sz w:val="32"/>
          <w:szCs w:val="32"/>
        </w:rPr>
      </w:pPr>
    </w:p>
    <w:p w14:paraId="3C0F80DC">
      <w:pPr>
        <w:spacing w:line="600" w:lineRule="exact"/>
        <w:ind w:firstLine="640" w:firstLineChars="200"/>
        <w:rPr>
          <w:rFonts w:ascii="仿宋" w:hAnsi="仿宋" w:eastAsia="仿宋"/>
          <w:color w:val="000000"/>
          <w:sz w:val="32"/>
          <w:szCs w:val="32"/>
        </w:rPr>
      </w:pPr>
    </w:p>
    <w:p w14:paraId="088DA0D0">
      <w:pPr>
        <w:spacing w:line="600" w:lineRule="exact"/>
        <w:ind w:firstLine="640" w:firstLineChars="200"/>
        <w:rPr>
          <w:rFonts w:hint="eastAsia" w:ascii="仿宋" w:hAnsi="仿宋" w:eastAsia="仿宋"/>
          <w:color w:val="000000"/>
          <w:sz w:val="32"/>
          <w:szCs w:val="32"/>
          <w:lang w:eastAsia="zh-CN"/>
        </w:rPr>
      </w:pPr>
    </w:p>
    <w:p w14:paraId="4CE9260F">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14:paraId="115F1841">
      <w:pPr>
        <w:spacing w:line="600" w:lineRule="exact"/>
        <w:ind w:firstLine="643" w:firstLineChars="200"/>
        <w:outlineLvl w:val="2"/>
        <w:rPr>
          <w:rFonts w:ascii="仿宋" w:hAnsi="仿宋" w:eastAsia="仿宋"/>
          <w:b/>
          <w:color w:val="000000"/>
          <w:sz w:val="32"/>
          <w:szCs w:val="32"/>
        </w:rPr>
      </w:pPr>
      <w:bookmarkStart w:id="38" w:name="_Toc15377211"/>
      <w:r>
        <w:rPr>
          <w:rFonts w:hint="eastAsia" w:ascii="仿宋" w:hAnsi="仿宋" w:eastAsia="仿宋"/>
          <w:b/>
          <w:color w:val="000000"/>
          <w:sz w:val="32"/>
          <w:szCs w:val="32"/>
        </w:rPr>
        <w:t>（二）一般公共预算财政拨款支出决算结构情况</w:t>
      </w:r>
      <w:bookmarkEnd w:id="38"/>
    </w:p>
    <w:p w14:paraId="5BB87D2D">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年一般公共预算财政拨款支出</w:t>
      </w:r>
      <w:r>
        <w:rPr>
          <w:rFonts w:hint="eastAsia" w:ascii="仿宋_GB2312" w:hAnsi="仿宋" w:eastAsia="仿宋_GB2312"/>
          <w:color w:val="000000"/>
          <w:sz w:val="32"/>
          <w:szCs w:val="32"/>
          <w:lang w:val="en-US" w:eastAsia="zh-CN"/>
        </w:rPr>
        <w:t>157.51</w:t>
      </w:r>
      <w:r>
        <w:rPr>
          <w:rFonts w:hint="eastAsia" w:ascii="仿宋_GB2312" w:hAnsi="仿宋" w:eastAsia="仿宋_GB2312"/>
          <w:color w:val="000000"/>
          <w:sz w:val="32"/>
          <w:szCs w:val="32"/>
        </w:rPr>
        <w:t>万元，主要用于以下方面</w:t>
      </w:r>
      <w:r>
        <w:rPr>
          <w:rFonts w:ascii="仿宋_GB2312" w:hAnsi="仿宋" w:eastAsia="仿宋_GB2312"/>
          <w:color w:val="000000"/>
          <w:sz w:val="32"/>
          <w:szCs w:val="32"/>
        </w:rPr>
        <w:t>:</w:t>
      </w:r>
      <w:r>
        <w:rPr>
          <w:rFonts w:hint="eastAsia" w:ascii="仿宋_GB2312" w:hAnsi="仿宋" w:eastAsia="仿宋_GB2312"/>
          <w:color w:val="000000"/>
          <w:sz w:val="32"/>
          <w:szCs w:val="32"/>
        </w:rPr>
        <w:t>一般公共服务支出</w:t>
      </w:r>
      <w:r>
        <w:rPr>
          <w:rFonts w:hint="eastAsia" w:ascii="仿宋_GB2312" w:hAnsi="仿宋" w:eastAsia="仿宋_GB2312"/>
          <w:color w:val="000000"/>
          <w:sz w:val="32"/>
          <w:szCs w:val="32"/>
          <w:lang w:val="en-US" w:eastAsia="zh-CN"/>
        </w:rPr>
        <w:t>127.42</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80.89</w:t>
      </w:r>
      <w:r>
        <w:rPr>
          <w:rFonts w:ascii="仿宋_GB2312" w:hAnsi="仿宋" w:eastAsia="仿宋_GB2312"/>
          <w:color w:val="000000"/>
          <w:sz w:val="32"/>
          <w:szCs w:val="32"/>
        </w:rPr>
        <w:t>%</w:t>
      </w:r>
      <w:r>
        <w:rPr>
          <w:rFonts w:hint="eastAsia" w:ascii="仿宋_GB2312" w:hAnsi="仿宋" w:eastAsia="仿宋_GB2312"/>
          <w:color w:val="000000"/>
          <w:sz w:val="32"/>
          <w:szCs w:val="32"/>
        </w:rPr>
        <w:t>；教育支出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；科学技术支出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；社会保障和就业支出</w:t>
      </w:r>
      <w:r>
        <w:rPr>
          <w:rFonts w:hint="eastAsia" w:ascii="仿宋_GB2312" w:hAnsi="仿宋" w:eastAsia="仿宋_GB2312"/>
          <w:color w:val="000000"/>
          <w:sz w:val="32"/>
          <w:szCs w:val="32"/>
          <w:lang w:val="en-US" w:eastAsia="zh-CN"/>
        </w:rPr>
        <w:t>10.98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6.97</w:t>
      </w:r>
      <w:r>
        <w:rPr>
          <w:rFonts w:ascii="仿宋_GB2312" w:hAnsi="仿宋" w:eastAsia="仿宋_GB2312"/>
          <w:color w:val="000000"/>
          <w:sz w:val="32"/>
          <w:szCs w:val="32"/>
        </w:rPr>
        <w:t>%</w:t>
      </w:r>
      <w:r>
        <w:rPr>
          <w:rFonts w:hint="eastAsia" w:ascii="仿宋_GB2312" w:hAnsi="仿宋" w:eastAsia="仿宋_GB2312"/>
          <w:color w:val="000000"/>
          <w:sz w:val="32"/>
          <w:szCs w:val="32"/>
        </w:rPr>
        <w:t>；卫生</w:t>
      </w:r>
      <w:r>
        <w:rPr>
          <w:rFonts w:hint="eastAsia" w:ascii="仿宋_GB2312" w:hAnsi="仿宋" w:eastAsia="仿宋_GB2312"/>
          <w:color w:val="000000"/>
          <w:sz w:val="32"/>
          <w:szCs w:val="32"/>
          <w:lang w:eastAsia="zh-CN"/>
        </w:rPr>
        <w:t>健康</w:t>
      </w:r>
      <w:r>
        <w:rPr>
          <w:rFonts w:hint="eastAsia" w:ascii="仿宋_GB2312" w:hAnsi="仿宋" w:eastAsia="仿宋_GB2312"/>
          <w:color w:val="000000"/>
          <w:sz w:val="32"/>
          <w:szCs w:val="32"/>
        </w:rPr>
        <w:t>支出</w:t>
      </w:r>
      <w:r>
        <w:rPr>
          <w:rFonts w:hint="eastAsia" w:ascii="仿宋_GB2312" w:hAnsi="仿宋" w:eastAsia="仿宋_GB2312"/>
          <w:color w:val="000000"/>
          <w:sz w:val="32"/>
          <w:szCs w:val="32"/>
          <w:lang w:val="en-US" w:eastAsia="zh-CN"/>
        </w:rPr>
        <w:t>7.13</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4.53</w:t>
      </w:r>
      <w:r>
        <w:rPr>
          <w:rFonts w:ascii="仿宋_GB2312" w:hAnsi="仿宋" w:eastAsia="仿宋_GB2312"/>
          <w:color w:val="000000"/>
          <w:sz w:val="32"/>
          <w:szCs w:val="32"/>
        </w:rPr>
        <w:t>%</w:t>
      </w:r>
      <w:r>
        <w:rPr>
          <w:rFonts w:hint="eastAsia" w:ascii="仿宋_GB2312" w:hAnsi="仿宋" w:eastAsia="仿宋_GB2312"/>
          <w:color w:val="000000"/>
          <w:sz w:val="32"/>
          <w:szCs w:val="32"/>
        </w:rPr>
        <w:t>；住房保障支出</w:t>
      </w:r>
      <w:r>
        <w:rPr>
          <w:rFonts w:hint="eastAsia" w:ascii="仿宋_GB2312" w:hAnsi="仿宋" w:eastAsia="仿宋_GB2312"/>
          <w:color w:val="000000"/>
          <w:sz w:val="32"/>
          <w:szCs w:val="32"/>
          <w:lang w:val="en-US" w:eastAsia="zh-CN"/>
        </w:rPr>
        <w:t>11.98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7.61</w:t>
      </w:r>
      <w:r>
        <w:rPr>
          <w:rFonts w:ascii="仿宋_GB2312" w:hAnsi="仿宋" w:eastAsia="仿宋_GB2312"/>
          <w:color w:val="000000"/>
          <w:sz w:val="32"/>
          <w:szCs w:val="32"/>
        </w:rPr>
        <w:t>%</w:t>
      </w:r>
      <w:r>
        <w:rPr>
          <w:rFonts w:hint="eastAsia" w:ascii="仿宋_GB2312" w:hAnsi="仿宋" w:eastAsia="仿宋_GB2312"/>
          <w:color w:val="000000"/>
          <w:sz w:val="32"/>
          <w:szCs w:val="32"/>
        </w:rPr>
        <w:t>。</w:t>
      </w:r>
    </w:p>
    <w:p w14:paraId="11F13A9A">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133985</wp:posOffset>
            </wp:positionH>
            <wp:positionV relativeFrom="paragraph">
              <wp:posOffset>67310</wp:posOffset>
            </wp:positionV>
            <wp:extent cx="5100955" cy="2308860"/>
            <wp:effectExtent l="4445" t="4445" r="19050" b="10795"/>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FFD65C2">
      <w:pPr>
        <w:spacing w:line="600" w:lineRule="exact"/>
        <w:ind w:firstLine="640"/>
        <w:rPr>
          <w:rFonts w:ascii="仿宋" w:hAnsi="仿宋" w:eastAsia="仿宋"/>
          <w:color w:val="000000" w:themeColor="text1"/>
          <w:sz w:val="32"/>
          <w:szCs w:val="32"/>
          <w14:textFill>
            <w14:solidFill>
              <w14:schemeClr w14:val="tx1"/>
            </w14:solidFill>
          </w14:textFill>
        </w:rPr>
      </w:pPr>
    </w:p>
    <w:p w14:paraId="266EC9E3">
      <w:pPr>
        <w:spacing w:line="600" w:lineRule="exact"/>
        <w:ind w:firstLine="640"/>
        <w:rPr>
          <w:rFonts w:ascii="仿宋" w:hAnsi="仿宋" w:eastAsia="仿宋"/>
          <w:color w:val="000000" w:themeColor="text1"/>
          <w:sz w:val="32"/>
          <w:szCs w:val="32"/>
          <w14:textFill>
            <w14:solidFill>
              <w14:schemeClr w14:val="tx1"/>
            </w14:solidFill>
          </w14:textFill>
        </w:rPr>
      </w:pPr>
    </w:p>
    <w:p w14:paraId="6E0D2D33">
      <w:pPr>
        <w:spacing w:line="600" w:lineRule="exact"/>
        <w:ind w:firstLine="640"/>
        <w:rPr>
          <w:rFonts w:ascii="仿宋" w:hAnsi="仿宋" w:eastAsia="仿宋"/>
          <w:color w:val="000000" w:themeColor="text1"/>
          <w:sz w:val="32"/>
          <w:szCs w:val="32"/>
          <w14:textFill>
            <w14:solidFill>
              <w14:schemeClr w14:val="tx1"/>
            </w14:solidFill>
          </w14:textFill>
        </w:rPr>
      </w:pPr>
    </w:p>
    <w:p w14:paraId="14C1EA3E">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p>
    <w:p w14:paraId="6C83EA8E">
      <w:pPr>
        <w:spacing w:line="600" w:lineRule="exact"/>
        <w:ind w:firstLine="640" w:firstLineChars="200"/>
        <w:rPr>
          <w:rFonts w:hint="eastAsia" w:ascii="仿宋" w:hAnsi="仿宋" w:eastAsia="仿宋"/>
          <w:color w:val="000000"/>
          <w:sz w:val="32"/>
          <w:szCs w:val="32"/>
        </w:rPr>
      </w:pPr>
    </w:p>
    <w:p w14:paraId="4CF855AE">
      <w:pPr>
        <w:spacing w:line="600" w:lineRule="exact"/>
        <w:rPr>
          <w:rFonts w:hint="eastAsia" w:ascii="仿宋" w:hAnsi="仿宋" w:eastAsia="仿宋"/>
          <w:color w:val="000000"/>
          <w:sz w:val="32"/>
          <w:szCs w:val="32"/>
        </w:rPr>
      </w:pPr>
    </w:p>
    <w:p w14:paraId="53FD28A7">
      <w:pPr>
        <w:spacing w:line="600" w:lineRule="exact"/>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14:paraId="01596DC6">
      <w:pPr>
        <w:spacing w:line="600" w:lineRule="exact"/>
        <w:ind w:firstLine="640" w:firstLineChars="200"/>
        <w:rPr>
          <w:rFonts w:ascii="仿宋" w:hAnsi="仿宋" w:eastAsia="仿宋"/>
          <w:color w:val="000000"/>
          <w:sz w:val="32"/>
          <w:szCs w:val="32"/>
        </w:rPr>
      </w:pPr>
    </w:p>
    <w:p w14:paraId="04BB7AD9">
      <w:pPr>
        <w:spacing w:line="600" w:lineRule="exact"/>
        <w:ind w:firstLine="643" w:firstLineChars="200"/>
        <w:outlineLvl w:val="2"/>
        <w:rPr>
          <w:rFonts w:ascii="仿宋" w:hAnsi="仿宋" w:eastAsia="仿宋"/>
          <w:b/>
          <w:color w:val="000000"/>
          <w:sz w:val="32"/>
          <w:szCs w:val="32"/>
        </w:rPr>
      </w:pPr>
      <w:bookmarkStart w:id="39" w:name="_Toc15377212"/>
      <w:r>
        <w:rPr>
          <w:rFonts w:hint="eastAsia" w:ascii="仿宋" w:hAnsi="仿宋" w:eastAsia="仿宋"/>
          <w:b/>
          <w:color w:val="000000"/>
          <w:sz w:val="32"/>
          <w:szCs w:val="32"/>
        </w:rPr>
        <w:t>（三）一般公共预算财政拨款支出决算具体情况</w:t>
      </w:r>
      <w:bookmarkEnd w:id="39"/>
    </w:p>
    <w:p w14:paraId="4370D3F3">
      <w:pPr>
        <w:spacing w:line="600" w:lineRule="exact"/>
        <w:ind w:firstLine="640" w:firstLineChars="200"/>
        <w:outlineLvl w:val="2"/>
        <w:rPr>
          <w:rFonts w:ascii="仿宋_GB2312" w:hAnsi="仿宋" w:eastAsia="仿宋_GB2312"/>
          <w:color w:val="FF0000"/>
          <w:sz w:val="32"/>
          <w:szCs w:val="32"/>
        </w:rPr>
      </w:pPr>
      <w:bookmarkStart w:id="40" w:name="_Toc15377444"/>
      <w:bookmarkStart w:id="41" w:name="_Toc15378460"/>
      <w:bookmarkStart w:id="42" w:name="_Toc15377213"/>
      <w:r>
        <w:rPr>
          <w:rFonts w:ascii="仿宋_GB2312" w:hAnsi="仿宋" w:eastAsia="仿宋_GB2312"/>
          <w:color w:val="000000"/>
          <w:sz w:val="32"/>
          <w:szCs w:val="32"/>
        </w:rPr>
        <w:t>2019</w:t>
      </w:r>
      <w:r>
        <w:rPr>
          <w:rFonts w:hint="eastAsia" w:ascii="仿宋_GB2312" w:hAnsi="仿宋" w:eastAsia="仿宋_GB2312"/>
          <w:color w:val="000000"/>
          <w:sz w:val="32"/>
          <w:szCs w:val="32"/>
        </w:rPr>
        <w:t>年</w:t>
      </w:r>
      <w:r>
        <w:rPr>
          <w:rFonts w:hint="eastAsia" w:ascii="仿宋_GB2312" w:hAnsi="仿宋" w:eastAsia="仿宋_GB2312"/>
          <w:color w:val="000000"/>
          <w:sz w:val="32"/>
          <w:szCs w:val="32"/>
          <w:lang w:eastAsia="zh-CN"/>
        </w:rPr>
        <w:t>一</w:t>
      </w:r>
      <w:r>
        <w:rPr>
          <w:rFonts w:hint="eastAsia" w:ascii="仿宋_GB2312" w:hAnsi="仿宋" w:eastAsia="仿宋_GB2312"/>
          <w:color w:val="000000"/>
          <w:sz w:val="32"/>
          <w:szCs w:val="32"/>
        </w:rPr>
        <w:t>般公共预算支出决算数为</w:t>
      </w:r>
      <w:r>
        <w:rPr>
          <w:rFonts w:hint="eastAsia" w:ascii="仿宋_GB2312" w:hAnsi="仿宋" w:eastAsia="仿宋_GB2312"/>
          <w:color w:val="000000"/>
          <w:sz w:val="32"/>
          <w:szCs w:val="32"/>
          <w:lang w:val="en-US" w:eastAsia="zh-CN"/>
        </w:rPr>
        <w:t>157.51</w:t>
      </w:r>
      <w:r>
        <w:rPr>
          <w:rFonts w:hint="eastAsia" w:ascii="仿宋_GB2312" w:hAnsi="仿宋" w:eastAsia="仿宋_GB2312"/>
          <w:color w:val="000000"/>
          <w:sz w:val="32"/>
          <w:szCs w:val="32"/>
        </w:rPr>
        <w:t>，</w:t>
      </w:r>
      <w:r>
        <w:rPr>
          <w:rStyle w:val="14"/>
          <w:rFonts w:hint="eastAsia" w:ascii="仿宋_GB2312" w:hAnsi="仿宋" w:eastAsia="仿宋_GB2312"/>
          <w:b w:val="0"/>
          <w:bCs/>
          <w:color w:val="000000"/>
          <w:sz w:val="32"/>
          <w:szCs w:val="32"/>
        </w:rPr>
        <w:t>完成预算</w:t>
      </w:r>
      <w:r>
        <w:rPr>
          <w:rStyle w:val="14"/>
          <w:rFonts w:hint="eastAsia" w:ascii="仿宋_GB2312" w:hAnsi="仿宋" w:eastAsia="仿宋_GB2312"/>
          <w:b w:val="0"/>
          <w:bCs/>
          <w:color w:val="000000"/>
          <w:sz w:val="32"/>
          <w:szCs w:val="32"/>
          <w:lang w:val="en-US" w:eastAsia="zh-CN"/>
        </w:rPr>
        <w:t>128.99</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。其中：</w:t>
      </w:r>
    </w:p>
    <w:p w14:paraId="7FAA7E78">
      <w:pPr>
        <w:numPr>
          <w:ilvl w:val="0"/>
          <w:numId w:val="3"/>
        </w:numPr>
        <w:spacing w:line="600" w:lineRule="exact"/>
        <w:ind w:firstLine="640" w:firstLineChars="200"/>
        <w:rPr>
          <w:rFonts w:hint="eastAsia" w:ascii="仿宋_GB2312" w:hAnsi="仿宋" w:eastAsia="仿宋_GB2312"/>
          <w:color w:val="000000"/>
          <w:sz w:val="32"/>
          <w:szCs w:val="32"/>
        </w:rPr>
      </w:pPr>
      <w:r>
        <w:rPr>
          <w:rStyle w:val="14"/>
          <w:rFonts w:hint="eastAsia" w:ascii="仿宋_GB2312" w:hAnsi="仿宋" w:eastAsia="仿宋_GB2312"/>
          <w:b w:val="0"/>
          <w:bCs/>
          <w:color w:val="000000"/>
          <w:sz w:val="32"/>
          <w:szCs w:val="32"/>
        </w:rPr>
        <w:t>一般公共服务</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统战事务</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行政运行</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hint="eastAsia" w:ascii="仿宋_GB2312" w:hAnsi="仿宋" w:eastAsia="仿宋_GB2312"/>
          <w:b w:val="0"/>
          <w:bCs/>
          <w:color w:val="000000"/>
          <w:sz w:val="32"/>
          <w:szCs w:val="32"/>
          <w:lang w:val="en-US" w:eastAsia="zh-CN"/>
        </w:rPr>
        <w:t>89.20</w:t>
      </w:r>
      <w:r>
        <w:rPr>
          <w:rStyle w:val="14"/>
          <w:rFonts w:hint="eastAsia" w:ascii="仿宋_GB2312" w:hAnsi="仿宋" w:eastAsia="仿宋_GB2312"/>
          <w:b w:val="0"/>
          <w:bCs/>
          <w:color w:val="000000"/>
          <w:sz w:val="32"/>
          <w:szCs w:val="32"/>
        </w:rPr>
        <w:t>万元，完成预算</w:t>
      </w:r>
      <w:r>
        <w:rPr>
          <w:rStyle w:val="14"/>
          <w:rFonts w:hint="eastAsia" w:ascii="仿宋_GB2312" w:hAnsi="仿宋" w:eastAsia="仿宋_GB2312"/>
          <w:b w:val="0"/>
          <w:bCs/>
          <w:color w:val="000000"/>
          <w:sz w:val="32"/>
          <w:szCs w:val="32"/>
          <w:lang w:val="en-US" w:eastAsia="zh-CN"/>
        </w:rPr>
        <w:t>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w:t>
      </w:r>
      <w:r>
        <w:rPr>
          <w:rFonts w:hint="eastAsia" w:ascii="仿宋_GB2312" w:hAnsi="仿宋" w:eastAsia="仿宋_GB2312"/>
          <w:color w:val="000000"/>
          <w:sz w:val="32"/>
          <w:szCs w:val="32"/>
        </w:rPr>
        <w:t>决算数与预算数一致</w:t>
      </w:r>
      <w:r>
        <w:rPr>
          <w:rFonts w:hint="eastAsia" w:ascii="仿宋_GB2312" w:hAnsi="仿宋" w:eastAsia="仿宋_GB2312"/>
          <w:color w:val="000000"/>
          <w:sz w:val="32"/>
          <w:szCs w:val="32"/>
          <w:lang w:eastAsia="zh-CN"/>
        </w:rPr>
        <w:t>。</w:t>
      </w:r>
    </w:p>
    <w:p w14:paraId="5D036AC2">
      <w:pPr>
        <w:numPr>
          <w:ilvl w:val="0"/>
          <w:numId w:val="0"/>
        </w:numPr>
        <w:spacing w:line="600" w:lineRule="exact"/>
        <w:ind w:firstLine="960" w:firstLineChars="300"/>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 xml:space="preserve"> </w:t>
      </w:r>
      <w:r>
        <w:rPr>
          <w:rStyle w:val="14"/>
          <w:rFonts w:hint="eastAsia" w:ascii="仿宋_GB2312" w:hAnsi="仿宋" w:eastAsia="仿宋_GB2312"/>
          <w:b w:val="0"/>
          <w:bCs/>
          <w:color w:val="000000"/>
          <w:sz w:val="32"/>
          <w:szCs w:val="32"/>
        </w:rPr>
        <w:t>一般公共服务</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统战事务</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一般行政管理事务</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hint="eastAsia" w:ascii="仿宋_GB2312" w:hAnsi="仿宋" w:eastAsia="仿宋_GB2312"/>
          <w:b w:val="0"/>
          <w:bCs/>
          <w:color w:val="000000"/>
          <w:sz w:val="32"/>
          <w:szCs w:val="32"/>
          <w:lang w:val="en-US" w:eastAsia="zh-CN"/>
        </w:rPr>
        <w:t>36.88</w:t>
      </w:r>
      <w:r>
        <w:rPr>
          <w:rStyle w:val="14"/>
          <w:rFonts w:hint="eastAsia" w:ascii="仿宋_GB2312" w:hAnsi="仿宋" w:eastAsia="仿宋_GB2312"/>
          <w:b w:val="0"/>
          <w:bCs/>
          <w:color w:val="000000"/>
          <w:sz w:val="32"/>
          <w:szCs w:val="32"/>
        </w:rPr>
        <w:t>万元，完成预算</w:t>
      </w:r>
      <w:r>
        <w:rPr>
          <w:rStyle w:val="14"/>
          <w:rFonts w:hint="eastAsia" w:ascii="仿宋_GB2312" w:hAnsi="仿宋" w:eastAsia="仿宋_GB2312"/>
          <w:b w:val="0"/>
          <w:bCs/>
          <w:color w:val="000000"/>
          <w:sz w:val="32"/>
          <w:szCs w:val="32"/>
          <w:lang w:val="en-US" w:eastAsia="zh-CN"/>
        </w:rPr>
        <w:t>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w:t>
      </w:r>
      <w:r>
        <w:rPr>
          <w:rFonts w:hint="eastAsia" w:ascii="仿宋_GB2312" w:hAnsi="仿宋" w:eastAsia="仿宋_GB2312"/>
          <w:color w:val="000000"/>
          <w:sz w:val="32"/>
          <w:szCs w:val="32"/>
        </w:rPr>
        <w:t>决算数与预算数一致</w:t>
      </w:r>
      <w:r>
        <w:rPr>
          <w:rFonts w:hint="eastAsia" w:ascii="仿宋_GB2312" w:hAnsi="仿宋" w:eastAsia="仿宋_GB2312"/>
          <w:color w:val="000000"/>
          <w:sz w:val="32"/>
          <w:szCs w:val="32"/>
          <w:lang w:eastAsia="zh-CN"/>
        </w:rPr>
        <w:t>。</w:t>
      </w:r>
    </w:p>
    <w:p w14:paraId="23708FA4">
      <w:pPr>
        <w:numPr>
          <w:ilvl w:val="0"/>
          <w:numId w:val="0"/>
        </w:numPr>
        <w:spacing w:line="600" w:lineRule="exact"/>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 xml:space="preserve">      一般公共服务</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组织事务</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一般行政管理事务：</w:t>
      </w:r>
      <w:r>
        <w:rPr>
          <w:rStyle w:val="14"/>
          <w:rFonts w:hint="eastAsia" w:ascii="仿宋_GB2312" w:hAnsi="仿宋" w:eastAsia="仿宋_GB2312"/>
          <w:b w:val="0"/>
          <w:bCs/>
          <w:color w:val="000000"/>
          <w:sz w:val="32"/>
          <w:szCs w:val="32"/>
        </w:rPr>
        <w:t>支出决算为</w:t>
      </w:r>
      <w:r>
        <w:rPr>
          <w:rStyle w:val="14"/>
          <w:rFonts w:hint="eastAsia" w:ascii="仿宋_GB2312" w:hAnsi="仿宋" w:eastAsia="仿宋_GB2312"/>
          <w:b w:val="0"/>
          <w:bCs/>
          <w:color w:val="000000"/>
          <w:sz w:val="32"/>
          <w:szCs w:val="32"/>
          <w:lang w:val="en-US" w:eastAsia="zh-CN"/>
        </w:rPr>
        <w:t>1.34</w:t>
      </w:r>
      <w:r>
        <w:rPr>
          <w:rStyle w:val="14"/>
          <w:rFonts w:hint="eastAsia" w:ascii="仿宋_GB2312" w:hAnsi="仿宋" w:eastAsia="仿宋_GB2312"/>
          <w:b w:val="0"/>
          <w:bCs/>
          <w:color w:val="000000"/>
          <w:sz w:val="32"/>
          <w:szCs w:val="32"/>
        </w:rPr>
        <w:t>万元，完成预算</w:t>
      </w:r>
      <w:r>
        <w:rPr>
          <w:rStyle w:val="14"/>
          <w:rFonts w:hint="eastAsia" w:ascii="仿宋_GB2312" w:hAnsi="仿宋" w:eastAsia="仿宋_GB2312"/>
          <w:b w:val="0"/>
          <w:bCs/>
          <w:color w:val="000000"/>
          <w:sz w:val="32"/>
          <w:szCs w:val="32"/>
          <w:lang w:val="en-US" w:eastAsia="zh-CN"/>
        </w:rPr>
        <w:t>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w:t>
      </w:r>
      <w:r>
        <w:rPr>
          <w:rFonts w:hint="eastAsia" w:ascii="仿宋_GB2312" w:hAnsi="仿宋" w:eastAsia="仿宋_GB2312"/>
          <w:color w:val="000000"/>
          <w:sz w:val="32"/>
          <w:szCs w:val="32"/>
        </w:rPr>
        <w:t>决算数与预算数一致</w:t>
      </w:r>
      <w:r>
        <w:rPr>
          <w:rFonts w:hint="eastAsia" w:ascii="仿宋_GB2312" w:hAnsi="仿宋" w:eastAsia="仿宋_GB2312"/>
          <w:color w:val="000000"/>
          <w:sz w:val="32"/>
          <w:szCs w:val="32"/>
          <w:lang w:eastAsia="zh-CN"/>
        </w:rPr>
        <w:t>。</w:t>
      </w:r>
    </w:p>
    <w:p w14:paraId="55B3C01B">
      <w:pPr>
        <w:numPr>
          <w:ilvl w:val="0"/>
          <w:numId w:val="3"/>
        </w:numPr>
        <w:spacing w:line="600" w:lineRule="exact"/>
        <w:ind w:left="0" w:leftChars="0" w:firstLine="640" w:firstLineChars="200"/>
        <w:rPr>
          <w:rFonts w:hint="eastAsia" w:ascii="仿宋_GB2312" w:hAnsi="仿宋" w:eastAsia="仿宋_GB2312"/>
          <w:color w:val="000000"/>
          <w:sz w:val="32"/>
          <w:szCs w:val="32"/>
          <w:lang w:eastAsia="zh-CN"/>
        </w:rPr>
      </w:pPr>
      <w:r>
        <w:rPr>
          <w:rStyle w:val="14"/>
          <w:rFonts w:hint="eastAsia" w:ascii="仿宋_GB2312" w:hAnsi="仿宋" w:eastAsia="仿宋_GB2312"/>
          <w:b w:val="0"/>
          <w:bCs/>
          <w:color w:val="000000"/>
          <w:sz w:val="32"/>
          <w:szCs w:val="32"/>
        </w:rPr>
        <w:t>社会保障和就业</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行政事业单位离退休</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rPr>
        <w:t>未归口管理的行政单位离退休</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hint="eastAsia" w:ascii="仿宋_GB2312" w:hAnsi="仿宋" w:eastAsia="仿宋_GB2312"/>
          <w:b w:val="0"/>
          <w:bCs/>
          <w:color w:val="000000"/>
          <w:sz w:val="32"/>
          <w:szCs w:val="32"/>
          <w:lang w:val="en-US" w:eastAsia="zh-CN"/>
        </w:rPr>
        <w:t>2.44</w:t>
      </w:r>
      <w:r>
        <w:rPr>
          <w:rStyle w:val="14"/>
          <w:rFonts w:hint="eastAsia" w:ascii="仿宋_GB2312" w:hAnsi="仿宋" w:eastAsia="仿宋_GB2312"/>
          <w:b w:val="0"/>
          <w:bCs/>
          <w:color w:val="000000"/>
          <w:sz w:val="32"/>
          <w:szCs w:val="32"/>
        </w:rPr>
        <w:t>万元，完成预算</w:t>
      </w:r>
      <w:r>
        <w:rPr>
          <w:rStyle w:val="14"/>
          <w:rFonts w:hint="eastAsia" w:ascii="仿宋_GB2312" w:hAnsi="仿宋" w:eastAsia="仿宋_GB2312"/>
          <w:b w:val="0"/>
          <w:bCs/>
          <w:color w:val="000000"/>
          <w:sz w:val="32"/>
          <w:szCs w:val="32"/>
          <w:lang w:val="en-US" w:eastAsia="zh-CN"/>
        </w:rPr>
        <w:t>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w:t>
      </w:r>
      <w:r>
        <w:rPr>
          <w:rFonts w:hint="eastAsia" w:ascii="仿宋_GB2312" w:hAnsi="仿宋" w:eastAsia="仿宋_GB2312"/>
          <w:color w:val="000000"/>
          <w:sz w:val="32"/>
          <w:szCs w:val="32"/>
        </w:rPr>
        <w:t>决算数与预算数一致</w:t>
      </w:r>
      <w:r>
        <w:rPr>
          <w:rFonts w:hint="eastAsia" w:ascii="仿宋_GB2312" w:hAnsi="仿宋" w:eastAsia="仿宋_GB2312"/>
          <w:color w:val="000000"/>
          <w:sz w:val="32"/>
          <w:szCs w:val="32"/>
          <w:lang w:eastAsia="zh-CN"/>
        </w:rPr>
        <w:t>。</w:t>
      </w:r>
    </w:p>
    <w:p w14:paraId="77A5559E">
      <w:pPr>
        <w:numPr>
          <w:ilvl w:val="0"/>
          <w:numId w:val="0"/>
        </w:numPr>
        <w:spacing w:line="600" w:lineRule="exact"/>
        <w:ind w:leftChars="200" w:firstLine="960" w:firstLineChars="300"/>
        <w:rPr>
          <w:rFonts w:hint="eastAsia" w:ascii="仿宋_GB2312" w:hAnsi="仿宋" w:eastAsia="仿宋_GB2312"/>
          <w:color w:val="000000"/>
          <w:sz w:val="32"/>
          <w:szCs w:val="32"/>
        </w:rPr>
      </w:pPr>
      <w:r>
        <w:rPr>
          <w:rStyle w:val="14"/>
          <w:rFonts w:hint="eastAsia" w:ascii="仿宋_GB2312" w:hAnsi="仿宋" w:eastAsia="仿宋_GB2312"/>
          <w:b w:val="0"/>
          <w:bCs/>
          <w:color w:val="000000"/>
          <w:sz w:val="32"/>
          <w:szCs w:val="32"/>
        </w:rPr>
        <w:t>社会保障和就业</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行政事业单位离退休</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机关事业单位基本养老保险缴费支出</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hint="eastAsia" w:ascii="仿宋_GB2312" w:hAnsi="仿宋" w:eastAsia="仿宋_GB2312"/>
          <w:b w:val="0"/>
          <w:bCs/>
          <w:color w:val="000000"/>
          <w:sz w:val="32"/>
          <w:szCs w:val="32"/>
          <w:lang w:val="en-US" w:eastAsia="zh-CN"/>
        </w:rPr>
        <w:t>8.54</w:t>
      </w:r>
      <w:r>
        <w:rPr>
          <w:rStyle w:val="14"/>
          <w:rFonts w:hint="eastAsia" w:ascii="仿宋_GB2312" w:hAnsi="仿宋" w:eastAsia="仿宋_GB2312"/>
          <w:b w:val="0"/>
          <w:bCs/>
          <w:color w:val="000000"/>
          <w:sz w:val="32"/>
          <w:szCs w:val="32"/>
        </w:rPr>
        <w:t>万元，完成预算</w:t>
      </w:r>
      <w:r>
        <w:rPr>
          <w:rStyle w:val="14"/>
          <w:rFonts w:hint="eastAsia" w:ascii="仿宋_GB2312" w:hAnsi="仿宋" w:eastAsia="仿宋_GB2312"/>
          <w:b w:val="0"/>
          <w:bCs/>
          <w:color w:val="000000"/>
          <w:sz w:val="32"/>
          <w:szCs w:val="32"/>
          <w:lang w:val="en-US" w:eastAsia="zh-CN"/>
        </w:rPr>
        <w:t>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w:t>
      </w:r>
      <w:r>
        <w:rPr>
          <w:rFonts w:hint="eastAsia" w:ascii="仿宋_GB2312" w:hAnsi="仿宋" w:eastAsia="仿宋_GB2312"/>
          <w:color w:val="000000"/>
          <w:sz w:val="32"/>
          <w:szCs w:val="32"/>
        </w:rPr>
        <w:t>决算数与预算数一致</w:t>
      </w:r>
      <w:r>
        <w:rPr>
          <w:rFonts w:hint="eastAsia" w:ascii="仿宋_GB2312" w:hAnsi="仿宋" w:eastAsia="仿宋_GB2312"/>
          <w:color w:val="000000"/>
          <w:sz w:val="32"/>
          <w:szCs w:val="32"/>
          <w:lang w:eastAsia="zh-CN"/>
        </w:rPr>
        <w:t>。</w:t>
      </w:r>
    </w:p>
    <w:p w14:paraId="71B0B6CF">
      <w:pPr>
        <w:numPr>
          <w:ilvl w:val="0"/>
          <w:numId w:val="0"/>
        </w:numPr>
        <w:spacing w:line="600" w:lineRule="exact"/>
        <w:ind w:firstLine="640" w:firstLineChars="200"/>
        <w:rPr>
          <w:rFonts w:hint="eastAsia" w:ascii="仿宋_GB2312" w:hAnsi="仿宋" w:eastAsia="仿宋_GB2312"/>
          <w:color w:val="000000"/>
          <w:sz w:val="32"/>
          <w:szCs w:val="32"/>
        </w:rPr>
      </w:pPr>
      <w:r>
        <w:rPr>
          <w:rStyle w:val="14"/>
          <w:rFonts w:hint="eastAsia" w:ascii="仿宋_GB2312" w:hAnsi="仿宋" w:eastAsia="仿宋_GB2312"/>
          <w:b w:val="0"/>
          <w:bCs/>
          <w:color w:val="000000"/>
          <w:sz w:val="32"/>
          <w:szCs w:val="32"/>
          <w:lang w:val="en-US" w:eastAsia="zh-CN"/>
        </w:rPr>
        <w:t>3.</w:t>
      </w:r>
      <w:r>
        <w:rPr>
          <w:rStyle w:val="14"/>
          <w:rFonts w:hint="eastAsia" w:ascii="仿宋_GB2312" w:hAnsi="仿宋" w:eastAsia="仿宋_GB2312"/>
          <w:b w:val="0"/>
          <w:bCs/>
          <w:color w:val="000000"/>
          <w:sz w:val="32"/>
          <w:szCs w:val="32"/>
          <w:lang w:eastAsia="zh-CN"/>
        </w:rPr>
        <w:t>卫生健康支出</w:t>
      </w:r>
      <w:r>
        <w:rPr>
          <w:rStyle w:val="14"/>
          <w:rFonts w:hint="eastAsia" w:ascii="仿宋_GB2312" w:hAnsi="仿宋" w:eastAsia="仿宋_GB2312"/>
          <w:b w:val="0"/>
          <w:bCs/>
          <w:color w:val="000000"/>
          <w:sz w:val="32"/>
          <w:szCs w:val="32"/>
          <w:lang w:val="en-US" w:eastAsia="zh-CN"/>
        </w:rPr>
        <w:t>-行政事业单位医疗-行政单位医疗</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支出决算为</w:t>
      </w:r>
      <w:r>
        <w:rPr>
          <w:rStyle w:val="14"/>
          <w:rFonts w:hint="eastAsia" w:ascii="仿宋_GB2312" w:hAnsi="仿宋" w:eastAsia="仿宋_GB2312"/>
          <w:b w:val="0"/>
          <w:bCs/>
          <w:color w:val="000000"/>
          <w:sz w:val="32"/>
          <w:szCs w:val="32"/>
          <w:lang w:val="en-US" w:eastAsia="zh-CN"/>
        </w:rPr>
        <w:t>6.68</w:t>
      </w:r>
      <w:r>
        <w:rPr>
          <w:rStyle w:val="14"/>
          <w:rFonts w:hint="eastAsia" w:ascii="仿宋_GB2312" w:hAnsi="仿宋" w:eastAsia="仿宋_GB2312"/>
          <w:b w:val="0"/>
          <w:bCs/>
          <w:color w:val="000000"/>
          <w:sz w:val="32"/>
          <w:szCs w:val="32"/>
        </w:rPr>
        <w:t>万元，完成预算</w:t>
      </w:r>
      <w:r>
        <w:rPr>
          <w:rStyle w:val="14"/>
          <w:rFonts w:hint="eastAsia" w:ascii="仿宋_GB2312" w:hAnsi="仿宋" w:eastAsia="仿宋_GB2312"/>
          <w:b w:val="0"/>
          <w:bCs/>
          <w:color w:val="000000"/>
          <w:sz w:val="32"/>
          <w:szCs w:val="32"/>
          <w:lang w:val="en-US" w:eastAsia="zh-CN"/>
        </w:rPr>
        <w:t>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w:t>
      </w:r>
      <w:r>
        <w:rPr>
          <w:rFonts w:hint="eastAsia" w:ascii="仿宋_GB2312" w:hAnsi="仿宋" w:eastAsia="仿宋_GB2312"/>
          <w:color w:val="000000"/>
          <w:sz w:val="32"/>
          <w:szCs w:val="32"/>
        </w:rPr>
        <w:t>决算数与预算数一致</w:t>
      </w:r>
      <w:r>
        <w:rPr>
          <w:rFonts w:hint="eastAsia" w:ascii="仿宋_GB2312" w:hAnsi="仿宋" w:eastAsia="仿宋_GB2312"/>
          <w:color w:val="000000"/>
          <w:sz w:val="32"/>
          <w:szCs w:val="32"/>
          <w:lang w:eastAsia="zh-CN"/>
        </w:rPr>
        <w:t>。</w:t>
      </w:r>
    </w:p>
    <w:p w14:paraId="11894971">
      <w:pPr>
        <w:numPr>
          <w:ilvl w:val="0"/>
          <w:numId w:val="0"/>
        </w:numPr>
        <w:spacing w:line="600" w:lineRule="exact"/>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 xml:space="preserve">      </w:t>
      </w:r>
      <w:r>
        <w:rPr>
          <w:rStyle w:val="14"/>
          <w:rFonts w:hint="eastAsia" w:ascii="仿宋_GB2312" w:hAnsi="仿宋" w:eastAsia="仿宋_GB2312"/>
          <w:b w:val="0"/>
          <w:bCs/>
          <w:color w:val="000000"/>
          <w:sz w:val="32"/>
          <w:szCs w:val="32"/>
          <w:lang w:eastAsia="zh-CN"/>
        </w:rPr>
        <w:t>卫生健康支出</w:t>
      </w:r>
      <w:r>
        <w:rPr>
          <w:rStyle w:val="14"/>
          <w:rFonts w:hint="eastAsia" w:ascii="仿宋_GB2312" w:hAnsi="仿宋" w:eastAsia="仿宋_GB2312"/>
          <w:b w:val="0"/>
          <w:bCs/>
          <w:color w:val="000000"/>
          <w:sz w:val="32"/>
          <w:szCs w:val="32"/>
          <w:lang w:val="en-US" w:eastAsia="zh-CN"/>
        </w:rPr>
        <w:t>-行政事业单位医疗-公务员医疗补助</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支出决算为</w:t>
      </w:r>
      <w:r>
        <w:rPr>
          <w:rStyle w:val="14"/>
          <w:rFonts w:hint="eastAsia" w:ascii="仿宋_GB2312" w:hAnsi="仿宋" w:eastAsia="仿宋_GB2312"/>
          <w:b w:val="0"/>
          <w:bCs/>
          <w:color w:val="000000"/>
          <w:sz w:val="32"/>
          <w:szCs w:val="32"/>
          <w:lang w:val="en-US" w:eastAsia="zh-CN"/>
        </w:rPr>
        <w:t>0.45</w:t>
      </w:r>
      <w:r>
        <w:rPr>
          <w:rStyle w:val="14"/>
          <w:rFonts w:hint="eastAsia" w:ascii="仿宋_GB2312" w:hAnsi="仿宋" w:eastAsia="仿宋_GB2312"/>
          <w:b w:val="0"/>
          <w:bCs/>
          <w:color w:val="000000"/>
          <w:sz w:val="32"/>
          <w:szCs w:val="32"/>
        </w:rPr>
        <w:t>万元，完成预算</w:t>
      </w:r>
      <w:r>
        <w:rPr>
          <w:rStyle w:val="14"/>
          <w:rFonts w:hint="eastAsia" w:ascii="仿宋_GB2312" w:hAnsi="仿宋" w:eastAsia="仿宋_GB2312"/>
          <w:b w:val="0"/>
          <w:bCs/>
          <w:color w:val="000000"/>
          <w:sz w:val="32"/>
          <w:szCs w:val="32"/>
          <w:lang w:val="en-US" w:eastAsia="zh-CN"/>
        </w:rPr>
        <w:t>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w:t>
      </w:r>
      <w:r>
        <w:rPr>
          <w:rFonts w:hint="eastAsia" w:ascii="仿宋_GB2312" w:hAnsi="仿宋" w:eastAsia="仿宋_GB2312"/>
          <w:color w:val="000000"/>
          <w:sz w:val="32"/>
          <w:szCs w:val="32"/>
        </w:rPr>
        <w:t>决算数与预算数一致</w:t>
      </w:r>
      <w:r>
        <w:rPr>
          <w:rFonts w:hint="eastAsia" w:ascii="仿宋_GB2312" w:hAnsi="仿宋" w:eastAsia="仿宋_GB2312"/>
          <w:color w:val="000000"/>
          <w:sz w:val="32"/>
          <w:szCs w:val="32"/>
          <w:lang w:eastAsia="zh-CN"/>
        </w:rPr>
        <w:t>。</w:t>
      </w:r>
    </w:p>
    <w:p w14:paraId="538C10BB">
      <w:pPr>
        <w:numPr>
          <w:ilvl w:val="0"/>
          <w:numId w:val="0"/>
        </w:numPr>
        <w:spacing w:line="600" w:lineRule="exact"/>
        <w:ind w:firstLine="640" w:firstLineChars="200"/>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4.住房保障支出-住房改革支出-住房积金：</w:t>
      </w:r>
      <w:r>
        <w:rPr>
          <w:rStyle w:val="14"/>
          <w:rFonts w:hint="eastAsia" w:ascii="仿宋_GB2312" w:hAnsi="仿宋" w:eastAsia="仿宋_GB2312"/>
          <w:b w:val="0"/>
          <w:bCs/>
          <w:color w:val="000000"/>
          <w:sz w:val="32"/>
          <w:szCs w:val="32"/>
        </w:rPr>
        <w:t>支出决算为</w:t>
      </w:r>
      <w:r>
        <w:rPr>
          <w:rStyle w:val="14"/>
          <w:rFonts w:hint="eastAsia" w:ascii="仿宋_GB2312" w:hAnsi="仿宋" w:eastAsia="仿宋_GB2312"/>
          <w:b w:val="0"/>
          <w:bCs/>
          <w:color w:val="000000"/>
          <w:sz w:val="32"/>
          <w:szCs w:val="32"/>
          <w:lang w:val="en-US" w:eastAsia="zh-CN"/>
        </w:rPr>
        <w:t>11.98</w:t>
      </w:r>
      <w:r>
        <w:rPr>
          <w:rStyle w:val="14"/>
          <w:rFonts w:hint="eastAsia" w:ascii="仿宋_GB2312" w:hAnsi="仿宋" w:eastAsia="仿宋_GB2312"/>
          <w:b w:val="0"/>
          <w:bCs/>
          <w:color w:val="000000"/>
          <w:sz w:val="32"/>
          <w:szCs w:val="32"/>
        </w:rPr>
        <w:t>万元，完成预算</w:t>
      </w:r>
      <w:r>
        <w:rPr>
          <w:rStyle w:val="14"/>
          <w:rFonts w:hint="eastAsia" w:ascii="仿宋_GB2312" w:hAnsi="仿宋" w:eastAsia="仿宋_GB2312"/>
          <w:b w:val="0"/>
          <w:bCs/>
          <w:color w:val="000000"/>
          <w:sz w:val="32"/>
          <w:szCs w:val="32"/>
          <w:lang w:val="en-US" w:eastAsia="zh-CN"/>
        </w:rPr>
        <w:t>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w:t>
      </w:r>
      <w:r>
        <w:rPr>
          <w:rFonts w:hint="eastAsia" w:ascii="仿宋_GB2312" w:hAnsi="仿宋" w:eastAsia="仿宋_GB2312"/>
          <w:color w:val="000000"/>
          <w:sz w:val="32"/>
          <w:szCs w:val="32"/>
        </w:rPr>
        <w:t>决算数与预算数一致</w:t>
      </w:r>
      <w:r>
        <w:rPr>
          <w:rFonts w:hint="eastAsia" w:ascii="仿宋_GB2312" w:hAnsi="仿宋" w:eastAsia="仿宋_GB2312"/>
          <w:color w:val="000000"/>
          <w:sz w:val="32"/>
          <w:szCs w:val="32"/>
          <w:lang w:eastAsia="zh-CN"/>
        </w:rPr>
        <w:t>。</w:t>
      </w:r>
    </w:p>
    <w:bookmarkEnd w:id="40"/>
    <w:bookmarkEnd w:id="41"/>
    <w:bookmarkEnd w:id="42"/>
    <w:p w14:paraId="152FE602">
      <w:pPr>
        <w:tabs>
          <w:tab w:val="right" w:pos="8306"/>
        </w:tabs>
        <w:spacing w:line="600" w:lineRule="exact"/>
        <w:ind w:firstLine="640"/>
        <w:outlineLvl w:val="1"/>
        <w:rPr>
          <w:rStyle w:val="25"/>
        </w:rPr>
      </w:pPr>
      <w:bookmarkStart w:id="43" w:name="_Toc15396608"/>
      <w:bookmarkStart w:id="44"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3"/>
      <w:bookmarkEnd w:id="44"/>
      <w:r>
        <w:rPr>
          <w:rStyle w:val="25"/>
          <w:rFonts w:ascii="黑体" w:hAnsi="黑体" w:eastAsia="黑体"/>
          <w:b w:val="0"/>
        </w:rPr>
        <w:tab/>
      </w:r>
    </w:p>
    <w:p w14:paraId="274F96DC">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119.30</w:t>
      </w:r>
      <w:r>
        <w:rPr>
          <w:rFonts w:hint="eastAsia" w:ascii="仿宋" w:hAnsi="仿宋" w:eastAsia="仿宋"/>
          <w:color w:val="000000"/>
          <w:sz w:val="32"/>
          <w:szCs w:val="32"/>
        </w:rPr>
        <w:t>万元，其中：</w:t>
      </w:r>
    </w:p>
    <w:p w14:paraId="4D21568E">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107.47</w:t>
      </w:r>
      <w:r>
        <w:rPr>
          <w:rFonts w:hint="eastAsia" w:ascii="仿宋" w:hAnsi="仿宋" w:eastAsia="仿宋"/>
          <w:color w:val="000000"/>
          <w:sz w:val="32"/>
          <w:szCs w:val="32"/>
        </w:rPr>
        <w:t>万元，主要包括：基本工资、津贴补贴、奖金、绩效工资、机关事业单位基本养老保险缴费、</w:t>
      </w:r>
      <w:bookmarkStart w:id="76" w:name="_GoBack"/>
      <w:r>
        <w:rPr>
          <w:rFonts w:hint="eastAsia" w:ascii="仿宋" w:hAnsi="仿宋" w:eastAsia="仿宋"/>
          <w:color w:val="000000"/>
          <w:sz w:val="32"/>
          <w:szCs w:val="32"/>
        </w:rPr>
        <w:t>职业年金</w:t>
      </w:r>
      <w:bookmarkEnd w:id="76"/>
      <w:r>
        <w:rPr>
          <w:rFonts w:hint="eastAsia" w:ascii="仿宋" w:hAnsi="仿宋" w:eastAsia="仿宋"/>
          <w:color w:val="000000"/>
          <w:sz w:val="32"/>
          <w:szCs w:val="32"/>
        </w:rPr>
        <w:t>缴费、其他社会保障缴费、其他工资福利支出、离休费、退休费、生活补助、医疗费补助、奖励金、住房公积金、其他对个人和家庭的补助支出等。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11.83</w:t>
      </w:r>
      <w:r>
        <w:rPr>
          <w:rFonts w:hint="eastAsia" w:ascii="仿宋" w:hAnsi="仿宋" w:eastAsia="仿宋"/>
          <w:color w:val="000000"/>
          <w:sz w:val="32"/>
          <w:szCs w:val="32"/>
        </w:rPr>
        <w:t>万元，主要包括：办公费、印刷费、咨询费、手续费、水费、电费、邮电费、取暖费、物业管理费、差旅费、租赁费、会议费、培训费、公务接待费、劳务费、福利费、公务用车运行维护费、其他交通费、税金及附加费用、其他商品和服务支出、办公设备购置、专用设备购置、信息网络及软件购置更新、其他资本性支出等。</w:t>
      </w:r>
    </w:p>
    <w:p w14:paraId="06B66CD5">
      <w:pPr>
        <w:spacing w:line="600" w:lineRule="exact"/>
        <w:ind w:firstLine="640"/>
        <w:outlineLvl w:val="1"/>
        <w:rPr>
          <w:rStyle w:val="25"/>
          <w:rFonts w:ascii="黑体" w:hAnsi="黑体" w:eastAsia="黑体"/>
          <w:b w:val="0"/>
        </w:rPr>
      </w:pPr>
      <w:bookmarkStart w:id="45" w:name="_Toc15377215"/>
      <w:bookmarkStart w:id="46"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5"/>
      <w:bookmarkEnd w:id="46"/>
    </w:p>
    <w:p w14:paraId="430EACB5">
      <w:pPr>
        <w:spacing w:line="600" w:lineRule="exact"/>
        <w:ind w:firstLine="640"/>
        <w:outlineLvl w:val="2"/>
        <w:rPr>
          <w:rFonts w:ascii="仿宋" w:hAnsi="仿宋" w:eastAsia="仿宋"/>
          <w:b/>
          <w:color w:val="000000"/>
          <w:sz w:val="32"/>
          <w:szCs w:val="32"/>
        </w:rPr>
      </w:pPr>
      <w:bookmarkStart w:id="47" w:name="_Toc15377216"/>
      <w:r>
        <w:rPr>
          <w:rFonts w:hint="eastAsia" w:ascii="仿宋" w:hAnsi="仿宋" w:eastAsia="仿宋"/>
          <w:b/>
          <w:color w:val="000000"/>
          <w:sz w:val="32"/>
          <w:szCs w:val="32"/>
        </w:rPr>
        <w:t>（一）“三公”经费财政拨款支出决算总体情况说明</w:t>
      </w:r>
      <w:bookmarkEnd w:id="47"/>
    </w:p>
    <w:p w14:paraId="115453D8">
      <w:pPr>
        <w:spacing w:line="600" w:lineRule="exact"/>
        <w:ind w:firstLine="640"/>
        <w:rPr>
          <w:rFonts w:ascii="仿宋" w:hAnsi="仿宋" w:eastAsia="仿宋"/>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年“三公”经费财政拨款支出决算为</w:t>
      </w:r>
      <w:r>
        <w:rPr>
          <w:rFonts w:hint="eastAsia" w:ascii="仿宋_GB2312" w:hAnsi="仿宋" w:eastAsia="仿宋_GB2312"/>
          <w:color w:val="000000"/>
          <w:sz w:val="32"/>
          <w:szCs w:val="32"/>
          <w:lang w:val="en-US" w:eastAsia="zh-CN"/>
        </w:rPr>
        <w:t>4.35</w:t>
      </w:r>
      <w:r>
        <w:rPr>
          <w:rFonts w:hint="eastAsia" w:ascii="仿宋_GB2312" w:hAnsi="仿宋" w:eastAsia="仿宋_GB2312"/>
          <w:color w:val="000000"/>
          <w:sz w:val="32"/>
          <w:szCs w:val="32"/>
        </w:rPr>
        <w:t>万元，完成预算</w:t>
      </w:r>
      <w:r>
        <w:rPr>
          <w:rFonts w:hint="eastAsia" w:ascii="仿宋_GB2312" w:hAnsi="仿宋" w:eastAsia="仿宋_GB2312"/>
          <w:color w:val="000000"/>
          <w:sz w:val="32"/>
          <w:szCs w:val="32"/>
          <w:lang w:val="en-US" w:eastAsia="zh-CN"/>
        </w:rPr>
        <w:t>100</w:t>
      </w:r>
      <w:r>
        <w:rPr>
          <w:rFonts w:ascii="仿宋_GB2312" w:hAnsi="仿宋" w:eastAsia="仿宋_GB2312"/>
          <w:color w:val="000000"/>
          <w:sz w:val="32"/>
          <w:szCs w:val="32"/>
        </w:rPr>
        <w:t>%</w:t>
      </w:r>
      <w:r>
        <w:rPr>
          <w:rFonts w:hint="eastAsia" w:ascii="仿宋_GB2312" w:hAnsi="仿宋" w:eastAsia="仿宋_GB2312"/>
          <w:color w:val="000000"/>
          <w:sz w:val="32"/>
          <w:szCs w:val="32"/>
        </w:rPr>
        <w:t>，决算数与预算数一致。</w:t>
      </w:r>
    </w:p>
    <w:p w14:paraId="6ADCB1EC">
      <w:pPr>
        <w:spacing w:line="600" w:lineRule="exact"/>
        <w:ind w:firstLine="640"/>
        <w:outlineLvl w:val="2"/>
        <w:rPr>
          <w:rFonts w:ascii="仿宋" w:hAnsi="仿宋" w:eastAsia="仿宋"/>
          <w:b/>
          <w:color w:val="000000"/>
          <w:sz w:val="32"/>
          <w:szCs w:val="32"/>
        </w:rPr>
      </w:pPr>
      <w:bookmarkStart w:id="48" w:name="_Toc15377217"/>
      <w:r>
        <w:rPr>
          <w:rFonts w:hint="eastAsia" w:ascii="仿宋" w:hAnsi="仿宋" w:eastAsia="仿宋"/>
          <w:b/>
          <w:color w:val="000000"/>
          <w:sz w:val="32"/>
          <w:szCs w:val="32"/>
        </w:rPr>
        <w:t>（二）“三公”经费财政拨款支出决算具体情况说明</w:t>
      </w:r>
      <w:bookmarkEnd w:id="48"/>
    </w:p>
    <w:p w14:paraId="6256F8F6">
      <w:pPr>
        <w:spacing w:line="600" w:lineRule="exact"/>
        <w:ind w:firstLine="640"/>
        <w:rPr>
          <w:rFonts w:hint="eastAsia"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年“三公”经费财政拨款支出决算中，因公出国（境）</w:t>
      </w:r>
      <w:r>
        <w:rPr>
          <w:rFonts w:hint="eastAsia" w:ascii="仿宋_GB2312" w:hAnsi="仿宋" w:eastAsia="仿宋_GB2312"/>
          <w:color w:val="000000"/>
          <w:sz w:val="32"/>
          <w:szCs w:val="32"/>
          <w:lang w:eastAsia="zh-CN"/>
        </w:rPr>
        <w:t>经</w:t>
      </w:r>
      <w:r>
        <w:rPr>
          <w:rFonts w:hint="eastAsia" w:ascii="仿宋_GB2312" w:hAnsi="仿宋" w:eastAsia="仿宋_GB2312"/>
          <w:color w:val="000000"/>
          <w:sz w:val="32"/>
          <w:szCs w:val="32"/>
        </w:rPr>
        <w:t>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“三公”经费支出的</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；公务用车购置及运行维护费支出决算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“三公”经费支出的</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；公务接待费支出决算</w:t>
      </w:r>
      <w:r>
        <w:rPr>
          <w:rFonts w:hint="eastAsia" w:ascii="仿宋_GB2312" w:hAnsi="仿宋" w:eastAsia="仿宋_GB2312"/>
          <w:color w:val="000000"/>
          <w:sz w:val="32"/>
          <w:szCs w:val="32"/>
          <w:lang w:val="en-US" w:eastAsia="zh-CN"/>
        </w:rPr>
        <w:t>4.35</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“三公”经费支出的</w:t>
      </w:r>
      <w:r>
        <w:rPr>
          <w:rFonts w:hint="eastAsia" w:ascii="仿宋_GB2312" w:hAnsi="仿宋" w:eastAsia="仿宋_GB2312"/>
          <w:color w:val="000000"/>
          <w:sz w:val="32"/>
          <w:szCs w:val="32"/>
          <w:lang w:val="en-US" w:eastAsia="zh-CN"/>
        </w:rPr>
        <w:t>100</w:t>
      </w:r>
      <w:r>
        <w:rPr>
          <w:rFonts w:ascii="仿宋_GB2312" w:hAnsi="仿宋" w:eastAsia="仿宋_GB2312"/>
          <w:color w:val="000000"/>
          <w:sz w:val="32"/>
          <w:szCs w:val="32"/>
        </w:rPr>
        <w:t>%</w:t>
      </w:r>
      <w:r>
        <w:rPr>
          <w:rFonts w:hint="eastAsia" w:ascii="仿宋_GB2312" w:hAnsi="仿宋" w:eastAsia="仿宋_GB2312"/>
          <w:color w:val="000000"/>
          <w:sz w:val="32"/>
          <w:szCs w:val="32"/>
        </w:rPr>
        <w:t>。具体情况如下：</w:t>
      </w:r>
    </w:p>
    <w:p w14:paraId="6073FC43">
      <w:pPr>
        <w:spacing w:line="60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lang w:eastAsia="zh-CN"/>
        </w:rPr>
        <w:drawing>
          <wp:anchor distT="0" distB="0" distL="114300" distR="114300" simplePos="0" relativeHeight="251664384" behindDoc="0" locked="0" layoutInCell="1" allowOverlap="1">
            <wp:simplePos x="0" y="0"/>
            <wp:positionH relativeFrom="column">
              <wp:posOffset>924560</wp:posOffset>
            </wp:positionH>
            <wp:positionV relativeFrom="paragraph">
              <wp:posOffset>13970</wp:posOffset>
            </wp:positionV>
            <wp:extent cx="4357370" cy="2171700"/>
            <wp:effectExtent l="4445" t="5080" r="19685" b="13970"/>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2EFE894">
      <w:pPr>
        <w:spacing w:line="600" w:lineRule="exact"/>
        <w:ind w:firstLine="640"/>
        <w:rPr>
          <w:rFonts w:hint="eastAsia" w:ascii="仿宋_GB2312" w:hAnsi="仿宋" w:eastAsia="仿宋_GB2312"/>
          <w:color w:val="000000"/>
          <w:sz w:val="32"/>
          <w:szCs w:val="32"/>
        </w:rPr>
      </w:pPr>
    </w:p>
    <w:p w14:paraId="279228A4">
      <w:pPr>
        <w:spacing w:line="600" w:lineRule="exact"/>
        <w:ind w:firstLine="640"/>
        <w:rPr>
          <w:rFonts w:hint="eastAsia" w:ascii="仿宋_GB2312" w:hAnsi="仿宋" w:eastAsia="仿宋_GB2312"/>
          <w:color w:val="000000"/>
          <w:sz w:val="32"/>
          <w:szCs w:val="32"/>
        </w:rPr>
      </w:pPr>
    </w:p>
    <w:p w14:paraId="0041F426">
      <w:pPr>
        <w:spacing w:line="600" w:lineRule="exact"/>
        <w:ind w:firstLine="640"/>
        <w:rPr>
          <w:rFonts w:hint="eastAsia" w:ascii="仿宋_GB2312" w:hAnsi="仿宋" w:eastAsia="仿宋_GB2312"/>
          <w:color w:val="000000"/>
          <w:sz w:val="32"/>
          <w:szCs w:val="32"/>
        </w:rPr>
      </w:pPr>
    </w:p>
    <w:p w14:paraId="0F3518A2">
      <w:pPr>
        <w:spacing w:line="600" w:lineRule="exact"/>
        <w:ind w:firstLine="640"/>
        <w:rPr>
          <w:rFonts w:hint="eastAsia" w:ascii="仿宋_GB2312" w:hAnsi="仿宋" w:eastAsia="仿宋_GB2312"/>
          <w:color w:val="000000"/>
          <w:sz w:val="32"/>
          <w:szCs w:val="32"/>
        </w:rPr>
      </w:pPr>
    </w:p>
    <w:p w14:paraId="23A4FB2B">
      <w:pPr>
        <w:spacing w:line="600" w:lineRule="exact"/>
        <w:ind w:firstLine="640"/>
        <w:rPr>
          <w:rFonts w:hint="eastAsia" w:ascii="仿宋_GB2312" w:hAnsi="仿宋" w:eastAsia="仿宋_GB2312"/>
          <w:color w:val="000000"/>
          <w:sz w:val="32"/>
          <w:szCs w:val="32"/>
          <w:lang w:eastAsia="zh-CN"/>
        </w:rPr>
      </w:pPr>
    </w:p>
    <w:p w14:paraId="7B50BD6B">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14:paraId="21A3218F">
      <w:pPr>
        <w:numPr>
          <w:ilvl w:val="0"/>
          <w:numId w:val="4"/>
        </w:num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14:paraId="0D8F5124">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 xml:space="preserve">0 </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14:paraId="48DA57A3">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14:paraId="089105A0">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427E1233">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4.35</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 xml:space="preserve">100 </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2.23</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105.19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因机构改革，县委统战部和民宗局合署办公，工作任务加重，各种业务工作和上级部门联系增加，周边单位的学习交流增加，相应的经费也增加。</w:t>
      </w:r>
      <w:r>
        <w:rPr>
          <w:rFonts w:hint="eastAsia" w:ascii="仿宋_GB2312" w:eastAsia="仿宋_GB2312"/>
          <w:color w:val="000000"/>
          <w:sz w:val="32"/>
          <w:szCs w:val="32"/>
        </w:rPr>
        <w:t>其中：</w:t>
      </w:r>
    </w:p>
    <w:p w14:paraId="27E518E4">
      <w:pPr>
        <w:spacing w:line="600" w:lineRule="exact"/>
        <w:ind w:firstLine="640"/>
        <w:rPr>
          <w:rFonts w:hint="eastAsia"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4.35</w:t>
      </w:r>
      <w:r>
        <w:rPr>
          <w:rFonts w:hint="eastAsia" w:ascii="仿宋_GB2312" w:eastAsia="仿宋_GB2312"/>
          <w:color w:val="000000"/>
          <w:sz w:val="32"/>
          <w:szCs w:val="32"/>
        </w:rPr>
        <w:t>万元，主要用于执行公务</w:t>
      </w:r>
      <w:r>
        <w:rPr>
          <w:rFonts w:hint="eastAsia" w:ascii="仿宋_GB2312" w:eastAsia="仿宋_GB2312"/>
          <w:color w:val="000000"/>
          <w:sz w:val="32"/>
          <w:szCs w:val="32"/>
          <w:lang w:eastAsia="zh-CN"/>
        </w:rPr>
        <w:t>时所产生的</w:t>
      </w:r>
      <w:r>
        <w:rPr>
          <w:rFonts w:hint="eastAsia" w:ascii="仿宋_GB2312" w:eastAsia="仿宋_GB2312"/>
          <w:color w:val="000000"/>
          <w:sz w:val="32"/>
          <w:szCs w:val="32"/>
        </w:rPr>
        <w:t>用餐费。国内公务接待</w:t>
      </w:r>
      <w:r>
        <w:rPr>
          <w:rFonts w:hint="eastAsia" w:ascii="仿宋_GB2312" w:eastAsia="仿宋_GB2312"/>
          <w:color w:val="000000"/>
          <w:sz w:val="32"/>
          <w:szCs w:val="32"/>
          <w:lang w:val="en-US" w:eastAsia="zh-CN"/>
        </w:rPr>
        <w:t>34</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330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4.35</w:t>
      </w:r>
      <w:r>
        <w:rPr>
          <w:rFonts w:hint="eastAsia" w:ascii="仿宋_GB2312" w:eastAsia="仿宋_GB2312"/>
          <w:color w:val="000000"/>
          <w:sz w:val="32"/>
          <w:szCs w:val="32"/>
        </w:rPr>
        <w:t>万元，具体内容包括：</w:t>
      </w:r>
    </w:p>
    <w:p w14:paraId="1A033D6A">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因“新春八问”交办课题调研接待市委统战部一行</w:t>
      </w:r>
      <w:r>
        <w:rPr>
          <w:rFonts w:hint="eastAsia" w:ascii="仿宋_GB2312" w:eastAsia="仿宋_GB2312"/>
          <w:color w:val="000000"/>
          <w:sz w:val="32"/>
          <w:szCs w:val="32"/>
          <w:lang w:val="en-US" w:eastAsia="zh-CN"/>
        </w:rPr>
        <w:t>5人，费用0.06万元。</w:t>
      </w:r>
    </w:p>
    <w:p w14:paraId="23D828CA">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因开展商会大厦建设工作考察学习接待市工商联一行10人，费用0.14万元。</w:t>
      </w:r>
    </w:p>
    <w:p w14:paraId="4DDC602A">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因开展康养产业考察接待民进中央、民进四川省委、民进江苏省委、民进常州市委一行15人，费用0.14万元。</w:t>
      </w:r>
    </w:p>
    <w:p w14:paraId="27E7E6EE">
      <w:pPr>
        <w:spacing w:line="600" w:lineRule="exact"/>
        <w:ind w:firstLine="64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因开展考察学习接待中共华蓥市委统战部一行7人，费用0.1万元。</w:t>
      </w:r>
    </w:p>
    <w:p w14:paraId="551A198C">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因开展“新春八问”课题调研接待市委统战部一行6人，费用0.09万元。</w:t>
      </w:r>
    </w:p>
    <w:p w14:paraId="3B38366B">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因开展康养产业考察工作接待民进重庆市委一行8人，费用0.1万元。</w:t>
      </w:r>
    </w:p>
    <w:p w14:paraId="4C57173B">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因开展全市统一战线助力乡村振兴工作调研接待市委统战部一行7人，费用0.12万元。</w:t>
      </w:r>
    </w:p>
    <w:p w14:paraId="03E8C709">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因开展市场新联会人员走访调研工作接待市委统战部一行7人，费用0.07万元。</w:t>
      </w:r>
    </w:p>
    <w:p w14:paraId="10C9CCCB">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因开展考察学习工作接待鹤壁市委统战部一行7人，费用0.1万元。</w:t>
      </w:r>
    </w:p>
    <w:p w14:paraId="688CE029">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因开展走访了解来攀挂职党外干部情况接待市委统战部一行4人，费用0.05万元。</w:t>
      </w:r>
    </w:p>
    <w:p w14:paraId="12CC9D5F">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因开展“助推攀西国家级战略资源创新开发试验区县域经济绿色发展”专题调研工作接待农工党四川省委一行6人，费用0.12万元。</w:t>
      </w:r>
    </w:p>
    <w:p w14:paraId="242C969B">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因现代农业、城市建设、康养产业发展等工作调研接待农工党四川省委直属广安市支部一行10人，费用0.12万元。</w:t>
      </w:r>
    </w:p>
    <w:p w14:paraId="6377DA81">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因机关组织建设、服务会员企业等工作考察学习接待西区工商联一行12人，费用0.09万元。</w:t>
      </w:r>
    </w:p>
    <w:p w14:paraId="06CD6171">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因基层支社走访调研工作接待九三学社攀枝花市委一行5人，费用0.05万元。</w:t>
      </w:r>
    </w:p>
    <w:p w14:paraId="6592B399">
      <w:pPr>
        <w:spacing w:line="600" w:lineRule="exact"/>
        <w:ind w:firstLine="64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因党外知识分子工作、产业发展和文化旅游开发等工作考察学习接待云南省牟定县委统战部一行22人，费用0.18万元。</w:t>
      </w:r>
    </w:p>
    <w:p w14:paraId="501B637F">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因检查宗教工作“三级网络”“两级责任”落实情况接待攀枝花市民宗委一行5人，费用0.06万元。</w:t>
      </w:r>
    </w:p>
    <w:p w14:paraId="3830BDBC">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因开展考察学习工作接待攀枝花市工商联一行19人，费用0.28万元。</w:t>
      </w:r>
    </w:p>
    <w:p w14:paraId="7623B169">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因宗教工作调研接待攀枝花市民宗委一行8人，费用0.12万元。</w:t>
      </w:r>
    </w:p>
    <w:p w14:paraId="65DF949E">
      <w:pPr>
        <w:spacing w:line="600" w:lineRule="exact"/>
        <w:ind w:firstLine="64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因开展关工委工作调研接待市委统战部一行5人，费0.08万元。</w:t>
      </w:r>
    </w:p>
    <w:p w14:paraId="1CBF82BB">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因对接滞留米易县湾丘基地人员信访问题工作接待会理县人民政府一行11人，费用0.19万元。</w:t>
      </w:r>
    </w:p>
    <w:p w14:paraId="2C9FE8A4">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因开展民族团结进步创建和民族中学管理工作考察接待盐边县民宗局及教体局一行17人，费用0.3万元。</w:t>
      </w:r>
    </w:p>
    <w:p w14:paraId="2DEDA66A">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因开展调研工作接待市民宗委一行7人，费用0.09万元。</w:t>
      </w:r>
    </w:p>
    <w:p w14:paraId="3C95FDA6">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因开展园区统战工作情况调研接待攀枝花市委统战部一行3人，费用0.06万元。</w:t>
      </w:r>
    </w:p>
    <w:p w14:paraId="02C46868">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因开展园区统战工作情况调研接待攀枝花市委统战部一行6人，费用0.08万元。</w:t>
      </w:r>
    </w:p>
    <w:p w14:paraId="0039CF96">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因宗教场规范化管理学习考察接待绵阳市涪城区民族宗教事务局一行13人，费用0.21万元。</w:t>
      </w:r>
    </w:p>
    <w:p w14:paraId="417C422A">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因开展做好2019年全省两项资金项目绩效评价工作接待市两资办一行11人，费用0.18万元。</w:t>
      </w:r>
    </w:p>
    <w:p w14:paraId="692F135F">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因两资项目实施情况相关工作接待市两资办一行11人，费用0.19万元。</w:t>
      </w:r>
    </w:p>
    <w:p w14:paraId="5B681737">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因开展民创暨宗教工作考察学习接仁和区委统战部一行20人，费用0.24万元。</w:t>
      </w:r>
    </w:p>
    <w:p w14:paraId="3F8B30F2">
      <w:pPr>
        <w:spacing w:line="600" w:lineRule="exact"/>
        <w:ind w:firstLine="64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因开展配合做好看望慰问工作接待攀枝花市委统战部一行8人，费用0.13万元。</w:t>
      </w:r>
    </w:p>
    <w:p w14:paraId="4C878661">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因来攀交流学习工作接待德阳市新联会一行16人，费用0.11万元。</w:t>
      </w:r>
    </w:p>
    <w:p w14:paraId="04348B14">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因民族宗教工作调研检查接待攀枝花市委统战部一行10人，费用0.14万元。</w:t>
      </w:r>
    </w:p>
    <w:p w14:paraId="58EAD6F1">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因开展创新实践基地建设情况调研接待攀枝花市委统战一行7人，费用0.1万元。</w:t>
      </w:r>
    </w:p>
    <w:p w14:paraId="78980EFE">
      <w:pPr>
        <w:spacing w:line="600" w:lineRule="exact"/>
        <w:ind w:firstLine="64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因工作调研接待市委统战部一行6人，费0.09万元。</w:t>
      </w:r>
    </w:p>
    <w:p w14:paraId="446C81AF">
      <w:pPr>
        <w:spacing w:line="600" w:lineRule="exact"/>
        <w:ind w:firstLine="64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因开展“弘扬爱国奋斗精神，建功立业新时代”主题活动接待仁和区委统战部一行16人，费0.19万元。</w:t>
      </w:r>
    </w:p>
    <w:p w14:paraId="77CB6508">
      <w:pPr>
        <w:spacing w:line="600" w:lineRule="exact"/>
        <w:ind w:firstLine="640"/>
        <w:outlineLvl w:val="1"/>
        <w:rPr>
          <w:rFonts w:hint="eastAsia" w:ascii="仿宋_GB2312" w:eastAsia="仿宋_GB2312"/>
          <w:color w:val="000000" w:themeColor="text1"/>
          <w:sz w:val="32"/>
          <w:szCs w:val="32"/>
          <w:lang w:eastAsia="zh-CN"/>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bookmarkStart w:id="49" w:name="_Toc15377218"/>
      <w:bookmarkStart w:id="50" w:name="_Toc15396610"/>
      <w:r>
        <w:rPr>
          <w:rFonts w:hint="eastAsia" w:ascii="仿宋_GB2312" w:eastAsia="仿宋_GB2312"/>
          <w:color w:val="000000" w:themeColor="text1"/>
          <w:sz w:val="32"/>
          <w:szCs w:val="32"/>
          <w:lang w:eastAsia="zh-CN"/>
          <w14:textFill>
            <w14:solidFill>
              <w14:schemeClr w14:val="tx1"/>
            </w14:solidFill>
          </w14:textFill>
        </w:rPr>
        <w:t>。</w:t>
      </w:r>
    </w:p>
    <w:p w14:paraId="6F7F80E8">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9"/>
      <w:bookmarkEnd w:id="50"/>
    </w:p>
    <w:p w14:paraId="716AF6C5">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5FB6BAB8">
      <w:pPr>
        <w:numPr>
          <w:ilvl w:val="0"/>
          <w:numId w:val="5"/>
        </w:numPr>
        <w:spacing w:line="600" w:lineRule="exact"/>
        <w:ind w:firstLine="640"/>
        <w:outlineLvl w:val="1"/>
        <w:rPr>
          <w:rStyle w:val="25"/>
          <w:rFonts w:ascii="黑体" w:hAnsi="黑体" w:eastAsia="黑体"/>
          <w:b w:val="0"/>
        </w:rPr>
      </w:pPr>
      <w:bookmarkStart w:id="51" w:name="_Toc15396611"/>
      <w:bookmarkStart w:id="52" w:name="_Toc15377219"/>
      <w:r>
        <w:rPr>
          <w:rStyle w:val="25"/>
          <w:rFonts w:hint="eastAsia" w:ascii="黑体" w:hAnsi="黑体" w:eastAsia="黑体"/>
          <w:b w:val="0"/>
        </w:rPr>
        <w:t>国有资本经营预算支出决算情况说明</w:t>
      </w:r>
      <w:bookmarkEnd w:id="51"/>
      <w:bookmarkEnd w:id="52"/>
    </w:p>
    <w:p w14:paraId="27CC4961">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4B31B007">
      <w:pPr>
        <w:spacing w:line="600" w:lineRule="exact"/>
        <w:ind w:firstLine="800" w:firstLineChars="250"/>
        <w:outlineLvl w:val="1"/>
        <w:rPr>
          <w:rStyle w:val="25"/>
          <w:rFonts w:ascii="黑体" w:hAnsi="黑体" w:eastAsia="黑体"/>
        </w:rPr>
      </w:pPr>
      <w:bookmarkStart w:id="53" w:name="_Toc15377221"/>
      <w:bookmarkStart w:id="54"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53"/>
      <w:bookmarkEnd w:id="54"/>
    </w:p>
    <w:p w14:paraId="5CDAD583">
      <w:pPr>
        <w:spacing w:line="600" w:lineRule="exact"/>
        <w:ind w:firstLine="643" w:firstLineChars="200"/>
        <w:outlineLvl w:val="2"/>
        <w:rPr>
          <w:rFonts w:ascii="仿宋" w:hAnsi="仿宋" w:eastAsia="仿宋"/>
          <w:color w:val="000000"/>
          <w:sz w:val="32"/>
          <w:szCs w:val="32"/>
        </w:rPr>
      </w:pPr>
      <w:bookmarkStart w:id="55" w:name="_Toc15377222"/>
      <w:r>
        <w:rPr>
          <w:rFonts w:hint="eastAsia" w:ascii="仿宋" w:hAnsi="仿宋" w:eastAsia="仿宋"/>
          <w:b/>
          <w:color w:val="000000"/>
          <w:sz w:val="32"/>
          <w:szCs w:val="32"/>
        </w:rPr>
        <w:t>（一）机关运行经费支出情况</w:t>
      </w:r>
      <w:bookmarkEnd w:id="55"/>
    </w:p>
    <w:p w14:paraId="1F1C1FCD">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米易县委统战部</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11.83</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12.33万元减少0.5</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4.06</w:t>
      </w:r>
      <w:r>
        <w:rPr>
          <w:rFonts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按要求压缩公用经费支出，减少不必要的开支。</w:t>
      </w:r>
    </w:p>
    <w:p w14:paraId="44939C88">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6" w:name="_Toc15377223"/>
      <w:r>
        <w:rPr>
          <w:rFonts w:hint="eastAsia" w:ascii="仿宋" w:hAnsi="仿宋" w:eastAsia="仿宋"/>
          <w:b/>
          <w:color w:val="000000"/>
          <w:sz w:val="32"/>
          <w:szCs w:val="32"/>
        </w:rPr>
        <w:t>（二）政府采购支出情况</w:t>
      </w:r>
      <w:bookmarkEnd w:id="56"/>
    </w:p>
    <w:p w14:paraId="13C72CBB">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米易县委统战部</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1EB7B479">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7" w:name="_Toc15377224"/>
      <w:r>
        <w:rPr>
          <w:rFonts w:hint="eastAsia" w:ascii="仿宋" w:hAnsi="仿宋" w:eastAsia="仿宋"/>
          <w:b/>
          <w:color w:val="000000"/>
          <w:sz w:val="32"/>
          <w:szCs w:val="32"/>
        </w:rPr>
        <w:t>（三）国有资产占有使用情况</w:t>
      </w:r>
      <w:bookmarkEnd w:id="57"/>
    </w:p>
    <w:p w14:paraId="56D8DCCA">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米易县委统战部</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 xml:space="preserve">0 </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 xml:space="preserve">0 </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 xml:space="preserve">0 </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 xml:space="preserve">0 </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57A407AF">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299E3A8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物业管理费</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14:paraId="48EBA430">
      <w:pPr>
        <w:widowControl/>
        <w:adjustRightInd w:val="0"/>
        <w:snapToGrid w:val="0"/>
        <w:spacing w:line="540" w:lineRule="exact"/>
        <w:ind w:firstLine="720"/>
        <w:jc w:val="left"/>
        <w:rPr>
          <w:rFonts w:hint="eastAsia" w:ascii="仿宋_GB2312" w:hAnsi="仿宋_GB2312" w:eastAsia="仿宋_GB2312" w:cs="仿宋_GB2312"/>
          <w:b w:val="0"/>
          <w:bCs/>
          <w:color w:val="000000"/>
          <w:kern w:val="0"/>
          <w:sz w:val="32"/>
          <w:szCs w:val="32"/>
          <w:shd w:val="clear" w:color="auto" w:fill="FFFFFF"/>
          <w:lang w:val="zh-CN"/>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b w:val="0"/>
          <w:bCs/>
          <w:color w:val="000000"/>
          <w:kern w:val="0"/>
          <w:sz w:val="32"/>
          <w:szCs w:val="32"/>
          <w:shd w:val="clear" w:color="auto" w:fill="FFFFFF"/>
          <w:lang w:val="zh-CN"/>
        </w:rPr>
        <w:t>基本支出方面逐月发放职工工资，按时缴纳职工机关事业单位基本养老保险、其他社会保障性缴费、住房公积金等各项人员经费，严格分解使用本单位的公用经费，把好审核关，把本单位的公用经费支出按制在规定的范围内。</w:t>
      </w:r>
    </w:p>
    <w:p w14:paraId="5380FB98">
      <w:pPr>
        <w:spacing w:line="600" w:lineRule="exact"/>
        <w:ind w:firstLine="630" w:firstLineChars="197"/>
        <w:rPr>
          <w:rFonts w:hint="eastAsia" w:ascii="仿宋_GB2312" w:hAnsi="仿宋_GB2312" w:eastAsia="仿宋_GB2312" w:cs="仿宋_GB2312"/>
          <w:b w:val="0"/>
          <w:bCs/>
          <w:color w:val="000000"/>
          <w:kern w:val="0"/>
          <w:sz w:val="32"/>
          <w:szCs w:val="32"/>
          <w:shd w:val="clear" w:color="auto" w:fill="FFFFFF"/>
          <w:lang w:val="zh-CN" w:eastAsia="zh-CN"/>
        </w:rPr>
      </w:pPr>
      <w:r>
        <w:rPr>
          <w:rFonts w:hint="eastAsia" w:ascii="仿宋_GB2312" w:hAnsi="仿宋_GB2312" w:eastAsia="仿宋_GB2312" w:cs="仿宋_GB2312"/>
          <w:b w:val="0"/>
          <w:bCs/>
          <w:color w:val="000000"/>
          <w:kern w:val="0"/>
          <w:sz w:val="32"/>
          <w:szCs w:val="32"/>
          <w:shd w:val="clear" w:color="auto" w:fill="FFFFFF"/>
          <w:lang w:val="zh-CN"/>
        </w:rPr>
        <w:t>项目支出方面严格按照资金的用途，及时拨付各民主党派的活动经费，确保了早期归乔生活补助及驻村第一书记费用，铸牢统一战线的血肉联系，使本部门的各项工作得以圆满完成。</w:t>
      </w:r>
    </w:p>
    <w:p w14:paraId="00F21463">
      <w:pPr>
        <w:widowControl/>
        <w:adjustRightInd w:val="0"/>
        <w:snapToGrid w:val="0"/>
        <w:spacing w:line="540"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本部门无专项预算项目，因此未组织开展项目支出绩效评价。</w:t>
      </w:r>
    </w:p>
    <w:p w14:paraId="5650E456">
      <w:pPr>
        <w:spacing w:line="580" w:lineRule="exact"/>
        <w:ind w:left="630"/>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无</w:t>
      </w:r>
    </w:p>
    <w:p w14:paraId="2F15D8F3">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687E6E16">
      <w:pPr>
        <w:widowControl/>
        <w:adjustRightInd w:val="0"/>
        <w:snapToGrid w:val="0"/>
        <w:spacing w:line="540"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本部门无专项预算项目，因此未组织开展项目支出绩效评价，也无绩效评价结果。</w:t>
      </w:r>
    </w:p>
    <w:p w14:paraId="4D5447FA">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3F9AE23A">
      <w:pPr>
        <w:numPr>
          <w:ilvl w:val="0"/>
          <w:numId w:val="6"/>
        </w:numPr>
        <w:spacing w:line="600" w:lineRule="exact"/>
        <w:ind w:firstLine="660" w:firstLineChars="150"/>
        <w:jc w:val="center"/>
        <w:outlineLvl w:val="0"/>
        <w:rPr>
          <w:rStyle w:val="24"/>
          <w:rFonts w:ascii="黑体" w:hAnsi="黑体" w:eastAsia="黑体"/>
          <w:b w:val="0"/>
        </w:rPr>
      </w:pPr>
      <w:bookmarkStart w:id="58" w:name="_Toc15396613"/>
      <w:bookmarkStart w:id="59" w:name="_Toc15377225"/>
      <w:r>
        <w:rPr>
          <w:rFonts w:hint="eastAsia" w:ascii="黑体" w:hAnsi="黑体" w:eastAsia="黑体"/>
          <w:color w:val="000000"/>
          <w:sz w:val="44"/>
          <w:szCs w:val="44"/>
        </w:rPr>
        <w:t>名</w:t>
      </w:r>
      <w:r>
        <w:rPr>
          <w:rStyle w:val="24"/>
          <w:rFonts w:hint="eastAsia" w:ascii="黑体" w:hAnsi="黑体" w:eastAsia="黑体"/>
          <w:b w:val="0"/>
        </w:rPr>
        <w:t>词解释</w:t>
      </w:r>
      <w:bookmarkEnd w:id="58"/>
      <w:bookmarkEnd w:id="59"/>
    </w:p>
    <w:p w14:paraId="03E7CF3C">
      <w:pPr>
        <w:spacing w:line="600" w:lineRule="exact"/>
        <w:jc w:val="left"/>
        <w:rPr>
          <w:rFonts w:ascii="宋体"/>
          <w:b/>
          <w:color w:val="000000"/>
          <w:sz w:val="44"/>
          <w:szCs w:val="44"/>
        </w:rPr>
      </w:pPr>
    </w:p>
    <w:p w14:paraId="41CA05B3">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55F0114E">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1DA97B2D">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33AC7F71">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14:paraId="1B725B88">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07491E78">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41CB9767">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31E59707">
      <w:pPr>
        <w:pStyle w:val="2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0E1B4191">
      <w:pPr>
        <w:numPr>
          <w:ilvl w:val="0"/>
          <w:numId w:val="0"/>
        </w:numPr>
        <w:spacing w:line="600" w:lineRule="exact"/>
        <w:ind w:firstLine="640" w:firstLineChars="200"/>
        <w:rPr>
          <w:rFonts w:hint="eastAsia" w:ascii="仿宋_GB2312" w:hAnsi="仿宋" w:eastAsia="仿宋_GB2312"/>
          <w:color w:val="000000"/>
          <w:sz w:val="32"/>
          <w:szCs w:val="32"/>
        </w:rPr>
      </w:pPr>
      <w:r>
        <w:rPr>
          <w:rStyle w:val="14"/>
          <w:rFonts w:hint="eastAsia" w:ascii="仿宋_GB2312" w:hAnsi="仿宋" w:eastAsia="仿宋_GB2312"/>
          <w:b w:val="0"/>
          <w:bCs/>
          <w:color w:val="000000"/>
          <w:sz w:val="32"/>
          <w:szCs w:val="32"/>
          <w:lang w:val="en-US" w:eastAsia="zh-CN"/>
        </w:rPr>
        <w:t>9.</w:t>
      </w:r>
      <w:r>
        <w:rPr>
          <w:rStyle w:val="14"/>
          <w:rFonts w:hint="eastAsia" w:ascii="仿宋_GB2312" w:hAnsi="仿宋" w:eastAsia="仿宋_GB2312"/>
          <w:b w:val="0"/>
          <w:bCs/>
          <w:color w:val="000000"/>
          <w:sz w:val="32"/>
          <w:szCs w:val="32"/>
        </w:rPr>
        <w:t>一般公共服务</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统战事务</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行政运行</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lang w:eastAsia="zh-CN"/>
        </w:rPr>
        <w:t>是指行政单位（包括实行公务员管理的事业单位）的基本支出</w:t>
      </w:r>
      <w:r>
        <w:rPr>
          <w:rFonts w:hint="eastAsia" w:ascii="仿宋_GB2312" w:hAnsi="仿宋" w:eastAsia="仿宋_GB2312"/>
          <w:color w:val="000000"/>
          <w:sz w:val="32"/>
          <w:szCs w:val="32"/>
          <w:lang w:eastAsia="zh-CN"/>
        </w:rPr>
        <w:t>。</w:t>
      </w:r>
    </w:p>
    <w:p w14:paraId="06100AD4">
      <w:pPr>
        <w:numPr>
          <w:ilvl w:val="0"/>
          <w:numId w:val="0"/>
        </w:numPr>
        <w:spacing w:line="600" w:lineRule="exact"/>
        <w:ind w:firstLine="640" w:firstLineChars="200"/>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10.</w:t>
      </w:r>
      <w:r>
        <w:rPr>
          <w:rStyle w:val="14"/>
          <w:rFonts w:hint="eastAsia" w:ascii="仿宋_GB2312" w:hAnsi="仿宋" w:eastAsia="仿宋_GB2312"/>
          <w:b w:val="0"/>
          <w:bCs/>
          <w:color w:val="000000"/>
          <w:sz w:val="32"/>
          <w:szCs w:val="32"/>
        </w:rPr>
        <w:t>一般公共服务</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统战事务</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一般行政管理事务</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lang w:eastAsia="zh-CN"/>
        </w:rPr>
        <w:t>是指行政单位（包括实行公务员管理的事业单位）未独立设置项级科目的其他项目支出。</w:t>
      </w:r>
    </w:p>
    <w:p w14:paraId="43186A1B">
      <w:pPr>
        <w:numPr>
          <w:ilvl w:val="0"/>
          <w:numId w:val="0"/>
        </w:num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11.  一般公共服务</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组织事务</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一般行政管理事务：是指行政单位（包括实行公务员管理的事业单位）未独立设置项级科目的其他项目支出。</w:t>
      </w:r>
    </w:p>
    <w:p w14:paraId="51174390">
      <w:pPr>
        <w:numPr>
          <w:ilvl w:val="0"/>
          <w:numId w:val="0"/>
        </w:numPr>
        <w:ind w:firstLine="640" w:firstLineChars="200"/>
        <w:rPr>
          <w:rFonts w:hint="eastAsia" w:ascii="仿宋_GB2312" w:hAnsi="仿宋" w:eastAsia="仿宋_GB2312"/>
          <w:color w:val="000000"/>
          <w:sz w:val="32"/>
          <w:szCs w:val="32"/>
          <w:lang w:eastAsia="zh-CN"/>
        </w:rPr>
      </w:pPr>
      <w:r>
        <w:rPr>
          <w:rStyle w:val="14"/>
          <w:rFonts w:hint="eastAsia" w:ascii="仿宋_GB2312" w:hAnsi="仿宋" w:eastAsia="仿宋_GB2312"/>
          <w:b w:val="0"/>
          <w:bCs/>
          <w:color w:val="000000"/>
          <w:sz w:val="32"/>
          <w:szCs w:val="32"/>
          <w:lang w:val="en-US" w:eastAsia="zh-CN"/>
        </w:rPr>
        <w:t>12.</w:t>
      </w:r>
      <w:r>
        <w:rPr>
          <w:rStyle w:val="14"/>
          <w:rFonts w:hint="eastAsia" w:ascii="仿宋_GB2312" w:hAnsi="仿宋" w:eastAsia="仿宋_GB2312"/>
          <w:b w:val="0"/>
          <w:bCs/>
          <w:color w:val="000000"/>
          <w:sz w:val="32"/>
          <w:szCs w:val="32"/>
        </w:rPr>
        <w:t>社会保障和就业</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行政事业单位离退休</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rPr>
        <w:t>未归口管理的行政单位离退休</w:t>
      </w:r>
      <w:r>
        <w:rPr>
          <w:rStyle w:val="14"/>
          <w:rFonts w:ascii="仿宋_GB2312" w:hAnsi="仿宋" w:eastAsia="仿宋_GB2312"/>
          <w:b w:val="0"/>
          <w:bCs/>
          <w:color w:val="000000"/>
          <w:sz w:val="32"/>
          <w:szCs w:val="32"/>
        </w:rPr>
        <w:t xml:space="preserve">: </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实行归口管理的行政单位（包括实行公务员管理的事业单位）开支的离退休支出</w:t>
      </w:r>
      <w:r>
        <w:rPr>
          <w:rFonts w:hint="eastAsia" w:ascii="仿宋_GB2312" w:eastAsia="仿宋_GB2312"/>
          <w:color w:val="000000"/>
          <w:sz w:val="32"/>
          <w:szCs w:val="32"/>
        </w:rPr>
        <w:t>。</w:t>
      </w:r>
    </w:p>
    <w:p w14:paraId="01CAE15A">
      <w:pPr>
        <w:numPr>
          <w:ilvl w:val="0"/>
          <w:numId w:val="0"/>
        </w:numPr>
        <w:spacing w:line="600" w:lineRule="exact"/>
        <w:ind w:firstLine="640" w:firstLineChars="200"/>
        <w:rPr>
          <w:rFonts w:hint="eastAsia" w:ascii="仿宋_GB2312" w:hAnsi="仿宋" w:eastAsia="仿宋_GB2312"/>
          <w:color w:val="000000"/>
          <w:sz w:val="32"/>
          <w:szCs w:val="32"/>
        </w:rPr>
      </w:pPr>
      <w:r>
        <w:rPr>
          <w:rStyle w:val="14"/>
          <w:rFonts w:hint="eastAsia" w:ascii="仿宋_GB2312" w:hAnsi="仿宋" w:eastAsia="仿宋_GB2312"/>
          <w:b w:val="0"/>
          <w:bCs/>
          <w:color w:val="000000"/>
          <w:sz w:val="32"/>
          <w:szCs w:val="32"/>
          <w:lang w:val="en-US" w:eastAsia="zh-CN"/>
        </w:rPr>
        <w:t>13.</w:t>
      </w:r>
      <w:r>
        <w:rPr>
          <w:rStyle w:val="14"/>
          <w:rFonts w:hint="eastAsia" w:ascii="仿宋_GB2312" w:hAnsi="仿宋" w:eastAsia="仿宋_GB2312"/>
          <w:b w:val="0"/>
          <w:bCs/>
          <w:color w:val="000000"/>
          <w:sz w:val="32"/>
          <w:szCs w:val="32"/>
        </w:rPr>
        <w:t>社会保障和就业</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行政事业单位离退休</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机关事业单位基本养老保险缴费支出</w:t>
      </w:r>
      <w:r>
        <w:rPr>
          <w:rStyle w:val="14"/>
          <w:rFonts w:ascii="仿宋_GB2312" w:hAnsi="仿宋" w:eastAsia="仿宋_GB2312"/>
          <w:b w:val="0"/>
          <w:bCs/>
          <w:color w:val="000000"/>
          <w:sz w:val="32"/>
          <w:szCs w:val="32"/>
        </w:rPr>
        <w:t xml:space="preserve">: </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行政事业单位按人力资源和社会保障部、财政部规定的基本工资和津贴补贴以及规定比例为职工缴纳的基本养老保险缴费</w:t>
      </w:r>
      <w:r>
        <w:rPr>
          <w:rFonts w:hint="eastAsia" w:ascii="仿宋_GB2312" w:hAnsi="仿宋" w:eastAsia="仿宋_GB2312"/>
          <w:color w:val="000000"/>
          <w:sz w:val="32"/>
          <w:szCs w:val="32"/>
          <w:lang w:eastAsia="zh-CN"/>
        </w:rPr>
        <w:t>。</w:t>
      </w:r>
    </w:p>
    <w:p w14:paraId="0E324718">
      <w:pPr>
        <w:numPr>
          <w:ilvl w:val="0"/>
          <w:numId w:val="0"/>
        </w:numPr>
        <w:spacing w:line="600" w:lineRule="exact"/>
        <w:ind w:firstLine="640" w:firstLineChars="200"/>
        <w:rPr>
          <w:rFonts w:hint="eastAsia" w:ascii="仿宋_GB2312" w:hAnsi="仿宋" w:eastAsia="仿宋_GB2312"/>
          <w:color w:val="000000"/>
          <w:sz w:val="32"/>
          <w:szCs w:val="32"/>
        </w:rPr>
      </w:pPr>
      <w:r>
        <w:rPr>
          <w:rStyle w:val="14"/>
          <w:rFonts w:hint="eastAsia" w:ascii="仿宋_GB2312" w:hAnsi="仿宋" w:eastAsia="仿宋_GB2312"/>
          <w:b w:val="0"/>
          <w:bCs/>
          <w:color w:val="000000"/>
          <w:sz w:val="32"/>
          <w:szCs w:val="32"/>
          <w:lang w:val="en-US" w:eastAsia="zh-CN"/>
        </w:rPr>
        <w:t>14.</w:t>
      </w:r>
      <w:r>
        <w:rPr>
          <w:rStyle w:val="14"/>
          <w:rFonts w:hint="eastAsia" w:ascii="仿宋_GB2312" w:hAnsi="仿宋" w:eastAsia="仿宋_GB2312"/>
          <w:b w:val="0"/>
          <w:bCs/>
          <w:color w:val="000000"/>
          <w:sz w:val="32"/>
          <w:szCs w:val="32"/>
          <w:lang w:eastAsia="zh-CN"/>
        </w:rPr>
        <w:t>卫生健康支出</w:t>
      </w:r>
      <w:r>
        <w:rPr>
          <w:rStyle w:val="14"/>
          <w:rFonts w:hint="eastAsia" w:ascii="仿宋_GB2312" w:hAnsi="仿宋" w:eastAsia="仿宋_GB2312"/>
          <w:b w:val="0"/>
          <w:bCs/>
          <w:color w:val="000000"/>
          <w:sz w:val="32"/>
          <w:szCs w:val="32"/>
          <w:lang w:val="en-US" w:eastAsia="zh-CN"/>
        </w:rPr>
        <w:t>-行政事业单位医疗-行政单位医疗</w:t>
      </w:r>
      <w:r>
        <w:rPr>
          <w:rStyle w:val="14"/>
          <w:rFonts w:ascii="仿宋_GB2312" w:hAnsi="仿宋" w:eastAsia="仿宋_GB2312"/>
          <w:b w:val="0"/>
          <w:bCs/>
          <w:color w:val="000000"/>
          <w:sz w:val="32"/>
          <w:szCs w:val="32"/>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财政部门集中安排的行政单位基本医疗保险缴费经费</w:t>
      </w:r>
      <w:r>
        <w:rPr>
          <w:rFonts w:hint="eastAsia" w:ascii="仿宋_GB2312" w:hAnsi="仿宋" w:eastAsia="仿宋_GB2312"/>
          <w:color w:val="000000"/>
          <w:sz w:val="32"/>
          <w:szCs w:val="32"/>
          <w:lang w:eastAsia="zh-CN"/>
        </w:rPr>
        <w:t>。</w:t>
      </w:r>
    </w:p>
    <w:p w14:paraId="3FF7565F">
      <w:pPr>
        <w:numPr>
          <w:ilvl w:val="0"/>
          <w:numId w:val="0"/>
        </w:numPr>
        <w:spacing w:line="600" w:lineRule="exact"/>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 xml:space="preserve">    15.</w:t>
      </w:r>
      <w:r>
        <w:rPr>
          <w:rStyle w:val="14"/>
          <w:rFonts w:hint="eastAsia" w:ascii="仿宋_GB2312" w:hAnsi="仿宋" w:eastAsia="仿宋_GB2312"/>
          <w:b w:val="0"/>
          <w:bCs/>
          <w:color w:val="000000"/>
          <w:sz w:val="32"/>
          <w:szCs w:val="32"/>
          <w:lang w:eastAsia="zh-CN"/>
        </w:rPr>
        <w:t>卫生健康支出</w:t>
      </w:r>
      <w:r>
        <w:rPr>
          <w:rStyle w:val="14"/>
          <w:rFonts w:hint="eastAsia" w:ascii="仿宋_GB2312" w:hAnsi="仿宋" w:eastAsia="仿宋_GB2312"/>
          <w:b w:val="0"/>
          <w:bCs/>
          <w:color w:val="000000"/>
          <w:sz w:val="32"/>
          <w:szCs w:val="32"/>
          <w:lang w:val="en-US" w:eastAsia="zh-CN"/>
        </w:rPr>
        <w:t>-行政事业单位医疗-公务员医疗补助</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lang w:eastAsia="zh-CN"/>
        </w:rPr>
        <w:t>是</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财政部门集中安排的公务员医疗补助经费</w:t>
      </w:r>
      <w:r>
        <w:rPr>
          <w:rFonts w:hint="eastAsia" w:ascii="仿宋_GB2312" w:hAnsi="仿宋" w:eastAsia="仿宋_GB2312"/>
          <w:color w:val="000000"/>
          <w:sz w:val="32"/>
          <w:szCs w:val="32"/>
          <w:lang w:eastAsia="zh-CN"/>
        </w:rPr>
        <w:t>。</w:t>
      </w:r>
    </w:p>
    <w:p w14:paraId="14DA9C91">
      <w:pPr>
        <w:numPr>
          <w:ilvl w:val="0"/>
          <w:numId w:val="0"/>
        </w:numPr>
        <w:spacing w:line="600" w:lineRule="exact"/>
        <w:ind w:firstLine="640" w:firstLineChars="200"/>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16.住房保障支出-住房改革支出-住房积金：</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行政事业单位按人力资源和社会保障部、财政部规定的基本工资和津贴补贴以及规定比例为职工缴纳的住房公积金</w:t>
      </w:r>
      <w:r>
        <w:rPr>
          <w:rFonts w:hint="eastAsia" w:ascii="仿宋_GB2312" w:hAnsi="仿宋" w:eastAsia="仿宋_GB2312"/>
          <w:color w:val="000000"/>
          <w:sz w:val="32"/>
          <w:szCs w:val="32"/>
          <w:lang w:eastAsia="zh-CN"/>
        </w:rPr>
        <w:t>。</w:t>
      </w:r>
    </w:p>
    <w:p w14:paraId="11004B2C">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082408EE">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0F4D7EDD">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6753D961">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20</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1F3E463">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21</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1BB9726">
      <w:pPr>
        <w:pStyle w:val="22"/>
        <w:spacing w:line="560" w:lineRule="exact"/>
        <w:ind w:firstLine="640" w:firstLineChars="200"/>
        <w:rPr>
          <w:rFonts w:ascii="仿宋_GB2312" w:eastAsia="仿宋_GB2312" w:cs="黑体"/>
          <w:sz w:val="32"/>
          <w:szCs w:val="32"/>
        </w:rPr>
      </w:pPr>
    </w:p>
    <w:p w14:paraId="2460EB89">
      <w:pPr>
        <w:spacing w:line="600" w:lineRule="exact"/>
        <w:jc w:val="center"/>
        <w:outlineLvl w:val="0"/>
        <w:rPr>
          <w:rStyle w:val="24"/>
          <w:rFonts w:ascii="黑体" w:hAnsi="黑体" w:eastAsia="黑体"/>
          <w:b w:val="0"/>
        </w:rPr>
      </w:pPr>
      <w:bookmarkStart w:id="60" w:name="_Toc15377226"/>
      <w:r>
        <w:rPr>
          <w:rFonts w:ascii="宋体"/>
          <w:b/>
          <w:color w:val="000000"/>
          <w:sz w:val="44"/>
          <w:szCs w:val="44"/>
        </w:rPr>
        <w:br w:type="page"/>
      </w:r>
      <w:bookmarkStart w:id="61" w:name="_Toc15396614"/>
      <w:r>
        <w:rPr>
          <w:rFonts w:hint="eastAsia" w:ascii="黑体" w:hAnsi="黑体" w:eastAsia="黑体"/>
          <w:color w:val="000000"/>
          <w:sz w:val="44"/>
          <w:szCs w:val="44"/>
        </w:rPr>
        <w:t>第</w:t>
      </w:r>
      <w:r>
        <w:rPr>
          <w:rStyle w:val="24"/>
          <w:rFonts w:hint="eastAsia" w:ascii="黑体" w:hAnsi="黑体" w:eastAsia="黑体"/>
          <w:b w:val="0"/>
        </w:rPr>
        <w:t>四部分 附件</w:t>
      </w:r>
      <w:bookmarkEnd w:id="61"/>
    </w:p>
    <w:p w14:paraId="14C1FE18">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7B6616B6">
      <w:pPr>
        <w:spacing w:line="580" w:lineRule="exact"/>
        <w:jc w:val="center"/>
        <w:rPr>
          <w:rFonts w:ascii="方正小标宋简体" w:hAnsi="方正小标宋简体" w:eastAsia="方正小标宋简体" w:cs="方正小标宋简体"/>
          <w:sz w:val="44"/>
          <w:szCs w:val="44"/>
        </w:rPr>
      </w:pPr>
    </w:p>
    <w:p w14:paraId="62FF84BE">
      <w:pPr>
        <w:widowControl/>
        <w:spacing w:line="540" w:lineRule="exact"/>
        <w:jc w:val="center"/>
        <w:rPr>
          <w:rFonts w:hint="eastAsia" w:ascii="仿宋_GB2312" w:hAnsi="仿宋_GB2312" w:eastAsia="仿宋_GB2312" w:cs="仿宋_GB2312"/>
          <w:b/>
          <w:bCs/>
          <w:sz w:val="44"/>
          <w:szCs w:val="44"/>
          <w:shd w:val="clear" w:color="auto" w:fill="FFFFFF"/>
          <w:lang w:eastAsia="zh-CN"/>
        </w:rPr>
      </w:pPr>
      <w:r>
        <w:rPr>
          <w:rFonts w:hint="eastAsia" w:ascii="仿宋_GB2312" w:hAnsi="仿宋_GB2312" w:eastAsia="仿宋_GB2312" w:cs="仿宋_GB2312"/>
          <w:b/>
          <w:bCs/>
          <w:sz w:val="44"/>
          <w:szCs w:val="44"/>
          <w:shd w:val="clear" w:color="auto" w:fill="FFFFFF"/>
          <w:lang w:val="en-US" w:eastAsia="zh-CN"/>
        </w:rPr>
        <w:t>2019</w:t>
      </w:r>
      <w:r>
        <w:rPr>
          <w:rFonts w:hint="eastAsia" w:ascii="仿宋_GB2312" w:hAnsi="仿宋_GB2312" w:eastAsia="仿宋_GB2312" w:cs="仿宋_GB2312"/>
          <w:b/>
          <w:bCs/>
          <w:sz w:val="44"/>
          <w:szCs w:val="44"/>
          <w:shd w:val="clear" w:color="auto" w:fill="FFFFFF"/>
        </w:rPr>
        <w:t>年</w:t>
      </w:r>
      <w:r>
        <w:rPr>
          <w:rFonts w:hint="eastAsia" w:ascii="仿宋_GB2312" w:hAnsi="仿宋_GB2312" w:eastAsia="仿宋_GB2312" w:cs="仿宋_GB2312"/>
          <w:b/>
          <w:bCs/>
          <w:sz w:val="44"/>
          <w:szCs w:val="44"/>
          <w:shd w:val="clear" w:color="auto" w:fill="FFFFFF"/>
          <w:lang w:eastAsia="zh-CN"/>
        </w:rPr>
        <w:t>中国共产党米易县委员会统战</w:t>
      </w:r>
    </w:p>
    <w:p w14:paraId="1357EB68">
      <w:pPr>
        <w:widowControl/>
        <w:spacing w:line="540" w:lineRule="exact"/>
        <w:jc w:val="center"/>
        <w:rPr>
          <w:rFonts w:hint="eastAsia" w:ascii="仿宋_GB2312" w:hAnsi="仿宋_GB2312" w:eastAsia="仿宋_GB2312" w:cs="仿宋_GB2312"/>
          <w:b/>
          <w:bCs/>
          <w:sz w:val="44"/>
          <w:szCs w:val="44"/>
          <w:shd w:val="clear" w:color="auto" w:fill="FFFFFF"/>
        </w:rPr>
      </w:pPr>
      <w:r>
        <w:rPr>
          <w:rFonts w:hint="eastAsia" w:ascii="仿宋_GB2312" w:hAnsi="仿宋_GB2312" w:eastAsia="仿宋_GB2312" w:cs="仿宋_GB2312"/>
          <w:b/>
          <w:bCs/>
          <w:sz w:val="44"/>
          <w:szCs w:val="44"/>
          <w:shd w:val="clear" w:color="auto" w:fill="FFFFFF"/>
        </w:rPr>
        <w:t>部门整体支出绩效报告</w:t>
      </w:r>
    </w:p>
    <w:p w14:paraId="1ADD3EF8">
      <w:pPr>
        <w:widowControl/>
        <w:adjustRightInd w:val="0"/>
        <w:snapToGrid w:val="0"/>
        <w:spacing w:line="540" w:lineRule="exact"/>
        <w:jc w:val="left"/>
        <w:rPr>
          <w:rFonts w:hint="eastAsia" w:ascii="仿宋_GB2312" w:hAnsi="仿宋_GB2312" w:eastAsia="仿宋_GB2312" w:cs="仿宋_GB2312"/>
          <w:b/>
          <w:bCs/>
          <w:color w:val="000000"/>
          <w:kern w:val="0"/>
          <w:sz w:val="44"/>
          <w:szCs w:val="44"/>
          <w:shd w:val="clear" w:color="auto" w:fill="FFFFFF"/>
        </w:rPr>
      </w:pPr>
    </w:p>
    <w:p w14:paraId="3521660D">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一、</w:t>
      </w:r>
      <w:r>
        <w:rPr>
          <w:rFonts w:hint="eastAsia" w:ascii="仿宋_GB2312" w:hAnsi="仿宋_GB2312" w:eastAsia="仿宋_GB2312" w:cs="仿宋_GB2312"/>
          <w:color w:val="000000"/>
          <w:kern w:val="0"/>
          <w:sz w:val="32"/>
          <w:szCs w:val="32"/>
          <w:shd w:val="clear" w:color="auto" w:fill="FFFFFF"/>
          <w:lang w:val="zh-CN"/>
        </w:rPr>
        <w:t>部门（单位）概况</w:t>
      </w:r>
    </w:p>
    <w:p w14:paraId="020A6603">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（一）机构组成。</w:t>
      </w:r>
    </w:p>
    <w:p w14:paraId="76337ABB">
      <w:pPr>
        <w:widowControl/>
        <w:adjustRightInd w:val="0"/>
        <w:snapToGrid w:val="0"/>
        <w:spacing w:line="540"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米易县机构改革方案》（米委发〔2019〕2号和《关于〈米易县机构改革方案〉的实施意见》（米机改〔2019〕2号）的规定，米易县民族宗教事务局是米易县人民政府的工作部门，于2019年3月25日起与县委统战部合署办公，实行一套机构、两个机关名称。</w:t>
      </w:r>
    </w:p>
    <w:p w14:paraId="4EABA0FF">
      <w:pPr>
        <w:widowControl/>
        <w:adjustRightInd w:val="0"/>
        <w:snapToGrid w:val="0"/>
        <w:spacing w:line="540" w:lineRule="exact"/>
        <w:ind w:firstLine="72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内设机构共五个：</w:t>
      </w:r>
      <w:r>
        <w:rPr>
          <w:rFonts w:hint="eastAsia" w:ascii="仿宋_GB2312" w:hAnsi="仿宋_GB2312" w:eastAsia="仿宋_GB2312" w:cs="仿宋_GB2312"/>
          <w:sz w:val="32"/>
          <w:szCs w:val="32"/>
        </w:rPr>
        <w:t>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党外人士工作股（侨务和台湾事务股）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民族事务股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宗教事务股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经济社会事业发展股（米易县民族地区经济开发工作领导小组办公室）</w:t>
      </w:r>
    </w:p>
    <w:p w14:paraId="718DDDE3">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（二）机构职能。</w:t>
      </w:r>
    </w:p>
    <w:p w14:paraId="5B0EC0AF">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1．主要职能。</w:t>
      </w:r>
    </w:p>
    <w:p w14:paraId="5A3BE8BD">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落实加强党对统一战线工作集中统一领导要求，发挥县在统战工作方面的参谋机构、组织协调机构、具体执行机构、督促检查机构作用，承担了解情况、掌握政策、协调关系、安排人事、增进共识、加强团结等职责。协调统一战线各方面关系，组织落实党中央、省委、市委和县委关于统一战线工作重大决策部署，巩固壮大最广泛的爱国统一战线。</w:t>
      </w:r>
    </w:p>
    <w:p w14:paraId="24712654">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深入调查研究，推动落实统一战线工作的政策和法规，及时向县委报告统一战线工作情况、提出建议，统筹协调和指导乡镇、部门（单位）统一战线工作，指导基层统战工作实践创新基地建设。</w:t>
      </w:r>
    </w:p>
    <w:p w14:paraId="65352274">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负责发现、培养党外代表人士，制定党外干部培养规划。</w:t>
      </w:r>
    </w:p>
    <w:p w14:paraId="641EAB2E">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联系各民主党派，通报情况、反映意见。贯彻落实中国共产党领导的多党合作和政治协商制度，研究贯彻做好民主党派工作的方针政策，制定年度政党协商计划。支持民主党派履行职责、发挥作用，支持、帮助民主党派加强自身建设。</w:t>
      </w:r>
    </w:p>
    <w:p w14:paraId="17EA1AF8">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负责联系、培养无党派代表人士和新的社会阶层人士，开展思想政治工作。</w:t>
      </w:r>
    </w:p>
    <w:p w14:paraId="02A7F4E7">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担全县非公有制经济协调工作，负责全县非公有制经济代表人士工作。参与制定、推动落实鼓励支持引导非公有制经济发展的政策，了解和反映非公有制经济人士的意见。调查研究全县非公有制经济人士情况，协调关系，提出政策建议，团结、服务、引导、教育非公有制经济人士，促进非公有制经济健康发展和非公有制经济人士健康成长。</w:t>
      </w:r>
    </w:p>
    <w:p w14:paraId="3A80B2FE">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统一领导港澳统战工作，牵头开展海外港澳统战工作，联系香港、澳门、台湾和海外有关党派、团体及代表人士。</w:t>
      </w:r>
    </w:p>
    <w:p w14:paraId="4614E3F3">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贯彻执行党中央国务院、省委省政府、市委市政府和县委县政府对台工作方针、政策。研究、拟定全县对台工作计划及实施意见并组织实施，开展对台统战工作。</w:t>
      </w:r>
    </w:p>
    <w:p w14:paraId="65C00002">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落实党的侨务工作方针政策。负责侨务工作的组织协调、督促检查落实，调查研究侨情和侨务工作情况，管理侨务行政事务。统筹协调有关部门和社会团体涉侨工作，联系海外有关侨团和代表人士，负责海外侨胞代表人士在相关统战团体的安排。指导推动涉侨宣传、文化交流、华文教育工作，保护华侨和归侨侨眷在县内的合法权利益。</w:t>
      </w:r>
    </w:p>
    <w:p w14:paraId="661644D0">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贯彻落实党的宣传工作方针，统筹推进全县统一战线宣传和形态工作，组织贯彻党中央、省委、市委和县委统一战线宣传工作政策和规划。</w:t>
      </w:r>
    </w:p>
    <w:p w14:paraId="0E7A8B2C">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协助做好民族宗教部门领导班子成员推荐工作。领导工商联党组，指导工商联工作。做好有关统战团体管理及其工作指导。</w:t>
      </w:r>
    </w:p>
    <w:p w14:paraId="59A04AEE">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负责职责范围内的安全生产、生态环境保护、审批服务便民化等工作。</w:t>
      </w:r>
    </w:p>
    <w:p w14:paraId="6B931F55">
      <w:pPr>
        <w:snapToGrid w:val="0"/>
        <w:spacing w:line="520" w:lineRule="exact"/>
        <w:ind w:firstLine="640" w:firstLineChars="200"/>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sz w:val="32"/>
          <w:szCs w:val="32"/>
        </w:rPr>
        <w:t>完成县委、县政府交办的其他任务。</w:t>
      </w:r>
    </w:p>
    <w:p w14:paraId="509360DA">
      <w:pPr>
        <w:widowControl/>
        <w:numPr>
          <w:ilvl w:val="0"/>
          <w:numId w:val="7"/>
        </w:numPr>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人员概况。</w:t>
      </w:r>
    </w:p>
    <w:p w14:paraId="75DBF23B">
      <w:pPr>
        <w:widowControl/>
        <w:numPr>
          <w:ilvl w:val="0"/>
          <w:numId w:val="8"/>
        </w:numPr>
        <w:adjustRightInd w:val="0"/>
        <w:snapToGrid w:val="0"/>
        <w:spacing w:line="540" w:lineRule="exact"/>
        <w:ind w:firstLine="1280" w:firstLineChars="400"/>
        <w:jc w:val="left"/>
        <w:rPr>
          <w:rFonts w:hint="eastAsia" w:ascii="仿宋_GB2312" w:hAnsi="仿宋_GB2312" w:eastAsia="仿宋_GB2312" w:cs="仿宋_GB2312"/>
          <w:b w:val="0"/>
          <w:bCs/>
          <w:color w:val="000000"/>
          <w:kern w:val="0"/>
          <w:sz w:val="32"/>
          <w:szCs w:val="32"/>
          <w:shd w:val="clear" w:color="auto" w:fill="FFFFFF"/>
          <w:lang w:val="zh-CN"/>
        </w:rPr>
      </w:pPr>
      <w:r>
        <w:rPr>
          <w:rFonts w:hint="eastAsia" w:ascii="仿宋_GB2312" w:hAnsi="仿宋_GB2312" w:eastAsia="仿宋_GB2312" w:cs="仿宋_GB2312"/>
          <w:b w:val="0"/>
          <w:bCs/>
          <w:color w:val="000000"/>
          <w:kern w:val="0"/>
          <w:sz w:val="32"/>
          <w:szCs w:val="32"/>
          <w:shd w:val="clear" w:color="auto" w:fill="FFFFFF"/>
          <w:lang w:val="zh-CN"/>
        </w:rPr>
        <w:t>人员编制情况</w:t>
      </w:r>
    </w:p>
    <w:p w14:paraId="42A1508F">
      <w:pPr>
        <w:snapToGrid w:val="0"/>
        <w:spacing w:line="52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米易县委统战部机关行政编制</w:t>
      </w: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名，机关后勤事业编制1名</w:t>
      </w:r>
    </w:p>
    <w:p w14:paraId="79F28B1B">
      <w:pPr>
        <w:widowControl/>
        <w:numPr>
          <w:ilvl w:val="0"/>
          <w:numId w:val="0"/>
        </w:numPr>
        <w:adjustRightInd w:val="0"/>
        <w:snapToGrid w:val="0"/>
        <w:spacing w:line="540" w:lineRule="exact"/>
        <w:ind w:firstLine="1280" w:firstLineChars="400"/>
        <w:jc w:val="left"/>
        <w:rPr>
          <w:rFonts w:hint="eastAsia" w:ascii="仿宋_GB2312" w:hAnsi="仿宋_GB2312" w:eastAsia="仿宋_GB2312" w:cs="仿宋_GB2312"/>
          <w:b/>
          <w:color w:val="000000"/>
          <w:kern w:val="0"/>
          <w:sz w:val="32"/>
          <w:szCs w:val="32"/>
          <w:shd w:val="clear" w:color="auto" w:fill="FFFFFF"/>
          <w:lang w:val="en-US" w:eastAsia="zh-CN"/>
        </w:rPr>
      </w:pPr>
      <w:r>
        <w:rPr>
          <w:rFonts w:hint="eastAsia" w:ascii="仿宋_GB2312" w:hAnsi="仿宋_GB2312" w:eastAsia="仿宋_GB2312" w:cs="仿宋_GB2312"/>
          <w:b w:val="0"/>
          <w:bCs/>
          <w:color w:val="000000"/>
          <w:kern w:val="0"/>
          <w:sz w:val="32"/>
          <w:szCs w:val="32"/>
          <w:shd w:val="clear" w:color="auto" w:fill="FFFFFF"/>
          <w:lang w:val="en-US" w:eastAsia="zh-CN"/>
        </w:rPr>
        <w:t>2、实有情况：行政在职职工3人，退休2人，共5名。</w:t>
      </w:r>
    </w:p>
    <w:p w14:paraId="0DE79C97">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二、部门财政资金收支情况</w:t>
      </w:r>
    </w:p>
    <w:p w14:paraId="1C3C7875">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（一）部门财政资金收入情况。</w:t>
      </w:r>
    </w:p>
    <w:p w14:paraId="3C9C94FF">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sz w:val="32"/>
          <w:szCs w:val="32"/>
        </w:rPr>
        <w:t>2019年本单位收入为：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575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97</w:t>
      </w:r>
      <w:r>
        <w:rPr>
          <w:rFonts w:hint="eastAsia" w:ascii="仿宋_GB2312" w:hAnsi="仿宋_GB2312" w:eastAsia="仿宋_GB2312" w:cs="仿宋_GB2312"/>
          <w:sz w:val="32"/>
          <w:szCs w:val="32"/>
        </w:rPr>
        <w:t>元，其中一般公共服务支出收入为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274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171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元，占总收入的</w:t>
      </w:r>
      <w:r>
        <w:rPr>
          <w:rFonts w:hint="eastAsia" w:ascii="仿宋_GB2312" w:hAnsi="仿宋_GB2312" w:eastAsia="仿宋_GB2312" w:cs="仿宋_GB2312"/>
          <w:sz w:val="32"/>
          <w:szCs w:val="32"/>
          <w:lang w:val="en-US" w:eastAsia="zh-CN"/>
        </w:rPr>
        <w:t>80.89</w:t>
      </w:r>
      <w:r>
        <w:rPr>
          <w:rFonts w:hint="eastAsia" w:ascii="仿宋_GB2312" w:hAnsi="仿宋_GB2312" w:eastAsia="仿宋_GB2312" w:cs="仿宋_GB2312"/>
          <w:sz w:val="32"/>
          <w:szCs w:val="32"/>
        </w:rPr>
        <w:t>%；社会保障和就业支出收入</w:t>
      </w:r>
      <w:r>
        <w:rPr>
          <w:rFonts w:hint="eastAsia" w:ascii="仿宋_GB2312" w:hAnsi="仿宋_GB2312" w:eastAsia="仿宋_GB2312" w:cs="仿宋_GB2312"/>
          <w:sz w:val="32"/>
          <w:szCs w:val="32"/>
          <w:lang w:val="en-US" w:eastAsia="zh-CN"/>
        </w:rPr>
        <w:t>109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797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97</w:t>
      </w:r>
      <w:r>
        <w:rPr>
          <w:rFonts w:hint="eastAsia" w:ascii="仿宋_GB2312" w:hAnsi="仿宋_GB2312" w:eastAsia="仿宋_GB2312" w:cs="仿宋_GB2312"/>
          <w:sz w:val="32"/>
          <w:szCs w:val="32"/>
        </w:rPr>
        <w:t>元，占总收入的</w:t>
      </w:r>
      <w:r>
        <w:rPr>
          <w:rFonts w:hint="eastAsia" w:ascii="仿宋_GB2312" w:hAnsi="仿宋_GB2312" w:eastAsia="仿宋_GB2312" w:cs="仿宋_GB2312"/>
          <w:sz w:val="32"/>
          <w:szCs w:val="32"/>
          <w:lang w:val="en-US" w:eastAsia="zh-CN"/>
        </w:rPr>
        <w:t>6.97</w:t>
      </w:r>
      <w:r>
        <w:rPr>
          <w:rFonts w:hint="eastAsia" w:ascii="仿宋_GB2312" w:hAnsi="仿宋_GB2312" w:eastAsia="仿宋_GB2312" w:cs="仿宋_GB2312"/>
          <w:sz w:val="32"/>
          <w:szCs w:val="32"/>
        </w:rPr>
        <w:t>%；卫生健康支出收入</w:t>
      </w:r>
      <w:r>
        <w:rPr>
          <w:rFonts w:hint="eastAsia" w:ascii="仿宋_GB2312" w:hAnsi="仿宋_GB2312" w:eastAsia="仿宋_GB2312" w:cs="仿宋_GB2312"/>
          <w:sz w:val="32"/>
          <w:szCs w:val="32"/>
          <w:lang w:val="en-US" w:eastAsia="zh-CN"/>
        </w:rPr>
        <w:t>71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336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占总收入的</w:t>
      </w:r>
      <w:r>
        <w:rPr>
          <w:rFonts w:hint="eastAsia" w:ascii="仿宋_GB2312" w:hAnsi="仿宋_GB2312" w:eastAsia="仿宋_GB2312" w:cs="仿宋_GB2312"/>
          <w:sz w:val="32"/>
          <w:szCs w:val="32"/>
          <w:lang w:val="en-US" w:eastAsia="zh-CN"/>
        </w:rPr>
        <w:t>4.53</w:t>
      </w:r>
      <w:r>
        <w:rPr>
          <w:rFonts w:hint="eastAsia" w:ascii="仿宋_GB2312" w:hAnsi="仿宋_GB2312" w:eastAsia="仿宋_GB2312" w:cs="仿宋_GB2312"/>
          <w:sz w:val="32"/>
          <w:szCs w:val="32"/>
        </w:rPr>
        <w:t>%；住房保障支出收入</w:t>
      </w:r>
      <w:r>
        <w:rPr>
          <w:rFonts w:hint="eastAsia" w:ascii="仿宋_GB2312" w:hAnsi="仿宋_GB2312" w:eastAsia="仿宋_GB2312" w:cs="仿宋_GB2312"/>
          <w:sz w:val="32"/>
          <w:szCs w:val="32"/>
          <w:lang w:val="en-US" w:eastAsia="zh-CN"/>
        </w:rPr>
        <w:t>119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811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0元，占总收的</w:t>
      </w:r>
      <w:r>
        <w:rPr>
          <w:rFonts w:hint="eastAsia" w:ascii="仿宋_GB2312" w:hAnsi="仿宋_GB2312" w:eastAsia="仿宋_GB2312" w:cs="仿宋_GB2312"/>
          <w:sz w:val="32"/>
          <w:szCs w:val="32"/>
          <w:lang w:val="en-US" w:eastAsia="zh-CN"/>
        </w:rPr>
        <w:t>7.61</w:t>
      </w:r>
      <w:r>
        <w:rPr>
          <w:rFonts w:hint="eastAsia" w:ascii="仿宋_GB2312" w:hAnsi="仿宋_GB2312" w:eastAsia="仿宋_GB2312" w:cs="仿宋_GB2312"/>
          <w:sz w:val="32"/>
          <w:szCs w:val="32"/>
        </w:rPr>
        <w:t>%。</w:t>
      </w:r>
    </w:p>
    <w:p w14:paraId="411914D4">
      <w:pPr>
        <w:widowControl/>
        <w:numPr>
          <w:ilvl w:val="0"/>
          <w:numId w:val="9"/>
        </w:numPr>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部门财政资金支出情况。</w:t>
      </w:r>
    </w:p>
    <w:p w14:paraId="4A308B8B">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sz w:val="32"/>
          <w:szCs w:val="32"/>
        </w:rPr>
        <w:t xml:space="preserve">2019年本单位支出为: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575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97</w:t>
      </w:r>
      <w:r>
        <w:rPr>
          <w:rFonts w:hint="eastAsia" w:ascii="仿宋_GB2312" w:hAnsi="仿宋_GB2312" w:eastAsia="仿宋_GB2312" w:cs="仿宋_GB2312"/>
          <w:sz w:val="32"/>
          <w:szCs w:val="32"/>
        </w:rPr>
        <w:t>元,其中一般公共服务支出</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274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171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元，占总收入的</w:t>
      </w:r>
      <w:r>
        <w:rPr>
          <w:rFonts w:hint="eastAsia" w:ascii="仿宋_GB2312" w:hAnsi="仿宋_GB2312" w:eastAsia="仿宋_GB2312" w:cs="仿宋_GB2312"/>
          <w:sz w:val="32"/>
          <w:szCs w:val="32"/>
          <w:lang w:val="en-US" w:eastAsia="zh-CN"/>
        </w:rPr>
        <w:t>80.89</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109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797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97</w:t>
      </w:r>
      <w:r>
        <w:rPr>
          <w:rFonts w:hint="eastAsia" w:ascii="仿宋_GB2312" w:hAnsi="仿宋_GB2312" w:eastAsia="仿宋_GB2312" w:cs="仿宋_GB2312"/>
          <w:sz w:val="32"/>
          <w:szCs w:val="32"/>
        </w:rPr>
        <w:t>元，占总收入的</w:t>
      </w:r>
      <w:r>
        <w:rPr>
          <w:rFonts w:hint="eastAsia" w:ascii="仿宋_GB2312" w:hAnsi="仿宋_GB2312" w:eastAsia="仿宋_GB2312" w:cs="仿宋_GB2312"/>
          <w:sz w:val="32"/>
          <w:szCs w:val="32"/>
          <w:lang w:val="en-US" w:eastAsia="zh-CN"/>
        </w:rPr>
        <w:t>6.97</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71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336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占总收入的</w:t>
      </w:r>
      <w:r>
        <w:rPr>
          <w:rFonts w:hint="eastAsia" w:ascii="仿宋_GB2312" w:hAnsi="仿宋_GB2312" w:eastAsia="仿宋_GB2312" w:cs="仿宋_GB2312"/>
          <w:sz w:val="32"/>
          <w:szCs w:val="32"/>
          <w:lang w:val="en-US" w:eastAsia="zh-CN"/>
        </w:rPr>
        <w:t>4.53</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119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811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0元，占总收的</w:t>
      </w:r>
      <w:r>
        <w:rPr>
          <w:rFonts w:hint="eastAsia" w:ascii="仿宋_GB2312" w:hAnsi="仿宋_GB2312" w:eastAsia="仿宋_GB2312" w:cs="仿宋_GB2312"/>
          <w:sz w:val="32"/>
          <w:szCs w:val="32"/>
          <w:lang w:val="en-US" w:eastAsia="zh-CN"/>
        </w:rPr>
        <w:t>7.61</w:t>
      </w:r>
      <w:r>
        <w:rPr>
          <w:rFonts w:hint="eastAsia" w:ascii="仿宋_GB2312" w:hAnsi="仿宋_GB2312" w:eastAsia="仿宋_GB2312" w:cs="仿宋_GB2312"/>
          <w:sz w:val="32"/>
          <w:szCs w:val="32"/>
        </w:rPr>
        <w:t>%。</w:t>
      </w:r>
    </w:p>
    <w:p w14:paraId="7B52AF78">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三、部门财政支出管理情况</w:t>
      </w:r>
    </w:p>
    <w:p w14:paraId="09B50477">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（一）预决算编制情况。</w:t>
      </w:r>
    </w:p>
    <w:p w14:paraId="5AADF406">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val="0"/>
          <w:bCs/>
          <w:color w:val="000000"/>
          <w:kern w:val="0"/>
          <w:sz w:val="32"/>
          <w:szCs w:val="32"/>
          <w:shd w:val="clear" w:color="auto" w:fill="FFFFFF"/>
          <w:lang w:val="zh-CN"/>
        </w:rPr>
        <w:t>预算编制方面</w:t>
      </w:r>
    </w:p>
    <w:p w14:paraId="408DF398">
      <w:pPr>
        <w:widowControl/>
        <w:adjustRightInd w:val="0"/>
        <w:snapToGrid w:val="0"/>
        <w:spacing w:line="540"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年我单位严格按照财政部门的要求编制本部门预算，依据人社局的工资审核表和财政部门的预算口径编制基本支出</w:t>
      </w:r>
      <w:r>
        <w:rPr>
          <w:rFonts w:hint="eastAsia" w:ascii="仿宋_GB2312" w:hAnsi="仿宋_GB2312" w:eastAsia="仿宋_GB2312" w:cs="仿宋_GB2312"/>
          <w:sz w:val="32"/>
          <w:szCs w:val="32"/>
          <w:lang w:eastAsia="zh-CN"/>
        </w:rPr>
        <w:t>，财政局分管股室进行逐项核对正确无误后上报本单位的预算支出</w:t>
      </w:r>
      <w:r>
        <w:rPr>
          <w:rFonts w:hint="eastAsia" w:ascii="仿宋_GB2312" w:hAnsi="仿宋_GB2312" w:eastAsia="仿宋_GB2312" w:cs="仿宋_GB2312"/>
          <w:sz w:val="32"/>
          <w:szCs w:val="32"/>
        </w:rPr>
        <w:t>。项目资金的预算，</w:t>
      </w:r>
      <w:r>
        <w:rPr>
          <w:rFonts w:hint="eastAsia" w:ascii="仿宋_GB2312" w:hAnsi="仿宋_GB2312" w:eastAsia="仿宋_GB2312" w:cs="仿宋_GB2312"/>
          <w:kern w:val="0"/>
          <w:sz w:val="32"/>
          <w:szCs w:val="32"/>
        </w:rPr>
        <w:t>提出具体的项目、目标和实施计划，并对申报的项目进行严格的可行性研究和评审，</w:t>
      </w:r>
      <w:r>
        <w:rPr>
          <w:rFonts w:hint="eastAsia" w:ascii="仿宋_GB2312" w:hAnsi="仿宋_GB2312" w:eastAsia="仿宋_GB2312" w:cs="仿宋_GB2312"/>
          <w:sz w:val="32"/>
          <w:szCs w:val="32"/>
        </w:rPr>
        <w:t>细化项目支出内容，提供准确的项目支撑依据，确保我局预算数据的完整和准确无误</w:t>
      </w:r>
      <w:r>
        <w:rPr>
          <w:rFonts w:hint="eastAsia" w:ascii="仿宋_GB2312" w:hAnsi="仿宋_GB2312" w:eastAsia="仿宋_GB2312" w:cs="仿宋_GB2312"/>
          <w:sz w:val="32"/>
          <w:szCs w:val="32"/>
          <w:lang w:eastAsia="zh-CN"/>
        </w:rPr>
        <w:t>后报财政局审核，审核无误后下达预算指标</w:t>
      </w:r>
      <w:r>
        <w:rPr>
          <w:rFonts w:hint="eastAsia" w:ascii="仿宋_GB2312" w:hAnsi="仿宋_GB2312" w:eastAsia="仿宋_GB2312" w:cs="仿宋_GB2312"/>
          <w:sz w:val="32"/>
          <w:szCs w:val="32"/>
        </w:rPr>
        <w:t>。</w:t>
      </w:r>
    </w:p>
    <w:p w14:paraId="1D979EB0">
      <w:pPr>
        <w:widowControl/>
        <w:adjustRightInd w:val="0"/>
        <w:snapToGrid w:val="0"/>
        <w:spacing w:line="540"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的预算收入</w:t>
      </w:r>
      <w:r>
        <w:rPr>
          <w:rFonts w:hint="eastAsia" w:ascii="仿宋_GB2312" w:hAnsi="仿宋_GB2312" w:eastAsia="仿宋_GB2312" w:cs="仿宋_GB2312"/>
          <w:sz w:val="32"/>
          <w:szCs w:val="32"/>
          <w:lang w:val="en-US" w:eastAsia="zh-CN"/>
        </w:rPr>
        <w:t>122.11</w:t>
      </w:r>
      <w:r>
        <w:rPr>
          <w:rFonts w:hint="eastAsia" w:ascii="仿宋_GB2312" w:hAnsi="仿宋_GB2312" w:eastAsia="仿宋_GB2312" w:cs="仿宋_GB2312"/>
          <w:sz w:val="32"/>
          <w:szCs w:val="32"/>
        </w:rPr>
        <w:t>万元，其中：工资福利支出</w:t>
      </w:r>
      <w:r>
        <w:rPr>
          <w:rFonts w:hint="eastAsia" w:ascii="仿宋_GB2312" w:hAnsi="仿宋_GB2312" w:eastAsia="仿宋_GB2312" w:cs="仿宋_GB2312"/>
          <w:sz w:val="32"/>
          <w:szCs w:val="32"/>
          <w:lang w:val="en-US" w:eastAsia="zh-CN"/>
        </w:rPr>
        <w:t>105.73</w:t>
      </w:r>
      <w:r>
        <w:rPr>
          <w:rFonts w:hint="eastAsia" w:ascii="仿宋_GB2312" w:hAnsi="仿宋_GB2312" w:eastAsia="仿宋_GB2312" w:cs="仿宋_GB2312"/>
          <w:sz w:val="32"/>
          <w:szCs w:val="32"/>
        </w:rPr>
        <w:t>万元，日常公用支出</w:t>
      </w:r>
      <w:r>
        <w:rPr>
          <w:rFonts w:hint="eastAsia" w:ascii="仿宋_GB2312" w:hAnsi="仿宋_GB2312" w:eastAsia="仿宋_GB2312" w:cs="仿宋_GB2312"/>
          <w:sz w:val="32"/>
          <w:szCs w:val="32"/>
          <w:lang w:val="en-US" w:eastAsia="zh-CN"/>
        </w:rPr>
        <w:t>11.65</w:t>
      </w:r>
      <w:r>
        <w:rPr>
          <w:rFonts w:hint="eastAsia" w:ascii="仿宋_GB2312" w:hAnsi="仿宋_GB2312" w:eastAsia="仿宋_GB2312" w:cs="仿宋_GB2312"/>
          <w:sz w:val="32"/>
          <w:szCs w:val="32"/>
        </w:rPr>
        <w:t>万元，对个人和家庭的补助支出</w:t>
      </w:r>
      <w:r>
        <w:rPr>
          <w:rFonts w:hint="eastAsia" w:ascii="仿宋_GB2312" w:hAnsi="仿宋_GB2312" w:eastAsia="仿宋_GB2312" w:cs="仿宋_GB2312"/>
          <w:sz w:val="32"/>
          <w:szCs w:val="32"/>
          <w:lang w:val="en-US" w:eastAsia="zh-CN"/>
        </w:rPr>
        <w:t>1.66</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3.07</w:t>
      </w:r>
      <w:r>
        <w:rPr>
          <w:rFonts w:hint="eastAsia" w:ascii="仿宋_GB2312" w:hAnsi="仿宋_GB2312" w:eastAsia="仿宋_GB2312" w:cs="仿宋_GB2312"/>
          <w:sz w:val="32"/>
          <w:szCs w:val="32"/>
        </w:rPr>
        <w:t>万元。</w:t>
      </w:r>
    </w:p>
    <w:p w14:paraId="2451C025">
      <w:pPr>
        <w:widowControl/>
        <w:adjustRightInd w:val="0"/>
        <w:snapToGrid w:val="0"/>
        <w:spacing w:line="540" w:lineRule="exact"/>
        <w:ind w:firstLine="72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决算编制方面</w:t>
      </w:r>
    </w:p>
    <w:p w14:paraId="3946FDD2">
      <w:pPr>
        <w:widowControl/>
        <w:adjustRightInd w:val="0"/>
        <w:snapToGrid w:val="0"/>
        <w:spacing w:line="540" w:lineRule="exact"/>
        <w:ind w:firstLine="72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年底，严格按照财政部门的要求填制部门的财政决算报表，为保证本单位的决算数据真实完整，先和财政大平台核对本单位的收入情况，在收入情况和财政核对无误后，再逐项核对明细，根据核无误后的数据填制本单位的决算报表，在报表的编制中做到账表一致，账证、账账相符，确保报表数据的准确、真实、全面和完整。报表填制完毕后，交县财政局进行初审，审核通过后把数据报财政分管股室汇总上报。</w:t>
      </w:r>
    </w:p>
    <w:p w14:paraId="45211C5F">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2019年本部门的财政拨款收入为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575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97</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，支出也为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575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97</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（其中基本支出为</w:t>
      </w:r>
      <w:r>
        <w:rPr>
          <w:rFonts w:hint="eastAsia" w:ascii="仿宋_GB2312" w:hAnsi="仿宋_GB2312" w:eastAsia="仿宋_GB2312" w:cs="仿宋_GB2312"/>
          <w:sz w:val="32"/>
          <w:szCs w:val="32"/>
          <w:lang w:val="en-US" w:eastAsia="zh-CN"/>
        </w:rPr>
        <w:t>1，192，954.77元，项目支出为382，162.20元）</w:t>
      </w:r>
      <w:r>
        <w:rPr>
          <w:rFonts w:hint="eastAsia" w:ascii="仿宋_GB2312" w:hAnsi="仿宋_GB2312" w:eastAsia="仿宋_GB2312" w:cs="仿宋_GB2312"/>
          <w:sz w:val="32"/>
          <w:szCs w:val="32"/>
          <w:lang w:eastAsia="zh-CN"/>
        </w:rPr>
        <w:t>，全年无结余情况。</w:t>
      </w:r>
    </w:p>
    <w:p w14:paraId="7E913877">
      <w:pPr>
        <w:widowControl/>
        <w:numPr>
          <w:ilvl w:val="0"/>
          <w:numId w:val="9"/>
        </w:numPr>
        <w:adjustRightInd w:val="0"/>
        <w:snapToGrid w:val="0"/>
        <w:spacing w:line="540" w:lineRule="exact"/>
        <w:ind w:left="0" w:leftChars="0" w:firstLine="720" w:firstLineChars="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执行管理情况。</w:t>
      </w:r>
    </w:p>
    <w:p w14:paraId="410D1490">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年县财政下达给我</w:t>
      </w:r>
      <w:r>
        <w:rPr>
          <w:rFonts w:hint="eastAsia" w:ascii="仿宋_GB2312" w:hAnsi="仿宋_GB2312" w:eastAsia="仿宋_GB2312" w:cs="仿宋_GB2312"/>
          <w:color w:val="000000"/>
          <w:sz w:val="32"/>
          <w:szCs w:val="32"/>
          <w:lang w:eastAsia="zh-CN"/>
        </w:rPr>
        <w:t>单位的年初</w:t>
      </w:r>
      <w:r>
        <w:rPr>
          <w:rFonts w:hint="eastAsia" w:ascii="仿宋_GB2312" w:hAnsi="仿宋_GB2312" w:eastAsia="仿宋_GB2312" w:cs="仿宋_GB2312"/>
          <w:color w:val="000000"/>
          <w:sz w:val="32"/>
          <w:szCs w:val="32"/>
        </w:rPr>
        <w:t>预算</w:t>
      </w:r>
      <w:r>
        <w:rPr>
          <w:rFonts w:hint="eastAsia" w:ascii="仿宋_GB2312" w:hAnsi="仿宋_GB2312" w:eastAsia="仿宋_GB2312" w:cs="仿宋_GB2312"/>
          <w:color w:val="000000"/>
          <w:sz w:val="32"/>
          <w:szCs w:val="32"/>
          <w:lang w:eastAsia="zh-CN"/>
        </w:rPr>
        <w:t>数</w:t>
      </w:r>
      <w:r>
        <w:rPr>
          <w:rFonts w:hint="eastAsia" w:ascii="仿宋_GB2312" w:hAnsi="仿宋_GB2312" w:eastAsia="仿宋_GB2312" w:cs="仿宋_GB2312"/>
          <w:color w:val="000000"/>
          <w:sz w:val="32"/>
          <w:szCs w:val="32"/>
        </w:rPr>
        <w:t>为</w:t>
      </w:r>
      <w:r>
        <w:rPr>
          <w:rFonts w:hint="eastAsia" w:ascii="仿宋_GB2312" w:hAnsi="仿宋_GB2312" w:eastAsia="仿宋_GB2312" w:cs="仿宋_GB2312"/>
          <w:color w:val="000000"/>
          <w:sz w:val="32"/>
          <w:szCs w:val="32"/>
          <w:lang w:val="en-US" w:eastAsia="zh-CN"/>
        </w:rPr>
        <w:t>1，221，103</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实际下达的指标数为：</w:t>
      </w:r>
      <w:r>
        <w:rPr>
          <w:rFonts w:hint="eastAsia" w:ascii="仿宋_GB2312" w:hAnsi="仿宋_GB2312" w:eastAsia="仿宋_GB2312" w:cs="仿宋_GB2312"/>
          <w:sz w:val="32"/>
          <w:szCs w:val="32"/>
          <w:lang w:val="en-US" w:eastAsia="zh-CN"/>
        </w:rPr>
        <w:t>1，879，647.46元。</w:t>
      </w:r>
      <w:r>
        <w:rPr>
          <w:rFonts w:hint="eastAsia" w:ascii="仿宋_GB2312" w:hAnsi="仿宋_GB2312" w:eastAsia="仿宋_GB2312" w:cs="仿宋_GB2312"/>
          <w:sz w:val="32"/>
          <w:szCs w:val="32"/>
        </w:rPr>
        <w:t>其中行政运行为：年初</w:t>
      </w:r>
      <w:r>
        <w:rPr>
          <w:rFonts w:hint="eastAsia" w:ascii="仿宋_GB2312" w:hAnsi="仿宋_GB2312" w:eastAsia="仿宋_GB2312" w:cs="仿宋_GB2312"/>
          <w:sz w:val="32"/>
          <w:szCs w:val="32"/>
          <w:lang w:eastAsia="zh-CN"/>
        </w:rPr>
        <w:t>预算数为：</w:t>
      </w:r>
      <w:r>
        <w:rPr>
          <w:rFonts w:hint="eastAsia" w:ascii="仿宋_GB2312" w:hAnsi="仿宋_GB2312" w:eastAsia="仿宋_GB2312" w:cs="仿宋_GB2312"/>
          <w:sz w:val="32"/>
          <w:szCs w:val="32"/>
          <w:lang w:val="en-US" w:eastAsia="zh-CN"/>
        </w:rPr>
        <w:t>610,332.00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实际下达指标为：</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029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455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52元</w:t>
      </w:r>
      <w:r>
        <w:rPr>
          <w:rFonts w:hint="eastAsia" w:ascii="仿宋_GB2312" w:hAnsi="仿宋_GB2312" w:eastAsia="仿宋_GB2312" w:cs="仿宋_GB2312"/>
          <w:sz w:val="32"/>
          <w:szCs w:val="32"/>
          <w:lang w:eastAsia="zh-CN"/>
        </w:rPr>
        <w:t>，比预算数多</w:t>
      </w:r>
      <w:r>
        <w:rPr>
          <w:rFonts w:hint="eastAsia" w:ascii="仿宋_GB2312" w:hAnsi="仿宋_GB2312" w:eastAsia="仿宋_GB2312" w:cs="仿宋_GB2312"/>
          <w:sz w:val="32"/>
          <w:szCs w:val="32"/>
          <w:lang w:val="en-US" w:eastAsia="zh-CN"/>
        </w:rPr>
        <w:t>419，123.52，增加68.67%，一是因为财政追加了民主党派活动经费、村第一书记等项目经费，二是因人员变动及增资等因素追加了预算指标；</w:t>
      </w:r>
      <w:r>
        <w:rPr>
          <w:rFonts w:hint="eastAsia" w:ascii="仿宋_GB2312" w:hAnsi="仿宋_GB2312" w:eastAsia="仿宋_GB2312" w:cs="仿宋_GB2312"/>
          <w:sz w:val="32"/>
          <w:szCs w:val="32"/>
        </w:rPr>
        <w:t>行政单位离退休人员支出</w:t>
      </w:r>
      <w:r>
        <w:rPr>
          <w:rFonts w:hint="eastAsia" w:ascii="仿宋_GB2312" w:hAnsi="仿宋_GB2312" w:eastAsia="仿宋_GB2312" w:cs="仿宋_GB2312"/>
          <w:sz w:val="32"/>
          <w:szCs w:val="32"/>
          <w:lang w:eastAsia="zh-CN"/>
        </w:rPr>
        <w:t>年初预算数</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19，850.00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实际下达指标为：</w:t>
      </w:r>
      <w:r>
        <w:rPr>
          <w:rFonts w:hint="eastAsia" w:ascii="仿宋_GB2312" w:hAnsi="仿宋_GB2312" w:eastAsia="仿宋_GB2312" w:cs="仿宋_GB2312"/>
          <w:sz w:val="32"/>
          <w:szCs w:val="32"/>
          <w:lang w:val="en-US" w:eastAsia="zh-CN"/>
        </w:rPr>
        <w:t>25，850.00元，比预算数多6000.00元，增加了30.23%，主要是因为退休人员成果</w:t>
      </w:r>
      <w:r>
        <w:rPr>
          <w:rFonts w:hint="eastAsia" w:ascii="仿宋_GB2312" w:hAnsi="仿宋_GB2312" w:eastAsia="仿宋_GB2312" w:cs="仿宋_GB2312"/>
          <w:sz w:val="32"/>
          <w:szCs w:val="32"/>
        </w:rPr>
        <w:t>共享奖增加追加</w:t>
      </w:r>
      <w:r>
        <w:rPr>
          <w:rFonts w:hint="eastAsia" w:ascii="仿宋_GB2312" w:hAnsi="仿宋_GB2312" w:eastAsia="仿宋_GB2312" w:cs="仿宋_GB2312"/>
          <w:sz w:val="32"/>
          <w:szCs w:val="32"/>
          <w:lang w:eastAsia="zh-CN"/>
        </w:rPr>
        <w:t>了预算</w:t>
      </w:r>
      <w:r>
        <w:rPr>
          <w:rFonts w:hint="eastAsia" w:ascii="仿宋_GB2312" w:hAnsi="仿宋_GB2312" w:eastAsia="仿宋_GB2312" w:cs="仿宋_GB2312"/>
          <w:sz w:val="32"/>
          <w:szCs w:val="32"/>
        </w:rPr>
        <w:t>指标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机关事业单位基本养老保险缴费</w:t>
      </w:r>
      <w:r>
        <w:rPr>
          <w:rFonts w:hint="eastAsia" w:ascii="仿宋_GB2312" w:hAnsi="仿宋_GB2312" w:eastAsia="仿宋_GB2312" w:cs="仿宋_GB2312"/>
          <w:sz w:val="32"/>
          <w:szCs w:val="32"/>
          <w:lang w:eastAsia="zh-CN"/>
        </w:rPr>
        <w:t>年初预算数为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89，812.00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实际下达指标为：</w:t>
      </w:r>
      <w:r>
        <w:rPr>
          <w:rFonts w:hint="eastAsia" w:ascii="仿宋_GB2312" w:hAnsi="仿宋_GB2312" w:eastAsia="仿宋_GB2312" w:cs="仿宋_GB2312"/>
          <w:sz w:val="32"/>
          <w:szCs w:val="32"/>
          <w:lang w:val="en-US" w:eastAsia="zh-CN"/>
        </w:rPr>
        <w:t>100，349.76元，比预算数多10537.76元，增加了11.73%，主要是因为人员的增减变动追加了预算指标；</w:t>
      </w:r>
      <w:r>
        <w:rPr>
          <w:rFonts w:hint="eastAsia" w:ascii="仿宋_GB2312" w:hAnsi="仿宋_GB2312" w:eastAsia="仿宋_GB2312" w:cs="仿宋_GB2312"/>
          <w:sz w:val="32"/>
          <w:szCs w:val="32"/>
          <w:lang w:eastAsia="zh-CN"/>
        </w:rPr>
        <w:t>卫生健康支出年初预算数为：</w:t>
      </w:r>
      <w:r>
        <w:rPr>
          <w:rFonts w:hint="eastAsia" w:ascii="仿宋_GB2312" w:hAnsi="仿宋_GB2312" w:eastAsia="仿宋_GB2312" w:cs="仿宋_GB2312"/>
          <w:sz w:val="32"/>
          <w:szCs w:val="32"/>
          <w:lang w:val="en-US" w:eastAsia="zh-CN"/>
        </w:rPr>
        <w:t>63，607.00元，实际下达指标为：71，337.98元，比年初预算多7730.98元，增加12.15%，主要是因为人员的增减变动追加了预算指标；</w:t>
      </w:r>
      <w:r>
        <w:rPr>
          <w:rFonts w:hint="eastAsia" w:ascii="仿宋_GB2312" w:hAnsi="仿宋_GB2312" w:eastAsia="仿宋_GB2312" w:cs="仿宋_GB2312"/>
          <w:sz w:val="32"/>
          <w:szCs w:val="32"/>
        </w:rPr>
        <w:t>住房公积金支出</w:t>
      </w:r>
      <w:r>
        <w:rPr>
          <w:rFonts w:hint="eastAsia" w:ascii="仿宋_GB2312" w:hAnsi="仿宋_GB2312" w:eastAsia="仿宋_GB2312" w:cs="仿宋_GB2312"/>
          <w:sz w:val="32"/>
          <w:szCs w:val="32"/>
          <w:lang w:eastAsia="zh-CN"/>
        </w:rPr>
        <w:t>年初预算数</w:t>
      </w:r>
      <w:r>
        <w:rPr>
          <w:rFonts w:hint="eastAsia" w:ascii="仿宋_GB2312" w:hAnsi="仿宋_GB2312" w:eastAsia="仿宋_GB2312" w:cs="仿宋_GB2312"/>
          <w:sz w:val="32"/>
          <w:szCs w:val="32"/>
        </w:rPr>
        <w:t>为：</w:t>
      </w:r>
      <w:r>
        <w:rPr>
          <w:rFonts w:hint="eastAsia" w:ascii="仿宋_GB2312" w:hAnsi="仿宋_GB2312" w:eastAsia="仿宋_GB2312" w:cs="仿宋_GB2312"/>
          <w:b/>
          <w:sz w:val="32"/>
          <w:szCs w:val="32"/>
          <w:lang w:val="en-US" w:eastAsia="zh-CN"/>
        </w:rPr>
        <w:t>106，816.00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，实际下达的预算指标为</w:t>
      </w:r>
      <w:r>
        <w:rPr>
          <w:rFonts w:hint="eastAsia" w:ascii="仿宋_GB2312" w:hAnsi="仿宋_GB2312" w:eastAsia="仿宋_GB2312" w:cs="仿宋_GB2312"/>
          <w:sz w:val="32"/>
          <w:szCs w:val="32"/>
          <w:lang w:val="en-US" w:eastAsia="zh-CN"/>
        </w:rPr>
        <w:t>119，815.00元，比年初预算多12，999.00元，增加12.17元</w:t>
      </w:r>
      <w:r>
        <w:rPr>
          <w:rFonts w:hint="eastAsia" w:ascii="仿宋_GB2312" w:hAnsi="仿宋_GB2312" w:eastAsia="仿宋_GB2312" w:cs="仿宋_GB2312"/>
          <w:sz w:val="32"/>
          <w:szCs w:val="32"/>
        </w:rPr>
        <w:t>。</w:t>
      </w:r>
    </w:p>
    <w:p w14:paraId="3F1050C4">
      <w:pPr>
        <w:ind w:firstLine="640" w:firstLineChars="200"/>
        <w:jc w:val="left"/>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eastAsia="zh-CN"/>
        </w:rPr>
        <w:t>年初我单位预算数为</w:t>
      </w:r>
      <w:r>
        <w:rPr>
          <w:rFonts w:hint="eastAsia" w:ascii="仿宋_GB2312" w:hAnsi="仿宋_GB2312" w:eastAsia="仿宋_GB2312" w:cs="仿宋_GB2312"/>
          <w:sz w:val="32"/>
          <w:szCs w:val="32"/>
          <w:lang w:val="en-US" w:eastAsia="zh-CN"/>
        </w:rPr>
        <w:t>30，696.00元，（物业管理费为：30，696.00元），实际下达的指标数为532，839.20元，其中一般行政管理事务532，839.00元。</w:t>
      </w:r>
    </w:p>
    <w:p w14:paraId="4D3FE7DD">
      <w:pPr>
        <w:spacing w:line="120" w:lineRule="auto"/>
        <w:ind w:firstLine="640" w:firstLineChars="200"/>
        <w:jc w:val="left"/>
        <w:rPr>
          <w:rFonts w:hint="eastAsia" w:ascii="仿宋_GB2312" w:hAnsi="仿宋_GB2312" w:eastAsia="仿宋_GB2312" w:cs="仿宋_GB2312"/>
          <w:b w:val="0"/>
          <w:bCs/>
          <w:color w:val="000000"/>
          <w:kern w:val="0"/>
          <w:sz w:val="32"/>
          <w:szCs w:val="32"/>
          <w:shd w:val="clear" w:color="auto" w:fill="FFFFFF"/>
          <w:lang w:val="zh-CN"/>
        </w:rPr>
      </w:pPr>
      <w:r>
        <w:rPr>
          <w:rFonts w:hint="eastAsia" w:ascii="仿宋_GB2312" w:hAnsi="仿宋_GB2312" w:eastAsia="仿宋_GB2312" w:cs="仿宋_GB2312"/>
          <w:b w:val="0"/>
          <w:bCs/>
          <w:color w:val="000000"/>
          <w:kern w:val="0"/>
          <w:sz w:val="32"/>
          <w:szCs w:val="32"/>
          <w:shd w:val="clear" w:color="auto" w:fill="FFFFFF"/>
          <w:lang w:val="en-US" w:eastAsia="zh-CN"/>
        </w:rPr>
        <w:t>2019</w:t>
      </w:r>
      <w:r>
        <w:rPr>
          <w:rFonts w:hint="eastAsia" w:ascii="仿宋_GB2312" w:hAnsi="仿宋_GB2312" w:eastAsia="仿宋_GB2312" w:cs="仿宋_GB2312"/>
          <w:b w:val="0"/>
          <w:bCs/>
          <w:color w:val="000000"/>
          <w:kern w:val="0"/>
          <w:sz w:val="32"/>
          <w:szCs w:val="32"/>
          <w:shd w:val="clear" w:color="auto" w:fill="FFFFFF"/>
          <w:lang w:val="zh-CN"/>
        </w:rPr>
        <w:t>年我单位基本支出为：</w:t>
      </w:r>
      <w:r>
        <w:rPr>
          <w:rFonts w:hint="eastAsia" w:ascii="仿宋_GB2312" w:hAnsi="仿宋_GB2312" w:eastAsia="仿宋_GB2312" w:cs="仿宋_GB2312"/>
          <w:b w:val="0"/>
          <w:bCs/>
          <w:color w:val="000000"/>
          <w:kern w:val="0"/>
          <w:sz w:val="32"/>
          <w:szCs w:val="32"/>
          <w:shd w:val="clear" w:color="auto" w:fill="FFFFFF"/>
          <w:lang w:val="en-US" w:eastAsia="zh-CN"/>
        </w:rPr>
        <w:t>1,192,954.77</w:t>
      </w:r>
      <w:r>
        <w:rPr>
          <w:rFonts w:hint="eastAsia" w:ascii="仿宋_GB2312" w:hAnsi="仿宋_GB2312" w:eastAsia="仿宋_GB2312" w:cs="仿宋_GB2312"/>
          <w:b w:val="0"/>
          <w:bCs/>
          <w:color w:val="000000"/>
          <w:kern w:val="0"/>
          <w:sz w:val="32"/>
          <w:szCs w:val="32"/>
          <w:shd w:val="clear" w:color="auto" w:fill="FFFFFF"/>
          <w:lang w:val="zh-CN"/>
        </w:rPr>
        <w:t>元，占年初预算数的</w:t>
      </w:r>
      <w:r>
        <w:rPr>
          <w:rFonts w:hint="eastAsia" w:ascii="仿宋_GB2312" w:hAnsi="仿宋_GB2312" w:eastAsia="仿宋_GB2312" w:cs="仿宋_GB2312"/>
          <w:b w:val="0"/>
          <w:bCs/>
          <w:color w:val="000000"/>
          <w:kern w:val="0"/>
          <w:sz w:val="32"/>
          <w:szCs w:val="32"/>
          <w:shd w:val="clear" w:color="auto" w:fill="FFFFFF"/>
          <w:lang w:val="en-US" w:eastAsia="zh-CN"/>
        </w:rPr>
        <w:t>97.69%，占实际</w:t>
      </w:r>
      <w:r>
        <w:rPr>
          <w:rFonts w:hint="eastAsia" w:ascii="仿宋_GB2312" w:hAnsi="仿宋_GB2312" w:eastAsia="仿宋_GB2312" w:cs="仿宋_GB2312"/>
          <w:b w:val="0"/>
          <w:bCs/>
          <w:color w:val="000000"/>
          <w:kern w:val="0"/>
          <w:sz w:val="32"/>
          <w:szCs w:val="32"/>
          <w:shd w:val="clear" w:color="auto" w:fill="FFFFFF"/>
          <w:lang w:val="zh-CN"/>
        </w:rPr>
        <w:t>下达指标数的</w:t>
      </w:r>
      <w:r>
        <w:rPr>
          <w:rFonts w:hint="eastAsia" w:ascii="仿宋_GB2312" w:hAnsi="仿宋_GB2312" w:eastAsia="仿宋_GB2312" w:cs="仿宋_GB2312"/>
          <w:b w:val="0"/>
          <w:bCs/>
          <w:color w:val="000000"/>
          <w:kern w:val="0"/>
          <w:sz w:val="32"/>
          <w:szCs w:val="32"/>
          <w:shd w:val="clear" w:color="auto" w:fill="FFFFFF"/>
          <w:lang w:val="en-US" w:eastAsia="zh-CN"/>
        </w:rPr>
        <w:t>63.47</w:t>
      </w:r>
      <w:r>
        <w:rPr>
          <w:rFonts w:hint="eastAsia" w:ascii="仿宋_GB2312" w:hAnsi="仿宋_GB2312" w:eastAsia="仿宋_GB2312" w:cs="仿宋_GB2312"/>
          <w:b w:val="0"/>
          <w:bCs/>
          <w:color w:val="000000"/>
          <w:kern w:val="0"/>
          <w:sz w:val="32"/>
          <w:szCs w:val="32"/>
          <w:shd w:val="clear" w:color="auto" w:fill="FFFFFF"/>
          <w:lang w:val="zh-CN"/>
        </w:rPr>
        <w:t>%，基中：行政运行支出</w:t>
      </w:r>
      <w:r>
        <w:rPr>
          <w:rFonts w:hint="eastAsia" w:ascii="仿宋_GB2312" w:hAnsi="仿宋_GB2312" w:eastAsia="仿宋_GB2312" w:cs="仿宋_GB2312"/>
          <w:b w:val="0"/>
          <w:bCs/>
          <w:color w:val="000000"/>
          <w:kern w:val="0"/>
          <w:sz w:val="32"/>
          <w:szCs w:val="32"/>
          <w:shd w:val="clear" w:color="auto" w:fill="FFFFFF"/>
          <w:lang w:val="en-US" w:eastAsia="zh-CN"/>
        </w:rPr>
        <w:t>892</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color w:val="000000"/>
          <w:kern w:val="0"/>
          <w:sz w:val="32"/>
          <w:szCs w:val="32"/>
          <w:shd w:val="clear" w:color="auto" w:fill="FFFFFF"/>
          <w:lang w:val="en-US" w:eastAsia="zh-CN"/>
        </w:rPr>
        <w:t>009</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color w:val="000000"/>
          <w:kern w:val="0"/>
          <w:sz w:val="32"/>
          <w:szCs w:val="32"/>
          <w:shd w:val="clear" w:color="auto" w:fill="FFFFFF"/>
          <w:lang w:val="en-US" w:eastAsia="zh-CN"/>
        </w:rPr>
        <w:t>30</w:t>
      </w:r>
      <w:r>
        <w:rPr>
          <w:rFonts w:hint="eastAsia" w:ascii="仿宋_GB2312" w:hAnsi="仿宋_GB2312" w:eastAsia="仿宋_GB2312" w:cs="仿宋_GB2312"/>
          <w:b w:val="0"/>
          <w:bCs/>
          <w:color w:val="000000"/>
          <w:kern w:val="0"/>
          <w:sz w:val="32"/>
          <w:szCs w:val="32"/>
          <w:shd w:val="clear" w:color="auto" w:fill="FFFFFF"/>
          <w:lang w:val="zh-CN"/>
        </w:rPr>
        <w:t>元，占年初预算数的</w:t>
      </w:r>
      <w:r>
        <w:rPr>
          <w:rFonts w:hint="eastAsia" w:ascii="仿宋_GB2312" w:hAnsi="仿宋_GB2312" w:eastAsia="仿宋_GB2312" w:cs="仿宋_GB2312"/>
          <w:b w:val="0"/>
          <w:bCs/>
          <w:color w:val="000000"/>
          <w:kern w:val="0"/>
          <w:sz w:val="32"/>
          <w:szCs w:val="32"/>
          <w:shd w:val="clear" w:color="auto" w:fill="FFFFFF"/>
          <w:lang w:val="en-US" w:eastAsia="zh-CN"/>
        </w:rPr>
        <w:t>146.15</w:t>
      </w:r>
      <w:r>
        <w:rPr>
          <w:rFonts w:hint="eastAsia" w:ascii="仿宋_GB2312" w:hAnsi="仿宋_GB2312" w:eastAsia="仿宋_GB2312" w:cs="仿宋_GB2312"/>
          <w:b w:val="0"/>
          <w:bCs/>
          <w:color w:val="000000"/>
          <w:kern w:val="0"/>
          <w:sz w:val="32"/>
          <w:szCs w:val="32"/>
          <w:shd w:val="clear" w:color="auto" w:fill="FFFFFF"/>
          <w:lang w:val="zh-CN"/>
        </w:rPr>
        <w:t>%，占实际下达指标数的</w:t>
      </w:r>
      <w:r>
        <w:rPr>
          <w:rFonts w:hint="eastAsia" w:ascii="仿宋_GB2312" w:hAnsi="仿宋_GB2312" w:eastAsia="仿宋_GB2312" w:cs="仿宋_GB2312"/>
          <w:b w:val="0"/>
          <w:bCs/>
          <w:color w:val="000000"/>
          <w:kern w:val="0"/>
          <w:sz w:val="32"/>
          <w:szCs w:val="32"/>
          <w:shd w:val="clear" w:color="auto" w:fill="FFFFFF"/>
          <w:lang w:val="en-US" w:eastAsia="zh-CN"/>
        </w:rPr>
        <w:t>86.65%；</w:t>
      </w:r>
      <w:r>
        <w:rPr>
          <w:rFonts w:hint="eastAsia" w:ascii="仿宋_GB2312" w:hAnsi="仿宋_GB2312" w:eastAsia="仿宋_GB2312" w:cs="仿宋_GB2312"/>
          <w:b w:val="0"/>
          <w:bCs/>
          <w:color w:val="000000"/>
          <w:kern w:val="0"/>
          <w:sz w:val="32"/>
          <w:szCs w:val="32"/>
          <w:shd w:val="clear" w:color="auto" w:fill="FFFFFF"/>
          <w:lang w:val="zh-CN"/>
        </w:rPr>
        <w:t>行政离退休人员支出</w:t>
      </w:r>
      <w:r>
        <w:rPr>
          <w:rFonts w:hint="eastAsia" w:ascii="仿宋_GB2312" w:hAnsi="仿宋_GB2312" w:eastAsia="仿宋_GB2312" w:cs="仿宋_GB2312"/>
          <w:b w:val="0"/>
          <w:bCs/>
          <w:color w:val="000000"/>
          <w:kern w:val="0"/>
          <w:sz w:val="32"/>
          <w:szCs w:val="32"/>
          <w:shd w:val="clear" w:color="auto" w:fill="FFFFFF"/>
          <w:lang w:val="en-US" w:eastAsia="zh-CN"/>
        </w:rPr>
        <w:t>24</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color w:val="000000"/>
          <w:kern w:val="0"/>
          <w:sz w:val="32"/>
          <w:szCs w:val="32"/>
          <w:shd w:val="clear" w:color="auto" w:fill="FFFFFF"/>
          <w:lang w:val="en-US" w:eastAsia="zh-CN"/>
        </w:rPr>
        <w:t>396</w:t>
      </w:r>
      <w:r>
        <w:rPr>
          <w:rFonts w:hint="eastAsia" w:ascii="仿宋_GB2312" w:hAnsi="仿宋_GB2312" w:eastAsia="仿宋_GB2312" w:cs="仿宋_GB2312"/>
          <w:b w:val="0"/>
          <w:bCs/>
          <w:color w:val="000000"/>
          <w:kern w:val="0"/>
          <w:sz w:val="32"/>
          <w:szCs w:val="32"/>
          <w:shd w:val="clear" w:color="auto" w:fill="FFFFFF"/>
          <w:lang w:val="zh-CN"/>
        </w:rPr>
        <w:t>.00元，占年初预算数的</w:t>
      </w:r>
      <w:r>
        <w:rPr>
          <w:rFonts w:hint="eastAsia" w:ascii="仿宋_GB2312" w:hAnsi="仿宋_GB2312" w:eastAsia="仿宋_GB2312" w:cs="仿宋_GB2312"/>
          <w:b w:val="0"/>
          <w:bCs/>
          <w:color w:val="000000"/>
          <w:kern w:val="0"/>
          <w:sz w:val="32"/>
          <w:szCs w:val="32"/>
          <w:shd w:val="clear" w:color="auto" w:fill="FFFFFF"/>
          <w:lang w:val="en-US" w:eastAsia="zh-CN"/>
        </w:rPr>
        <w:t>122.9%</w:t>
      </w:r>
      <w:r>
        <w:rPr>
          <w:rFonts w:hint="eastAsia" w:ascii="仿宋_GB2312" w:hAnsi="仿宋_GB2312" w:eastAsia="仿宋_GB2312" w:cs="仿宋_GB2312"/>
          <w:b w:val="0"/>
          <w:bCs/>
          <w:color w:val="000000"/>
          <w:kern w:val="0"/>
          <w:sz w:val="32"/>
          <w:szCs w:val="32"/>
          <w:shd w:val="clear" w:color="auto" w:fill="FFFFFF"/>
          <w:lang w:val="zh-CN"/>
        </w:rPr>
        <w:t>，占实际下达数的</w:t>
      </w:r>
      <w:r>
        <w:rPr>
          <w:rFonts w:hint="eastAsia" w:ascii="仿宋_GB2312" w:hAnsi="仿宋_GB2312" w:eastAsia="仿宋_GB2312" w:cs="仿宋_GB2312"/>
          <w:b w:val="0"/>
          <w:bCs/>
          <w:color w:val="000000"/>
          <w:kern w:val="0"/>
          <w:sz w:val="32"/>
          <w:szCs w:val="32"/>
          <w:shd w:val="clear" w:color="auto" w:fill="FFFFFF"/>
          <w:lang w:val="en-US" w:eastAsia="zh-CN"/>
        </w:rPr>
        <w:t>94.37</w:t>
      </w:r>
      <w:r>
        <w:rPr>
          <w:rFonts w:hint="eastAsia" w:ascii="仿宋_GB2312" w:hAnsi="仿宋_GB2312" w:eastAsia="仿宋_GB2312" w:cs="仿宋_GB2312"/>
          <w:b w:val="0"/>
          <w:bCs/>
          <w:color w:val="000000"/>
          <w:kern w:val="0"/>
          <w:sz w:val="32"/>
          <w:szCs w:val="32"/>
          <w:shd w:val="clear" w:color="auto" w:fill="FFFFFF"/>
          <w:lang w:val="zh-CN"/>
        </w:rPr>
        <w:t>%；机关事业基本养老保</w:t>
      </w:r>
      <w:r>
        <w:rPr>
          <w:rFonts w:hint="eastAsia" w:ascii="仿宋_GB2312" w:hAnsi="仿宋_GB2312" w:eastAsia="仿宋_GB2312" w:cs="仿宋_GB2312"/>
          <w:b w:val="0"/>
          <w:bCs/>
          <w:color w:val="000000"/>
          <w:kern w:val="0"/>
          <w:sz w:val="32"/>
          <w:szCs w:val="32"/>
          <w:shd w:val="clear" w:color="auto" w:fill="FFFFFF"/>
          <w:lang w:val="en-US" w:eastAsia="zh-CN"/>
        </w:rPr>
        <w:t>险</w:t>
      </w:r>
      <w:r>
        <w:rPr>
          <w:rFonts w:hint="eastAsia" w:ascii="仿宋_GB2312" w:hAnsi="仿宋_GB2312" w:eastAsia="仿宋_GB2312" w:cs="仿宋_GB2312"/>
          <w:b w:val="0"/>
          <w:bCs/>
          <w:color w:val="000000"/>
          <w:kern w:val="0"/>
          <w:sz w:val="32"/>
          <w:szCs w:val="32"/>
          <w:shd w:val="clear" w:color="auto" w:fill="FFFFFF"/>
          <w:lang w:val="zh-CN"/>
        </w:rPr>
        <w:t>缴费支出</w:t>
      </w:r>
      <w:r>
        <w:rPr>
          <w:rFonts w:hint="eastAsia" w:ascii="仿宋_GB2312" w:hAnsi="仿宋_GB2312" w:eastAsia="仿宋_GB2312" w:cs="仿宋_GB2312"/>
          <w:b w:val="0"/>
          <w:bCs/>
          <w:color w:val="000000"/>
          <w:kern w:val="0"/>
          <w:sz w:val="32"/>
          <w:szCs w:val="32"/>
          <w:shd w:val="clear" w:color="auto" w:fill="FFFFFF"/>
          <w:lang w:val="en-US" w:eastAsia="zh-CN"/>
        </w:rPr>
        <w:t>85</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color w:val="000000"/>
          <w:kern w:val="0"/>
          <w:sz w:val="32"/>
          <w:szCs w:val="32"/>
          <w:shd w:val="clear" w:color="auto" w:fill="FFFFFF"/>
          <w:lang w:val="en-US" w:eastAsia="zh-CN"/>
        </w:rPr>
        <w:t>401</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color w:val="000000"/>
          <w:kern w:val="0"/>
          <w:sz w:val="32"/>
          <w:szCs w:val="32"/>
          <w:shd w:val="clear" w:color="auto" w:fill="FFFFFF"/>
          <w:lang w:val="en-US" w:eastAsia="zh-CN"/>
        </w:rPr>
        <w:t>97</w:t>
      </w:r>
      <w:r>
        <w:rPr>
          <w:rFonts w:hint="eastAsia" w:ascii="仿宋_GB2312" w:hAnsi="仿宋_GB2312" w:eastAsia="仿宋_GB2312" w:cs="仿宋_GB2312"/>
          <w:b w:val="0"/>
          <w:bCs/>
          <w:color w:val="000000"/>
          <w:kern w:val="0"/>
          <w:sz w:val="32"/>
          <w:szCs w:val="32"/>
          <w:shd w:val="clear" w:color="auto" w:fill="FFFFFF"/>
          <w:lang w:val="zh-CN"/>
        </w:rPr>
        <w:t>元，占年初预算数的</w:t>
      </w:r>
      <w:r>
        <w:rPr>
          <w:rFonts w:hint="eastAsia" w:ascii="仿宋_GB2312" w:hAnsi="仿宋_GB2312" w:eastAsia="仿宋_GB2312" w:cs="仿宋_GB2312"/>
          <w:b w:val="0"/>
          <w:bCs/>
          <w:color w:val="000000"/>
          <w:kern w:val="0"/>
          <w:sz w:val="32"/>
          <w:szCs w:val="32"/>
          <w:shd w:val="clear" w:color="auto" w:fill="FFFFFF"/>
          <w:lang w:val="en-US" w:eastAsia="zh-CN"/>
        </w:rPr>
        <w:t>95.1</w:t>
      </w:r>
      <w:r>
        <w:rPr>
          <w:rFonts w:hint="eastAsia" w:ascii="仿宋_GB2312" w:hAnsi="仿宋_GB2312" w:eastAsia="仿宋_GB2312" w:cs="仿宋_GB2312"/>
          <w:b w:val="0"/>
          <w:bCs/>
          <w:color w:val="000000"/>
          <w:kern w:val="0"/>
          <w:sz w:val="32"/>
          <w:szCs w:val="32"/>
          <w:shd w:val="clear" w:color="auto" w:fill="FFFFFF"/>
          <w:lang w:val="zh-CN"/>
        </w:rPr>
        <w:t>%，占实际下达数的</w:t>
      </w:r>
      <w:r>
        <w:rPr>
          <w:rFonts w:hint="eastAsia" w:ascii="仿宋_GB2312" w:hAnsi="仿宋_GB2312" w:eastAsia="仿宋_GB2312" w:cs="仿宋_GB2312"/>
          <w:b w:val="0"/>
          <w:bCs/>
          <w:color w:val="000000"/>
          <w:kern w:val="0"/>
          <w:sz w:val="32"/>
          <w:szCs w:val="32"/>
          <w:shd w:val="clear" w:color="auto" w:fill="FFFFFF"/>
          <w:lang w:val="en-US" w:eastAsia="zh-CN"/>
        </w:rPr>
        <w:t>85.1</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color w:val="000000"/>
          <w:sz w:val="32"/>
          <w:szCs w:val="32"/>
          <w:lang w:eastAsia="zh-CN"/>
        </w:rPr>
        <w:t>卫生健康支出</w:t>
      </w:r>
      <w:r>
        <w:rPr>
          <w:rFonts w:hint="eastAsia" w:ascii="仿宋_GB2312" w:hAnsi="仿宋_GB2312" w:eastAsia="仿宋_GB2312" w:cs="仿宋_GB2312"/>
          <w:b w:val="0"/>
          <w:bCs/>
          <w:color w:val="000000"/>
          <w:sz w:val="32"/>
          <w:szCs w:val="32"/>
          <w:lang w:val="en-US" w:eastAsia="zh-CN"/>
        </w:rPr>
        <w:t>71</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lang w:val="en-US" w:eastAsia="zh-CN"/>
        </w:rPr>
        <w:t>336</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lang w:val="en-US" w:eastAsia="zh-CN"/>
        </w:rPr>
        <w:t>50</w:t>
      </w:r>
      <w:r>
        <w:rPr>
          <w:rFonts w:hint="eastAsia" w:ascii="仿宋_GB2312" w:hAnsi="仿宋_GB2312" w:eastAsia="仿宋_GB2312" w:cs="仿宋_GB2312"/>
          <w:b w:val="0"/>
          <w:bCs/>
          <w:color w:val="000000"/>
          <w:sz w:val="32"/>
          <w:szCs w:val="32"/>
          <w:lang w:eastAsia="zh-CN"/>
        </w:rPr>
        <w:t>元，占年初预算数的</w:t>
      </w:r>
      <w:r>
        <w:rPr>
          <w:rFonts w:hint="eastAsia" w:ascii="仿宋_GB2312" w:hAnsi="仿宋_GB2312" w:eastAsia="仿宋_GB2312" w:cs="仿宋_GB2312"/>
          <w:b w:val="0"/>
          <w:bCs/>
          <w:color w:val="000000"/>
          <w:sz w:val="32"/>
          <w:szCs w:val="32"/>
          <w:lang w:val="en-US" w:eastAsia="zh-CN"/>
        </w:rPr>
        <w:t>121.15%，占实际下达指标数的100%；</w:t>
      </w:r>
      <w:r>
        <w:rPr>
          <w:rFonts w:hint="eastAsia" w:ascii="仿宋_GB2312" w:hAnsi="仿宋_GB2312" w:eastAsia="仿宋_GB2312" w:cs="仿宋_GB2312"/>
          <w:b w:val="0"/>
          <w:bCs/>
          <w:color w:val="000000"/>
          <w:kern w:val="0"/>
          <w:sz w:val="32"/>
          <w:szCs w:val="32"/>
          <w:shd w:val="clear" w:color="auto" w:fill="FFFFFF"/>
          <w:lang w:val="zh-CN"/>
        </w:rPr>
        <w:t>住房保障支出</w:t>
      </w:r>
      <w:r>
        <w:rPr>
          <w:rFonts w:hint="eastAsia" w:ascii="仿宋_GB2312" w:hAnsi="仿宋_GB2312" w:eastAsia="仿宋_GB2312" w:cs="仿宋_GB2312"/>
          <w:b w:val="0"/>
          <w:bCs/>
          <w:color w:val="000000"/>
          <w:kern w:val="0"/>
          <w:sz w:val="32"/>
          <w:szCs w:val="32"/>
          <w:shd w:val="clear" w:color="auto" w:fill="FFFFFF"/>
          <w:lang w:val="en-US" w:eastAsia="zh-CN"/>
        </w:rPr>
        <w:t>119</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color w:val="000000"/>
          <w:kern w:val="0"/>
          <w:sz w:val="32"/>
          <w:szCs w:val="32"/>
          <w:shd w:val="clear" w:color="auto" w:fill="FFFFFF"/>
          <w:lang w:val="en-US" w:eastAsia="zh-CN"/>
        </w:rPr>
        <w:t>811</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color w:val="000000"/>
          <w:kern w:val="0"/>
          <w:sz w:val="32"/>
          <w:szCs w:val="32"/>
          <w:shd w:val="clear" w:color="auto" w:fill="FFFFFF"/>
          <w:lang w:val="en-US" w:eastAsia="zh-CN"/>
        </w:rPr>
        <w:t>0</w:t>
      </w:r>
      <w:r>
        <w:rPr>
          <w:rFonts w:hint="eastAsia" w:ascii="仿宋_GB2312" w:hAnsi="仿宋_GB2312" w:eastAsia="仿宋_GB2312" w:cs="仿宋_GB2312"/>
          <w:b w:val="0"/>
          <w:bCs/>
          <w:color w:val="000000"/>
          <w:kern w:val="0"/>
          <w:sz w:val="32"/>
          <w:szCs w:val="32"/>
          <w:shd w:val="clear" w:color="auto" w:fill="FFFFFF"/>
          <w:lang w:val="zh-CN"/>
        </w:rPr>
        <w:t>0元，占年初预算数的</w:t>
      </w:r>
      <w:r>
        <w:rPr>
          <w:rFonts w:hint="eastAsia" w:ascii="仿宋_GB2312" w:hAnsi="仿宋_GB2312" w:eastAsia="仿宋_GB2312" w:cs="仿宋_GB2312"/>
          <w:b w:val="0"/>
          <w:bCs/>
          <w:color w:val="000000"/>
          <w:kern w:val="0"/>
          <w:sz w:val="32"/>
          <w:szCs w:val="32"/>
          <w:shd w:val="clear" w:color="auto" w:fill="FFFFFF"/>
          <w:lang w:val="en-US" w:eastAsia="zh-CN"/>
        </w:rPr>
        <w:t>112.16</w:t>
      </w:r>
      <w:r>
        <w:rPr>
          <w:rFonts w:hint="eastAsia" w:ascii="仿宋_GB2312" w:hAnsi="仿宋_GB2312" w:eastAsia="仿宋_GB2312" w:cs="仿宋_GB2312"/>
          <w:b w:val="0"/>
          <w:bCs/>
          <w:color w:val="000000"/>
          <w:kern w:val="0"/>
          <w:sz w:val="32"/>
          <w:szCs w:val="32"/>
          <w:shd w:val="clear" w:color="auto" w:fill="FFFFFF"/>
          <w:lang w:val="zh-CN"/>
        </w:rPr>
        <w:t>%，占实际下达指标数的</w:t>
      </w:r>
      <w:r>
        <w:rPr>
          <w:rFonts w:hint="eastAsia" w:ascii="仿宋_GB2312" w:hAnsi="仿宋_GB2312" w:eastAsia="仿宋_GB2312" w:cs="仿宋_GB2312"/>
          <w:b w:val="0"/>
          <w:bCs/>
          <w:color w:val="000000"/>
          <w:kern w:val="0"/>
          <w:sz w:val="32"/>
          <w:szCs w:val="32"/>
          <w:shd w:val="clear" w:color="auto" w:fill="FFFFFF"/>
          <w:lang w:val="en-US" w:eastAsia="zh-CN"/>
        </w:rPr>
        <w:t>100%</w:t>
      </w:r>
      <w:r>
        <w:rPr>
          <w:rFonts w:hint="eastAsia" w:ascii="仿宋_GB2312" w:hAnsi="仿宋_GB2312" w:eastAsia="仿宋_GB2312" w:cs="仿宋_GB2312"/>
          <w:b w:val="0"/>
          <w:bCs/>
          <w:color w:val="000000"/>
          <w:kern w:val="0"/>
          <w:sz w:val="32"/>
          <w:szCs w:val="32"/>
          <w:shd w:val="clear" w:color="auto" w:fill="FFFFFF"/>
          <w:lang w:val="zh-CN"/>
        </w:rPr>
        <w:t>。</w:t>
      </w:r>
    </w:p>
    <w:p w14:paraId="064B95F6">
      <w:pPr>
        <w:ind w:firstLine="640" w:firstLineChars="200"/>
        <w:jc w:val="left"/>
        <w:rPr>
          <w:rFonts w:hint="eastAsia" w:ascii="仿宋_GB2312" w:hAnsi="仿宋_GB2312" w:eastAsia="仿宋_GB2312" w:cs="仿宋_GB2312"/>
          <w:b w:val="0"/>
          <w:bCs/>
          <w:color w:val="000000"/>
          <w:kern w:val="0"/>
          <w:sz w:val="32"/>
          <w:szCs w:val="32"/>
          <w:shd w:val="clear" w:color="auto" w:fill="FFFFFF"/>
          <w:lang w:val="en-US" w:eastAsia="zh-CN"/>
        </w:rPr>
      </w:pPr>
      <w:r>
        <w:rPr>
          <w:rFonts w:hint="eastAsia" w:ascii="仿宋_GB2312" w:hAnsi="仿宋_GB2312" w:eastAsia="仿宋_GB2312" w:cs="仿宋_GB2312"/>
          <w:b w:val="0"/>
          <w:bCs/>
          <w:color w:val="000000"/>
          <w:kern w:val="0"/>
          <w:sz w:val="32"/>
          <w:szCs w:val="32"/>
          <w:shd w:val="clear" w:color="auto" w:fill="FFFFFF"/>
          <w:lang w:val="zh-CN"/>
        </w:rPr>
        <w:t>项目支出为</w:t>
      </w:r>
      <w:r>
        <w:rPr>
          <w:rFonts w:hint="eastAsia" w:ascii="仿宋_GB2312" w:hAnsi="仿宋_GB2312" w:eastAsia="仿宋_GB2312" w:cs="仿宋_GB2312"/>
          <w:b w:val="0"/>
          <w:bCs/>
          <w:color w:val="000000"/>
          <w:kern w:val="0"/>
          <w:sz w:val="32"/>
          <w:szCs w:val="32"/>
          <w:shd w:val="clear" w:color="auto" w:fill="FFFFFF"/>
          <w:lang w:val="en-US" w:eastAsia="zh-CN"/>
        </w:rPr>
        <w:t>382</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color w:val="000000"/>
          <w:kern w:val="0"/>
          <w:sz w:val="32"/>
          <w:szCs w:val="32"/>
          <w:shd w:val="clear" w:color="auto" w:fill="FFFFFF"/>
          <w:lang w:val="en-US" w:eastAsia="zh-CN"/>
        </w:rPr>
        <w:t>162</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color w:val="000000"/>
          <w:kern w:val="0"/>
          <w:sz w:val="32"/>
          <w:szCs w:val="32"/>
          <w:shd w:val="clear" w:color="auto" w:fill="FFFFFF"/>
          <w:lang w:val="en-US" w:eastAsia="zh-CN"/>
        </w:rPr>
        <w:t>20</w:t>
      </w:r>
      <w:r>
        <w:rPr>
          <w:rFonts w:hint="eastAsia" w:ascii="仿宋_GB2312" w:hAnsi="仿宋_GB2312" w:eastAsia="仿宋_GB2312" w:cs="仿宋_GB2312"/>
          <w:b w:val="0"/>
          <w:bCs/>
          <w:color w:val="000000"/>
          <w:kern w:val="0"/>
          <w:sz w:val="32"/>
          <w:szCs w:val="32"/>
          <w:shd w:val="clear" w:color="auto" w:fill="FFFFFF"/>
          <w:lang w:val="zh-CN"/>
        </w:rPr>
        <w:t>元，占财政下达指标的</w:t>
      </w:r>
      <w:r>
        <w:rPr>
          <w:rFonts w:hint="eastAsia" w:ascii="仿宋_GB2312" w:hAnsi="仿宋_GB2312" w:eastAsia="仿宋_GB2312" w:cs="仿宋_GB2312"/>
          <w:b w:val="0"/>
          <w:bCs/>
          <w:color w:val="000000"/>
          <w:kern w:val="0"/>
          <w:sz w:val="32"/>
          <w:szCs w:val="32"/>
          <w:shd w:val="clear" w:color="auto" w:fill="FFFFFF"/>
          <w:lang w:val="en-US" w:eastAsia="zh-CN"/>
        </w:rPr>
        <w:t>124.5</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color w:val="000000"/>
          <w:kern w:val="0"/>
          <w:sz w:val="32"/>
          <w:szCs w:val="32"/>
          <w:shd w:val="clear" w:color="auto" w:fill="FFFFFF"/>
          <w:lang w:val="zh-CN" w:eastAsia="zh-CN"/>
        </w:rPr>
        <w:t>占实际下达指标数的</w:t>
      </w:r>
      <w:r>
        <w:rPr>
          <w:rFonts w:hint="eastAsia" w:ascii="仿宋_GB2312" w:hAnsi="仿宋_GB2312" w:eastAsia="仿宋_GB2312" w:cs="仿宋_GB2312"/>
          <w:b w:val="0"/>
          <w:bCs/>
          <w:color w:val="000000"/>
          <w:kern w:val="0"/>
          <w:sz w:val="32"/>
          <w:szCs w:val="32"/>
          <w:shd w:val="clear" w:color="auto" w:fill="FFFFFF"/>
          <w:lang w:val="en-US" w:eastAsia="zh-CN"/>
        </w:rPr>
        <w:t>71.72%。</w:t>
      </w:r>
      <w:r>
        <w:rPr>
          <w:rFonts w:hint="eastAsia" w:ascii="仿宋_GB2312" w:hAnsi="仿宋_GB2312" w:eastAsia="仿宋_GB2312" w:cs="仿宋_GB2312"/>
          <w:b w:val="0"/>
          <w:bCs/>
          <w:color w:val="000000"/>
          <w:kern w:val="0"/>
          <w:sz w:val="32"/>
          <w:szCs w:val="32"/>
          <w:shd w:val="clear" w:color="auto" w:fill="FFFFFF"/>
          <w:lang w:val="zh-CN"/>
        </w:rPr>
        <w:t>其中一般行政管理支出为</w:t>
      </w:r>
      <w:r>
        <w:rPr>
          <w:rFonts w:hint="eastAsia" w:ascii="仿宋_GB2312" w:hAnsi="仿宋_GB2312" w:eastAsia="仿宋_GB2312" w:cs="仿宋_GB2312"/>
          <w:b w:val="0"/>
          <w:bCs/>
          <w:color w:val="000000"/>
          <w:kern w:val="0"/>
          <w:sz w:val="32"/>
          <w:szCs w:val="32"/>
          <w:shd w:val="clear" w:color="auto" w:fill="FFFFFF"/>
          <w:lang w:val="en-US" w:eastAsia="zh-CN"/>
        </w:rPr>
        <w:t>82</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color w:val="000000"/>
          <w:kern w:val="0"/>
          <w:sz w:val="32"/>
          <w:szCs w:val="32"/>
          <w:shd w:val="clear" w:color="auto" w:fill="FFFFFF"/>
          <w:lang w:val="en-US" w:eastAsia="zh-CN"/>
        </w:rPr>
        <w:t>162</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color w:val="000000"/>
          <w:kern w:val="0"/>
          <w:sz w:val="32"/>
          <w:szCs w:val="32"/>
          <w:shd w:val="clear" w:color="auto" w:fill="FFFFFF"/>
          <w:lang w:val="en-US" w:eastAsia="zh-CN"/>
        </w:rPr>
        <w:t>20</w:t>
      </w:r>
      <w:r>
        <w:rPr>
          <w:rFonts w:hint="eastAsia" w:ascii="仿宋_GB2312" w:hAnsi="仿宋_GB2312" w:eastAsia="仿宋_GB2312" w:cs="仿宋_GB2312"/>
          <w:b w:val="0"/>
          <w:bCs/>
          <w:color w:val="000000"/>
          <w:kern w:val="0"/>
          <w:sz w:val="32"/>
          <w:szCs w:val="32"/>
          <w:shd w:val="clear" w:color="auto" w:fill="FFFFFF"/>
          <w:lang w:val="zh-CN"/>
        </w:rPr>
        <w:t>元，占财政下达指标的</w:t>
      </w:r>
      <w:r>
        <w:rPr>
          <w:rFonts w:hint="eastAsia" w:ascii="仿宋_GB2312" w:hAnsi="仿宋_GB2312" w:eastAsia="仿宋_GB2312" w:cs="仿宋_GB2312"/>
          <w:b w:val="0"/>
          <w:bCs/>
          <w:color w:val="000000"/>
          <w:kern w:val="0"/>
          <w:sz w:val="32"/>
          <w:szCs w:val="32"/>
          <w:shd w:val="clear" w:color="auto" w:fill="FFFFFF"/>
          <w:lang w:val="en-US" w:eastAsia="zh-CN"/>
        </w:rPr>
        <w:t>124.5</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color w:val="000000"/>
          <w:kern w:val="0"/>
          <w:sz w:val="32"/>
          <w:szCs w:val="32"/>
          <w:shd w:val="clear" w:color="auto" w:fill="FFFFFF"/>
          <w:lang w:val="zh-CN" w:eastAsia="zh-CN"/>
        </w:rPr>
        <w:t>占实际下达指标数的</w:t>
      </w:r>
      <w:r>
        <w:rPr>
          <w:rFonts w:hint="eastAsia" w:ascii="仿宋_GB2312" w:hAnsi="仿宋_GB2312" w:eastAsia="仿宋_GB2312" w:cs="仿宋_GB2312"/>
          <w:b w:val="0"/>
          <w:bCs/>
          <w:color w:val="000000"/>
          <w:kern w:val="0"/>
          <w:sz w:val="32"/>
          <w:szCs w:val="32"/>
          <w:shd w:val="clear" w:color="auto" w:fill="FFFFFF"/>
          <w:lang w:val="en-US" w:eastAsia="zh-CN"/>
        </w:rPr>
        <w:t>71.72%。</w:t>
      </w:r>
    </w:p>
    <w:p w14:paraId="330E6204">
      <w:pPr>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val="0"/>
          <w:bCs/>
          <w:color w:val="000000"/>
          <w:kern w:val="0"/>
          <w:sz w:val="32"/>
          <w:szCs w:val="32"/>
          <w:shd w:val="clear" w:color="auto" w:fill="FFFFFF"/>
          <w:lang w:val="en-US" w:eastAsia="zh-CN"/>
        </w:rPr>
        <w:t>综上所述，因我部门在资金使用时严格按照资金支付的规定分解使用本部门的各项资金，所以我单位的各项资金全部达到支付进度要求。</w:t>
      </w:r>
    </w:p>
    <w:p w14:paraId="7EEE81DC">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（三）支出绩效情况。</w:t>
      </w:r>
    </w:p>
    <w:p w14:paraId="2166B9DD">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1、部门支出绩效</w:t>
      </w:r>
    </w:p>
    <w:p w14:paraId="213F48E6">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（1）行政运转保障</w:t>
      </w:r>
    </w:p>
    <w:p w14:paraId="4FB4DE63">
      <w:pPr>
        <w:widowControl/>
        <w:adjustRightInd w:val="0"/>
        <w:snapToGrid w:val="0"/>
        <w:spacing w:line="540" w:lineRule="exact"/>
        <w:ind w:firstLine="720"/>
        <w:jc w:val="left"/>
        <w:rPr>
          <w:rFonts w:hint="eastAsia" w:ascii="仿宋_GB2312" w:hAnsi="仿宋_GB2312" w:eastAsia="仿宋_GB2312" w:cs="仿宋_GB2312"/>
          <w:b w:val="0"/>
          <w:bCs/>
          <w:color w:val="000000"/>
          <w:kern w:val="0"/>
          <w:sz w:val="32"/>
          <w:szCs w:val="32"/>
          <w:shd w:val="clear" w:color="auto" w:fill="FFFFFF"/>
          <w:lang w:val="zh-CN"/>
        </w:rPr>
      </w:pPr>
      <w:r>
        <w:rPr>
          <w:rFonts w:hint="eastAsia" w:ascii="仿宋_GB2312" w:hAnsi="仿宋_GB2312" w:eastAsia="仿宋_GB2312" w:cs="仿宋_GB2312"/>
          <w:b w:val="0"/>
          <w:bCs/>
          <w:color w:val="000000"/>
          <w:kern w:val="0"/>
          <w:sz w:val="32"/>
          <w:szCs w:val="32"/>
          <w:shd w:val="clear" w:color="auto" w:fill="FFFFFF"/>
          <w:lang w:val="zh-CN"/>
        </w:rPr>
        <w:t>基本支出方面逐月发放职工工资，按时缴纳职工机关事业单位基本养老保险、其他社会保障性缴费、住房公积金等各项人员经费，严格分解使用本单位的公用经费，把好审核关，把本单位的公用经费支出按制在规定的范围内。</w:t>
      </w:r>
    </w:p>
    <w:p w14:paraId="51783773">
      <w:pPr>
        <w:spacing w:line="600" w:lineRule="exact"/>
        <w:ind w:firstLine="630" w:firstLineChars="197"/>
        <w:rPr>
          <w:rFonts w:hint="eastAsia" w:ascii="仿宋_GB2312" w:hAnsi="仿宋_GB2312" w:eastAsia="仿宋_GB2312" w:cs="仿宋_GB2312"/>
          <w:b w:val="0"/>
          <w:bCs/>
          <w:color w:val="000000"/>
          <w:kern w:val="0"/>
          <w:sz w:val="32"/>
          <w:szCs w:val="32"/>
          <w:shd w:val="clear" w:color="auto" w:fill="FFFFFF"/>
          <w:lang w:val="zh-CN" w:eastAsia="zh-CN"/>
        </w:rPr>
      </w:pPr>
      <w:r>
        <w:rPr>
          <w:rFonts w:hint="eastAsia" w:ascii="仿宋_GB2312" w:hAnsi="仿宋_GB2312" w:eastAsia="仿宋_GB2312" w:cs="仿宋_GB2312"/>
          <w:b w:val="0"/>
          <w:bCs/>
          <w:color w:val="000000"/>
          <w:kern w:val="0"/>
          <w:sz w:val="32"/>
          <w:szCs w:val="32"/>
          <w:shd w:val="clear" w:color="auto" w:fill="FFFFFF"/>
          <w:lang w:val="zh-CN"/>
        </w:rPr>
        <w:t>项目支出方面严格按照资金的用途，及时拨付各民主党派的活动经费，确保了早期归乔生活补助及驻村第一书记费用，铸牢统一战线的血肉联系，使本部门的各项工作得以圆满完成。</w:t>
      </w:r>
    </w:p>
    <w:p w14:paraId="0CFC3A91">
      <w:pPr>
        <w:widowControl/>
        <w:adjustRightInd w:val="0"/>
        <w:snapToGrid w:val="0"/>
        <w:spacing w:line="540" w:lineRule="exact"/>
        <w:ind w:firstLine="72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因本</w:t>
      </w:r>
      <w:r>
        <w:rPr>
          <w:rFonts w:hint="eastAsia" w:ascii="仿宋_GB2312" w:hAnsi="仿宋_GB2312" w:eastAsia="仿宋_GB2312" w:cs="仿宋_GB2312"/>
          <w:b w:val="0"/>
          <w:bCs/>
          <w:sz w:val="32"/>
          <w:szCs w:val="32"/>
          <w:lang w:eastAsia="zh-CN"/>
        </w:rPr>
        <w:t>单位</w:t>
      </w:r>
      <w:r>
        <w:rPr>
          <w:rFonts w:hint="eastAsia" w:ascii="仿宋_GB2312" w:hAnsi="仿宋_GB2312" w:eastAsia="仿宋_GB2312" w:cs="仿宋_GB2312"/>
          <w:b w:val="0"/>
          <w:bCs/>
          <w:sz w:val="32"/>
          <w:szCs w:val="32"/>
        </w:rPr>
        <w:t>注重财政资金的使用，财政资金的效益得到有效的发挥我</w:t>
      </w:r>
      <w:r>
        <w:rPr>
          <w:rFonts w:hint="eastAsia" w:ascii="仿宋_GB2312" w:hAnsi="仿宋_GB2312" w:eastAsia="仿宋_GB2312" w:cs="仿宋_GB2312"/>
          <w:b w:val="0"/>
          <w:bCs/>
          <w:sz w:val="32"/>
          <w:szCs w:val="32"/>
          <w:lang w:eastAsia="zh-CN"/>
        </w:rPr>
        <w:t>单位</w:t>
      </w:r>
      <w:r>
        <w:rPr>
          <w:rFonts w:hint="eastAsia" w:ascii="仿宋_GB2312" w:hAnsi="仿宋_GB2312" w:eastAsia="仿宋_GB2312" w:cs="仿宋_GB2312"/>
          <w:b w:val="0"/>
          <w:bCs/>
          <w:sz w:val="32"/>
          <w:szCs w:val="32"/>
        </w:rPr>
        <w:t>的工作也取得了一定的成绩。</w:t>
      </w:r>
    </w:p>
    <w:p w14:paraId="2D764F4A">
      <w:pPr>
        <w:widowControl/>
        <w:spacing w:line="560" w:lineRule="exact"/>
        <w:ind w:firstLine="66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一是推动县委统一战线工作领导小组充分发挥作用。牵头调整充实县委统一战线工作领导小组，领导小组全体会议研究并审议通过</w:t>
      </w:r>
      <w:r>
        <w:rPr>
          <w:rFonts w:hint="eastAsia" w:ascii="仿宋_GB2312" w:hAnsi="仿宋_GB2312" w:eastAsia="仿宋_GB2312" w:cs="仿宋_GB2312"/>
          <w:color w:val="000000"/>
          <w:sz w:val="32"/>
          <w:szCs w:val="32"/>
        </w:rPr>
        <w:t>《关于米易县党外干部队伍建设十条措施（试行）的报告》、《关于在乡镇设置统战委员职数的报告》、《关于解决民主党派主委、副主委待遇的报告》、《关于设立米易县统一战线联络服务中心的报告》、《关于调整县委常委联系党外代表人士的报告》等议题，党外代表人士队伍建设、乡镇统战、民主党派基层组织建设、统战机关队伍建设、统战联谊交友等方面的问题得以解决、落实。</w:t>
      </w:r>
    </w:p>
    <w:p w14:paraId="73184D24">
      <w:pPr>
        <w:widowControl/>
        <w:spacing w:line="560" w:lineRule="exact"/>
        <w:ind w:firstLine="66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大力夯实统战基层基础工作。建立完善横向到边、纵向到底的基层统战工作网络体系，调整统战、民宗机构合署办公后统战各领域重点工作力量分配，及时修订完善统战部（民宗局）机关各项规章制度，组建完成统战部党支部，各级各部门统战工作负责人、联络员落实到位，实现机构设置、力量调配、考核管理、工作体系有机统一。</w:t>
      </w:r>
    </w:p>
    <w:p w14:paraId="140CB300">
      <w:pPr>
        <w:widowControl/>
        <w:spacing w:line="560" w:lineRule="exact"/>
        <w:ind w:firstLine="66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建立民主党派工作系列制度。强化“党派之家”阵地建设，健全落实党派学习制度、基层组织建设制度、建言献策制度、调研制度、知情明政制度、社情民意收集反映制度、会议提案制度、社会服务制度等，各民主党派党员数量清、档案资料齐、后备人才足、学习活动有特色、社会服务活力强，基层组织建设年工作成效明显。在县政协十四届四次会议上提出集体提案6个、个人提案16个，占会议提案总数的37%；组织开展“不忘合作初心、继续携手前进”主题教育活动，提出意见、建议10条，完成《大力实施农村环境整治 推进乡村生态振兴》、《打造山区教育强县 建设区域教育高地》等7篇调研报告。</w:t>
      </w:r>
    </w:p>
    <w:p w14:paraId="3D82DB50">
      <w:pPr>
        <w:widowControl/>
        <w:spacing w:line="560" w:lineRule="exact"/>
        <w:ind w:firstLine="66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加大党外干部工作力度。组织、统战部门密切配合，全面落实“五个共同”工作机制，新一轮机构改革后全县选配并形成了一支数量充足、结构合理、素质良好的党外后备干部队伍。全年提拔党外干部7名，党外科级领导干部达37人，其中： 27个政府工作部门中11个部门配备党外科级领导干部12名，超过“四分之一”的规定；县政府职能部门党外正职配备达3人，法院、检察院领导班子中分别配备1名党外干部，人大、政协委室配备了一定数量的党外科级干部。</w:t>
      </w:r>
    </w:p>
    <w:p w14:paraId="3EE4A05C">
      <w:pPr>
        <w:widowControl/>
        <w:spacing w:line="560" w:lineRule="exact"/>
        <w:ind w:firstLine="6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是加强非公经济“两个健康”工作。落实非公经济联席会议制度，牵头开展工商联所属商会改革和发展工作，全面排查基层商（协）会运行及作用发挥情况，拟定米易县工商联所属商（协）会改革和发展工作初步方案；开展组建企业关工委工作，组织非公企业开展“万企帮万村”活动，协调四川安宁铁钛股份有限公司、攀枝花元宝山矿业有限公司等民营企业与部分村签订村企帮扶协议，有效助力全县脱贫攻坚和乡村振兴；建立检察机关与工商联沟通联系机制，努力构建“亲”“清”新型政商关系，共同护航民营经济健康发展；做好攀西经济区商会联盟第一次会议在米易召开的协调服务工作。</w:t>
      </w:r>
    </w:p>
    <w:p w14:paraId="5355040D">
      <w:pPr>
        <w:spacing w:line="600" w:lineRule="exact"/>
        <w:ind w:firstLine="630" w:firstLineChars="197"/>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是强化统一战线凝聚工程。以深入学习贯彻党的十九届三中、四中全会精神为主线，在全县统一战线组织开展“聚力伟大梦想”的主题教育活动。召开了全县统一战线庆祝中华人民共和国成立70周年座谈会，组织统战系统单位职工和统战团体成员前往攀枝花中国三线建设博物馆、米易县历史文化展览馆参观考察，</w:t>
      </w:r>
      <w:r>
        <w:rPr>
          <w:rFonts w:hint="eastAsia" w:ascii="仿宋_GB2312" w:hAnsi="仿宋_GB2312" w:eastAsia="仿宋_GB2312" w:cs="仿宋_GB2312"/>
          <w:color w:val="000000"/>
          <w:spacing w:val="15"/>
          <w:sz w:val="32"/>
          <w:szCs w:val="32"/>
        </w:rPr>
        <w:t>牵头举办彝族火把节传统文体活动及宗教工作“六进一创”活动，组织新阶送岗位30余个、招聘200余人，</w:t>
      </w:r>
      <w:r>
        <w:rPr>
          <w:rFonts w:hint="eastAsia" w:ascii="仿宋_GB2312" w:hAnsi="仿宋_GB2312" w:eastAsia="仿宋_GB2312" w:cs="仿宋_GB2312"/>
          <w:sz w:val="32"/>
          <w:szCs w:val="32"/>
        </w:rPr>
        <w:t>争取爱德基金会助学资金14000元帮助10名孤儿学生。</w:t>
      </w:r>
    </w:p>
    <w:p w14:paraId="4466DCE2">
      <w:pPr>
        <w:widowControl/>
        <w:adjustRightInd w:val="0"/>
        <w:snapToGrid w:val="0"/>
        <w:spacing w:line="540" w:lineRule="exact"/>
        <w:ind w:firstLine="643" w:firstLineChars="20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（2）机关厉行节约</w:t>
      </w:r>
    </w:p>
    <w:p w14:paraId="0D592ACB">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我单位认真贯彻执行中央八项规定和省市十项规定，严把节约关，把本单位的各项公用支出控制在规定的范围内。</w:t>
      </w:r>
      <w:r>
        <w:rPr>
          <w:rFonts w:hint="eastAsia" w:ascii="仿宋_GB2312" w:hAnsi="仿宋_GB2312" w:eastAsia="仿宋_GB2312" w:cs="仿宋_GB2312"/>
          <w:color w:val="000000"/>
          <w:kern w:val="0"/>
          <w:sz w:val="32"/>
          <w:szCs w:val="32"/>
          <w:shd w:val="clear" w:color="auto" w:fill="FFFFFF"/>
          <w:lang w:val="en-US" w:eastAsia="zh-CN"/>
        </w:rPr>
        <w:t>2019</w:t>
      </w:r>
      <w:r>
        <w:rPr>
          <w:rFonts w:hint="eastAsia" w:ascii="仿宋_GB2312" w:hAnsi="仿宋_GB2312" w:eastAsia="仿宋_GB2312" w:cs="仿宋_GB2312"/>
          <w:color w:val="000000"/>
          <w:kern w:val="0"/>
          <w:sz w:val="32"/>
          <w:szCs w:val="32"/>
          <w:shd w:val="clear" w:color="auto" w:fill="FFFFFF"/>
          <w:lang w:val="zh-CN"/>
        </w:rPr>
        <w:t>年我单位因公出国境费用支出为0元，与</w:t>
      </w:r>
      <w:r>
        <w:rPr>
          <w:rFonts w:hint="eastAsia" w:ascii="仿宋_GB2312" w:hAnsi="仿宋_GB2312" w:eastAsia="仿宋_GB2312" w:cs="仿宋_GB2312"/>
          <w:color w:val="000000"/>
          <w:kern w:val="0"/>
          <w:sz w:val="32"/>
          <w:szCs w:val="32"/>
          <w:shd w:val="clear" w:color="auto" w:fill="FFFFFF"/>
          <w:lang w:val="en-US" w:eastAsia="zh-CN"/>
        </w:rPr>
        <w:t>2018年的支出持平；</w:t>
      </w:r>
      <w:r>
        <w:rPr>
          <w:rFonts w:hint="eastAsia" w:ascii="仿宋_GB2312" w:hAnsi="仿宋_GB2312" w:eastAsia="仿宋_GB2312" w:cs="仿宋_GB2312"/>
          <w:color w:val="000000"/>
          <w:kern w:val="0"/>
          <w:sz w:val="32"/>
          <w:szCs w:val="32"/>
          <w:shd w:val="clear" w:color="auto" w:fill="FFFFFF"/>
          <w:lang w:val="zh-CN"/>
        </w:rPr>
        <w:t>会议费支出为</w:t>
      </w:r>
      <w:r>
        <w:rPr>
          <w:rFonts w:hint="eastAsia" w:ascii="仿宋_GB2312" w:hAnsi="仿宋_GB2312" w:eastAsia="仿宋_GB2312" w:cs="仿宋_GB2312"/>
          <w:color w:val="000000"/>
          <w:kern w:val="0"/>
          <w:sz w:val="32"/>
          <w:szCs w:val="32"/>
          <w:shd w:val="clear" w:color="auto" w:fill="FFFFFF"/>
          <w:lang w:val="en-US" w:eastAsia="zh-CN"/>
        </w:rPr>
        <w:t>11，736</w:t>
      </w:r>
      <w:r>
        <w:rPr>
          <w:rFonts w:hint="eastAsia" w:ascii="仿宋_GB2312" w:hAnsi="仿宋_GB2312" w:eastAsia="仿宋_GB2312" w:cs="仿宋_GB2312"/>
          <w:color w:val="000000"/>
          <w:kern w:val="0"/>
          <w:sz w:val="32"/>
          <w:szCs w:val="32"/>
          <w:shd w:val="clear" w:color="auto" w:fill="FFFFFF"/>
          <w:lang w:val="zh-CN"/>
        </w:rPr>
        <w:t>.00元，在</w:t>
      </w:r>
      <w:r>
        <w:rPr>
          <w:rFonts w:hint="eastAsia" w:ascii="仿宋_GB2312" w:hAnsi="仿宋_GB2312" w:eastAsia="仿宋_GB2312" w:cs="仿宋_GB2312"/>
          <w:color w:val="000000"/>
          <w:kern w:val="0"/>
          <w:sz w:val="32"/>
          <w:szCs w:val="32"/>
          <w:shd w:val="clear" w:color="auto" w:fill="FFFFFF"/>
          <w:lang w:val="en-US" w:eastAsia="zh-CN"/>
        </w:rPr>
        <w:t>2018年22</w:t>
      </w:r>
      <w:r>
        <w:rPr>
          <w:rFonts w:hint="eastAsia" w:ascii="仿宋_GB2312" w:hAnsi="仿宋_GB2312" w:eastAsia="仿宋_GB2312" w:cs="仿宋_GB2312"/>
          <w:color w:val="000000"/>
          <w:kern w:val="0"/>
          <w:sz w:val="32"/>
          <w:szCs w:val="32"/>
          <w:shd w:val="clear" w:color="auto" w:fill="FFFFFF"/>
          <w:lang w:val="zh-CN"/>
        </w:rPr>
        <w:t>,0</w:t>
      </w:r>
      <w:r>
        <w:rPr>
          <w:rFonts w:hint="eastAsia" w:ascii="仿宋_GB2312" w:hAnsi="仿宋_GB2312" w:eastAsia="仿宋_GB2312" w:cs="仿宋_GB2312"/>
          <w:color w:val="000000"/>
          <w:kern w:val="0"/>
          <w:sz w:val="32"/>
          <w:szCs w:val="32"/>
          <w:shd w:val="clear" w:color="auto" w:fill="FFFFFF"/>
          <w:lang w:val="en-US" w:eastAsia="zh-CN"/>
        </w:rPr>
        <w:t>86</w:t>
      </w:r>
      <w:r>
        <w:rPr>
          <w:rFonts w:hint="eastAsia" w:ascii="仿宋_GB2312" w:hAnsi="仿宋_GB2312" w:eastAsia="仿宋_GB2312" w:cs="仿宋_GB2312"/>
          <w:color w:val="000000"/>
          <w:kern w:val="0"/>
          <w:sz w:val="32"/>
          <w:szCs w:val="32"/>
          <w:shd w:val="clear" w:color="auto" w:fill="FFFFFF"/>
          <w:lang w:val="zh-CN"/>
        </w:rPr>
        <w:t>.00元的会议费支出上</w:t>
      </w:r>
      <w:r>
        <w:rPr>
          <w:rFonts w:hint="eastAsia" w:ascii="仿宋_GB2312" w:hAnsi="仿宋_GB2312" w:eastAsia="仿宋_GB2312" w:cs="仿宋_GB2312"/>
          <w:color w:val="000000"/>
          <w:kern w:val="0"/>
          <w:sz w:val="32"/>
          <w:szCs w:val="32"/>
          <w:shd w:val="clear" w:color="auto" w:fill="FFFFFF"/>
          <w:lang w:val="en-US" w:eastAsia="zh-CN"/>
        </w:rPr>
        <w:t>压减了188.19%；</w:t>
      </w:r>
      <w:r>
        <w:rPr>
          <w:rFonts w:hint="eastAsia" w:ascii="仿宋_GB2312" w:hAnsi="仿宋_GB2312" w:eastAsia="仿宋_GB2312" w:cs="仿宋_GB2312"/>
          <w:color w:val="000000"/>
          <w:kern w:val="0"/>
          <w:sz w:val="32"/>
          <w:szCs w:val="32"/>
          <w:shd w:val="clear" w:color="auto" w:fill="FFFFFF"/>
          <w:lang w:val="zh-CN"/>
        </w:rPr>
        <w:t>车辆购置及运行费用支出为0元，与</w:t>
      </w:r>
      <w:r>
        <w:rPr>
          <w:rFonts w:hint="eastAsia" w:ascii="仿宋_GB2312" w:hAnsi="仿宋_GB2312" w:eastAsia="仿宋_GB2312" w:cs="仿宋_GB2312"/>
          <w:color w:val="000000"/>
          <w:kern w:val="0"/>
          <w:sz w:val="32"/>
          <w:szCs w:val="32"/>
          <w:shd w:val="clear" w:color="auto" w:fill="FFFFFF"/>
          <w:lang w:val="en-US" w:eastAsia="zh-CN"/>
        </w:rPr>
        <w:t>2018年的支出持平；</w:t>
      </w:r>
      <w:r>
        <w:rPr>
          <w:rFonts w:hint="eastAsia" w:ascii="仿宋_GB2312" w:hAnsi="仿宋_GB2312" w:eastAsia="仿宋_GB2312" w:cs="仿宋_GB2312"/>
          <w:color w:val="000000"/>
          <w:kern w:val="0"/>
          <w:sz w:val="32"/>
          <w:szCs w:val="32"/>
          <w:shd w:val="clear" w:color="auto" w:fill="FFFFFF"/>
          <w:lang w:val="zh-CN"/>
        </w:rPr>
        <w:t>公务接待费为</w:t>
      </w:r>
      <w:r>
        <w:rPr>
          <w:rFonts w:hint="eastAsia" w:ascii="仿宋_GB2312" w:hAnsi="仿宋_GB2312" w:eastAsia="仿宋_GB2312" w:cs="仿宋_GB2312"/>
          <w:color w:val="000000"/>
          <w:kern w:val="0"/>
          <w:sz w:val="32"/>
          <w:szCs w:val="32"/>
          <w:shd w:val="clear" w:color="auto" w:fill="FFFFFF"/>
          <w:lang w:val="en-US" w:eastAsia="zh-CN"/>
        </w:rPr>
        <w:t>43</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color w:val="000000"/>
          <w:kern w:val="0"/>
          <w:sz w:val="32"/>
          <w:szCs w:val="32"/>
          <w:shd w:val="clear" w:color="auto" w:fill="FFFFFF"/>
          <w:lang w:val="en-US" w:eastAsia="zh-CN"/>
        </w:rPr>
        <w:t>455</w:t>
      </w:r>
      <w:r>
        <w:rPr>
          <w:rFonts w:hint="eastAsia" w:ascii="仿宋_GB2312" w:hAnsi="仿宋_GB2312" w:eastAsia="仿宋_GB2312" w:cs="仿宋_GB2312"/>
          <w:color w:val="000000"/>
          <w:kern w:val="0"/>
          <w:sz w:val="32"/>
          <w:szCs w:val="32"/>
          <w:shd w:val="clear" w:color="auto" w:fill="FFFFFF"/>
          <w:lang w:val="zh-CN"/>
        </w:rPr>
        <w:t>.00元。在</w:t>
      </w:r>
      <w:r>
        <w:rPr>
          <w:rFonts w:hint="eastAsia" w:ascii="仿宋_GB2312" w:hAnsi="仿宋_GB2312" w:eastAsia="仿宋_GB2312" w:cs="仿宋_GB2312"/>
          <w:color w:val="000000"/>
          <w:kern w:val="0"/>
          <w:sz w:val="32"/>
          <w:szCs w:val="32"/>
          <w:shd w:val="clear" w:color="auto" w:fill="FFFFFF"/>
          <w:lang w:val="en-US" w:eastAsia="zh-CN"/>
        </w:rPr>
        <w:t>2018年公务接待费支出21</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color w:val="000000"/>
          <w:kern w:val="0"/>
          <w:sz w:val="32"/>
          <w:szCs w:val="32"/>
          <w:shd w:val="clear" w:color="auto" w:fill="FFFFFF"/>
          <w:lang w:val="en-US" w:eastAsia="zh-CN"/>
        </w:rPr>
        <w:t>165</w:t>
      </w:r>
      <w:r>
        <w:rPr>
          <w:rFonts w:hint="eastAsia" w:ascii="仿宋_GB2312" w:hAnsi="仿宋_GB2312" w:eastAsia="仿宋_GB2312" w:cs="仿宋_GB2312"/>
          <w:color w:val="000000"/>
          <w:kern w:val="0"/>
          <w:sz w:val="32"/>
          <w:szCs w:val="32"/>
          <w:shd w:val="clear" w:color="auto" w:fill="FFFFFF"/>
          <w:lang w:val="zh-CN"/>
        </w:rPr>
        <w:t>.00元的基础上增加</w:t>
      </w:r>
      <w:r>
        <w:rPr>
          <w:rFonts w:hint="eastAsia" w:ascii="仿宋_GB2312" w:hAnsi="仿宋_GB2312" w:eastAsia="仿宋_GB2312" w:cs="仿宋_GB2312"/>
          <w:color w:val="000000"/>
          <w:kern w:val="0"/>
          <w:sz w:val="32"/>
          <w:szCs w:val="32"/>
          <w:shd w:val="clear" w:color="auto" w:fill="FFFFFF"/>
          <w:lang w:val="en-US" w:eastAsia="zh-CN"/>
        </w:rPr>
        <w:t>48.71%，主要是因为县委统战部和民宗局合署办公，联系单位较多，公务接待范围扩大。</w:t>
      </w:r>
    </w:p>
    <w:p w14:paraId="0D5D9B8B">
      <w:pPr>
        <w:widowControl/>
        <w:adjustRightInd w:val="0"/>
        <w:snapToGrid w:val="0"/>
        <w:spacing w:line="540" w:lineRule="exact"/>
        <w:ind w:firstLine="643" w:firstLineChars="20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（3）机关节能降耗</w:t>
      </w:r>
    </w:p>
    <w:p w14:paraId="1C632B96">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单位切实推行机关节能降耗工作，要求职工下班时间关水、关灯、关电、关空调、关电脑，降低水电的消耗；打印尽量使用双面打印，降低纸张的使用量。养成了职工下班自觉关闭电源等的好习惯，使本单节能降耗工作效果更加明显。</w:t>
      </w:r>
    </w:p>
    <w:p w14:paraId="391FCC63">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2、专项预算项目（待批复项目）支出绩效</w:t>
      </w:r>
    </w:p>
    <w:p w14:paraId="0D022E75">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（1）项目资金管理情况。</w:t>
      </w:r>
    </w:p>
    <w:p w14:paraId="1DA48614">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年初按照预算要求认真编制项目资金，资金下达后严格按照资金的用途专款专用，及时拨付各项资金，资金的使用需经分管理领导、办公室主任、财务、及审签人的签字。</w:t>
      </w:r>
    </w:p>
    <w:p w14:paraId="3885A8C1">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（2）绩效目标完成情况。</w:t>
      </w:r>
    </w:p>
    <w:p w14:paraId="17A9D2E9">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本单位的项目经费均属工作经费，不涉及工程项目，无绩效目标。</w:t>
      </w:r>
    </w:p>
    <w:p w14:paraId="470DD92C">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（四）财务管理情况。</w:t>
      </w:r>
    </w:p>
    <w:p w14:paraId="01B614A9">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2017年我单位制定了公务接待制度、财务管理制度、固定资产管理规定、预算业务控制、收支业务控制、资产业务控制、采购业务控制、建设工程项目控制、合同业务控制等层面的制度。</w:t>
      </w:r>
      <w:r>
        <w:rPr>
          <w:rFonts w:hint="eastAsia" w:ascii="仿宋_GB2312" w:hAnsi="仿宋_GB2312" w:eastAsia="仿宋_GB2312" w:cs="仿宋_GB2312"/>
          <w:color w:val="000000"/>
          <w:kern w:val="0"/>
          <w:sz w:val="32"/>
          <w:szCs w:val="32"/>
          <w:shd w:val="clear" w:color="auto" w:fill="FFFFFF"/>
          <w:lang w:val="en-US" w:eastAsia="zh-CN"/>
        </w:rPr>
        <w:t>2019年9月后参照米易县民族宗教事务局的管理办法执行。</w:t>
      </w:r>
    </w:p>
    <w:p w14:paraId="54AA5590">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财务会计核算严格按照会计核算的相关规定执行，加强对原始单据审核、按记账规则录入会计凭证，把相关费用记入对应科目，按账表相符的原则报送会计报表。资金的支付严格按照经办人员填制报销单据并签字，办公室审核有无事实并签字，财务人员审核单据的规范和合规并签字，分管理领导审核有无事实并签字，分管财务的领导审核签字后报出纳员给予支付的流程给予办理。</w:t>
      </w:r>
    </w:p>
    <w:p w14:paraId="4B871468">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采购方面在政府采购目录内的，按照政府采购的流程进行采购，没有在政府采购目录内的零星采购，办公室按照需求进行汇总，报单位领导班子同意后进行采购。</w:t>
      </w:r>
    </w:p>
    <w:p w14:paraId="748059B5">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四、评价结论及建议</w:t>
      </w:r>
    </w:p>
    <w:p w14:paraId="2C767555">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（一）评价结论。</w:t>
      </w:r>
    </w:p>
    <w:p w14:paraId="4969344D">
      <w:pPr>
        <w:ind w:firstLine="640" w:firstLineChars="200"/>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sz w:val="32"/>
          <w:szCs w:val="32"/>
        </w:rPr>
        <w:t>综上所述我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不管是在资金预算编制方面，还是预算执行、综合管理、整体绩效方面，都按相关规定严格执行，并合理安排项目，使财政资金发辉最大的效益。所以我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总体评价为优。其中在预算</w:t>
      </w:r>
      <w:r>
        <w:rPr>
          <w:rFonts w:hint="eastAsia" w:ascii="仿宋_GB2312" w:hAnsi="仿宋_GB2312" w:eastAsia="仿宋_GB2312" w:cs="仿宋_GB2312"/>
          <w:sz w:val="32"/>
          <w:szCs w:val="32"/>
          <w:lang w:eastAsia="zh-CN"/>
        </w:rPr>
        <w:t>部门管理</w:t>
      </w:r>
      <w:r>
        <w:rPr>
          <w:rFonts w:hint="eastAsia" w:ascii="仿宋_GB2312" w:hAnsi="仿宋_GB2312" w:eastAsia="仿宋_GB2312" w:cs="仿宋_GB2312"/>
          <w:sz w:val="32"/>
          <w:szCs w:val="32"/>
        </w:rPr>
        <w:t>方面得分</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专项预算管理</w:t>
      </w:r>
      <w:r>
        <w:rPr>
          <w:rFonts w:hint="eastAsia" w:ascii="仿宋_GB2312" w:hAnsi="仿宋_GB2312" w:eastAsia="仿宋_GB2312" w:cs="仿宋_GB2312"/>
          <w:sz w:val="32"/>
          <w:szCs w:val="32"/>
        </w:rPr>
        <w:t>方面得分</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分，绩效</w:t>
      </w:r>
      <w:r>
        <w:rPr>
          <w:rFonts w:hint="eastAsia" w:ascii="仿宋_GB2312" w:hAnsi="仿宋_GB2312" w:eastAsia="仿宋_GB2312" w:cs="仿宋_GB2312"/>
          <w:sz w:val="32"/>
          <w:szCs w:val="32"/>
          <w:lang w:eastAsia="zh-CN"/>
        </w:rPr>
        <w:t>结果应用</w:t>
      </w:r>
      <w:r>
        <w:rPr>
          <w:rFonts w:hint="eastAsia" w:ascii="仿宋_GB2312" w:hAnsi="仿宋_GB2312" w:eastAsia="仿宋_GB2312" w:cs="仿宋_GB2312"/>
          <w:sz w:val="32"/>
          <w:szCs w:val="32"/>
        </w:rPr>
        <w:t>方面自评得分</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分，合计总得分9</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分。</w:t>
      </w:r>
    </w:p>
    <w:p w14:paraId="7CAC72C0">
      <w:pPr>
        <w:widowControl/>
        <w:numPr>
          <w:ilvl w:val="0"/>
          <w:numId w:val="10"/>
        </w:numPr>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存在问题。</w:t>
      </w:r>
    </w:p>
    <w:p w14:paraId="6CD8C8F9">
      <w:pPr>
        <w:widowControl/>
        <w:numPr>
          <w:ilvl w:val="0"/>
          <w:numId w:val="0"/>
        </w:numPr>
        <w:adjustRightInd w:val="0"/>
        <w:snapToGrid w:val="0"/>
        <w:spacing w:line="540" w:lineRule="exact"/>
        <w:ind w:firstLine="640" w:firstLineChars="20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val="0"/>
          <w:bCs/>
          <w:color w:val="000000"/>
          <w:kern w:val="0"/>
          <w:sz w:val="32"/>
          <w:szCs w:val="32"/>
          <w:shd w:val="clear" w:color="auto" w:fill="FFFFFF"/>
          <w:lang w:val="zh-CN"/>
        </w:rPr>
        <w:t>一是在绩效目标编制上还不够完整；二是在资金的执行管理上还存在滞后的情况；三是部门预算绩效评价自评工作不够积极，四是单位内控制度还有待于不断的摸索完善。</w:t>
      </w:r>
    </w:p>
    <w:p w14:paraId="0717D119">
      <w:pPr>
        <w:widowControl/>
        <w:numPr>
          <w:ilvl w:val="0"/>
          <w:numId w:val="10"/>
        </w:numPr>
        <w:adjustRightInd w:val="0"/>
        <w:snapToGrid w:val="0"/>
        <w:spacing w:line="540" w:lineRule="exact"/>
        <w:ind w:left="0" w:leftChars="0" w:firstLine="720" w:firstLineChars="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改进建议。</w:t>
      </w:r>
    </w:p>
    <w:p w14:paraId="574EB59F">
      <w:pPr>
        <w:widowControl/>
        <w:numPr>
          <w:ilvl w:val="0"/>
          <w:numId w:val="0"/>
        </w:numPr>
        <w:adjustRightInd w:val="0"/>
        <w:snapToGrid w:val="0"/>
        <w:spacing w:line="540" w:lineRule="exact"/>
        <w:ind w:firstLine="640" w:firstLineChars="200"/>
        <w:jc w:val="left"/>
        <w:rPr>
          <w:rFonts w:hint="eastAsia" w:ascii="仿宋_GB2312" w:hAnsi="仿宋_GB2312" w:eastAsia="仿宋_GB2312" w:cs="仿宋_GB2312"/>
          <w:b w:val="0"/>
          <w:bCs/>
          <w:color w:val="000000"/>
          <w:kern w:val="0"/>
          <w:sz w:val="32"/>
          <w:szCs w:val="32"/>
          <w:shd w:val="clear" w:color="auto" w:fill="FFFFFF"/>
          <w:lang w:val="zh-CN"/>
        </w:rPr>
      </w:pPr>
      <w:r>
        <w:rPr>
          <w:rFonts w:hint="eastAsia" w:ascii="仿宋_GB2312" w:hAnsi="仿宋_GB2312" w:eastAsia="仿宋_GB2312" w:cs="仿宋_GB2312"/>
          <w:b w:val="0"/>
          <w:bCs/>
          <w:color w:val="000000"/>
          <w:kern w:val="0"/>
          <w:sz w:val="32"/>
          <w:szCs w:val="32"/>
          <w:shd w:val="clear" w:color="auto" w:fill="FFFFFF"/>
          <w:lang w:val="zh-CN"/>
        </w:rPr>
        <w:t>为适应新的工作和社会发展要求，在今后的工作中我单位将在实践中不断完善单位的内控制度，在项目编制科学性、精准性上下功夫，在项目绩效评价的完整性、合规性上求突破，在单位内部管理的严历性、合理性上找对标，争取在各项工作中有新的体现，打开大统一工作战线的新局面。</w:t>
      </w:r>
    </w:p>
    <w:p w14:paraId="3C48F90A">
      <w:pPr>
        <w:widowControl/>
        <w:numPr>
          <w:ilvl w:val="0"/>
          <w:numId w:val="0"/>
        </w:numPr>
        <w:adjustRightInd w:val="0"/>
        <w:snapToGrid w:val="0"/>
        <w:spacing w:line="540" w:lineRule="exact"/>
        <w:ind w:firstLine="640" w:firstLineChars="200"/>
        <w:jc w:val="left"/>
        <w:rPr>
          <w:rFonts w:hint="eastAsia" w:ascii="仿宋_GB2312" w:hAnsi="仿宋_GB2312" w:eastAsia="仿宋_GB2312" w:cs="仿宋_GB2312"/>
          <w:b w:val="0"/>
          <w:bCs/>
          <w:color w:val="000000"/>
          <w:kern w:val="0"/>
          <w:sz w:val="32"/>
          <w:szCs w:val="32"/>
          <w:shd w:val="clear" w:color="auto" w:fill="FFFFFF"/>
          <w:lang w:val="zh-CN"/>
        </w:rPr>
      </w:pPr>
    </w:p>
    <w:p w14:paraId="2A4E7801">
      <w:pPr>
        <w:spacing w:line="580" w:lineRule="exact"/>
        <w:ind w:firstLine="640" w:firstLineChars="200"/>
        <w:rPr>
          <w:rFonts w:ascii="仿宋_GB2312" w:hAnsi="仿宋_GB2312" w:eastAsia="仿宋_GB2312" w:cs="仿宋_GB2312"/>
          <w:sz w:val="32"/>
          <w:szCs w:val="32"/>
        </w:rPr>
      </w:pPr>
    </w:p>
    <w:p w14:paraId="769C4025">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14:paraId="1E7FE2AB">
      <w:pPr>
        <w:spacing w:line="580" w:lineRule="exact"/>
        <w:ind w:firstLine="640" w:firstLineChars="200"/>
        <w:rPr>
          <w:rFonts w:ascii="仿宋_GB2312" w:hAnsi="仿宋_GB2312" w:eastAsia="仿宋_GB2312" w:cs="仿宋_GB2312"/>
          <w:sz w:val="32"/>
          <w:szCs w:val="32"/>
        </w:rPr>
      </w:pPr>
    </w:p>
    <w:p w14:paraId="4D14753E">
      <w:pPr>
        <w:spacing w:line="600" w:lineRule="exact"/>
        <w:jc w:val="center"/>
        <w:outlineLvl w:val="0"/>
        <w:rPr>
          <w:rStyle w:val="24"/>
          <w:rFonts w:hint="eastAsia" w:ascii="黑体" w:hAnsi="黑体" w:eastAsia="黑体"/>
          <w:b w:val="0"/>
          <w:lang w:eastAsia="zh-CN"/>
        </w:rPr>
      </w:pPr>
      <w:r>
        <w:rPr>
          <w:rStyle w:val="24"/>
          <w:rFonts w:hint="eastAsia" w:ascii="黑体" w:hAnsi="黑体" w:eastAsia="黑体"/>
          <w:b w:val="0"/>
          <w:lang w:eastAsia="zh-CN"/>
        </w:rPr>
        <w:t>无</w:t>
      </w:r>
    </w:p>
    <w:p w14:paraId="3A99996F">
      <w:pPr>
        <w:spacing w:line="600" w:lineRule="exact"/>
        <w:jc w:val="center"/>
        <w:outlineLvl w:val="0"/>
        <w:rPr>
          <w:rStyle w:val="24"/>
          <w:rFonts w:ascii="黑体" w:hAnsi="黑体" w:eastAsia="黑体"/>
          <w:b w:val="0"/>
        </w:rPr>
      </w:pPr>
    </w:p>
    <w:p w14:paraId="148B5112">
      <w:pPr>
        <w:spacing w:line="600" w:lineRule="exact"/>
        <w:jc w:val="center"/>
        <w:outlineLvl w:val="0"/>
        <w:rPr>
          <w:rStyle w:val="24"/>
          <w:rFonts w:ascii="黑体" w:hAnsi="黑体" w:eastAsia="黑体"/>
          <w:b w:val="0"/>
        </w:rPr>
      </w:pPr>
    </w:p>
    <w:p w14:paraId="2F02DCE3">
      <w:pPr>
        <w:spacing w:line="600" w:lineRule="exact"/>
        <w:jc w:val="center"/>
        <w:outlineLvl w:val="0"/>
        <w:rPr>
          <w:rStyle w:val="24"/>
          <w:rFonts w:ascii="黑体" w:hAnsi="黑体" w:eastAsia="黑体"/>
          <w:b w:val="0"/>
        </w:rPr>
      </w:pPr>
    </w:p>
    <w:p w14:paraId="5CCB3A22">
      <w:pPr>
        <w:spacing w:line="600" w:lineRule="exact"/>
        <w:jc w:val="center"/>
        <w:outlineLvl w:val="0"/>
        <w:rPr>
          <w:rStyle w:val="24"/>
          <w:rFonts w:ascii="黑体" w:hAnsi="黑体" w:eastAsia="黑体"/>
          <w:b w:val="0"/>
        </w:rPr>
      </w:pPr>
    </w:p>
    <w:p w14:paraId="06D719BF">
      <w:pPr>
        <w:spacing w:line="600" w:lineRule="exact"/>
        <w:jc w:val="center"/>
        <w:outlineLvl w:val="0"/>
        <w:rPr>
          <w:rStyle w:val="24"/>
          <w:rFonts w:ascii="黑体" w:hAnsi="黑体" w:eastAsia="黑体"/>
          <w:b w:val="0"/>
        </w:rPr>
      </w:pPr>
    </w:p>
    <w:p w14:paraId="6A57799C">
      <w:pPr>
        <w:spacing w:line="600" w:lineRule="exact"/>
        <w:jc w:val="center"/>
        <w:outlineLvl w:val="0"/>
        <w:rPr>
          <w:rStyle w:val="24"/>
          <w:rFonts w:ascii="黑体" w:hAnsi="黑体" w:eastAsia="黑体"/>
          <w:b w:val="0"/>
        </w:rPr>
      </w:pPr>
    </w:p>
    <w:p w14:paraId="43CAC4A0">
      <w:pPr>
        <w:spacing w:line="600" w:lineRule="exact"/>
        <w:jc w:val="center"/>
        <w:outlineLvl w:val="0"/>
        <w:rPr>
          <w:rStyle w:val="24"/>
          <w:rFonts w:ascii="黑体" w:hAnsi="黑体" w:eastAsia="黑体"/>
          <w:b w:val="0"/>
        </w:rPr>
      </w:pPr>
    </w:p>
    <w:p w14:paraId="604DA85D">
      <w:pPr>
        <w:spacing w:line="600" w:lineRule="exact"/>
        <w:jc w:val="center"/>
        <w:outlineLvl w:val="0"/>
        <w:rPr>
          <w:rStyle w:val="24"/>
          <w:rFonts w:ascii="黑体" w:hAnsi="黑体" w:eastAsia="黑体"/>
          <w:b w:val="0"/>
        </w:rPr>
      </w:pPr>
    </w:p>
    <w:p w14:paraId="0C4D2CA0">
      <w:pPr>
        <w:spacing w:line="600" w:lineRule="exact"/>
        <w:jc w:val="center"/>
        <w:outlineLvl w:val="0"/>
        <w:rPr>
          <w:rStyle w:val="24"/>
          <w:rFonts w:ascii="黑体" w:hAnsi="黑体" w:eastAsia="黑体"/>
          <w:b w:val="0"/>
        </w:rPr>
      </w:pPr>
    </w:p>
    <w:p w14:paraId="679F5679">
      <w:pPr>
        <w:spacing w:line="600" w:lineRule="exact"/>
        <w:jc w:val="center"/>
        <w:outlineLvl w:val="0"/>
        <w:rPr>
          <w:rStyle w:val="24"/>
          <w:rFonts w:ascii="黑体" w:hAnsi="黑体" w:eastAsia="黑体"/>
          <w:b w:val="0"/>
        </w:rPr>
      </w:pPr>
    </w:p>
    <w:p w14:paraId="663FD92A">
      <w:pPr>
        <w:spacing w:line="600" w:lineRule="exact"/>
        <w:jc w:val="center"/>
        <w:outlineLvl w:val="0"/>
        <w:rPr>
          <w:rStyle w:val="24"/>
          <w:rFonts w:ascii="黑体" w:hAnsi="黑体" w:eastAsia="黑体"/>
          <w:b w:val="0"/>
        </w:rPr>
      </w:pPr>
    </w:p>
    <w:p w14:paraId="36EB11CA">
      <w:pPr>
        <w:spacing w:line="600" w:lineRule="exact"/>
        <w:jc w:val="center"/>
        <w:outlineLvl w:val="0"/>
        <w:rPr>
          <w:rStyle w:val="24"/>
          <w:rFonts w:ascii="黑体" w:hAnsi="黑体" w:eastAsia="黑体"/>
          <w:b w:val="0"/>
        </w:rPr>
      </w:pPr>
    </w:p>
    <w:p w14:paraId="0BB5D412">
      <w:pPr>
        <w:spacing w:line="600" w:lineRule="exact"/>
        <w:jc w:val="both"/>
        <w:outlineLvl w:val="0"/>
        <w:rPr>
          <w:rStyle w:val="24"/>
          <w:rFonts w:ascii="黑体" w:hAnsi="黑体" w:eastAsia="黑体"/>
          <w:b w:val="0"/>
        </w:rPr>
      </w:pPr>
    </w:p>
    <w:p w14:paraId="31F438C1">
      <w:pPr>
        <w:spacing w:line="600" w:lineRule="exact"/>
        <w:jc w:val="center"/>
        <w:outlineLvl w:val="0"/>
        <w:rPr>
          <w:rStyle w:val="24"/>
          <w:rFonts w:hint="eastAsia" w:ascii="黑体" w:hAnsi="黑体" w:eastAsia="黑体"/>
          <w:b w:val="0"/>
        </w:rPr>
      </w:pPr>
      <w:bookmarkStart w:id="62" w:name="_Toc15396618"/>
      <w:r>
        <w:rPr>
          <w:rFonts w:hint="eastAsia" w:ascii="黑体" w:hAnsi="黑体" w:eastAsia="黑体"/>
          <w:color w:val="000000"/>
          <w:sz w:val="44"/>
          <w:szCs w:val="44"/>
        </w:rPr>
        <w:t>第</w:t>
      </w:r>
      <w:r>
        <w:rPr>
          <w:rStyle w:val="24"/>
          <w:rFonts w:hint="eastAsia" w:ascii="黑体" w:hAnsi="黑体" w:eastAsia="黑体"/>
          <w:b w:val="0"/>
        </w:rPr>
        <w:t>五部分 附表</w:t>
      </w:r>
      <w:bookmarkEnd w:id="60"/>
      <w:bookmarkEnd w:id="62"/>
    </w:p>
    <w:p w14:paraId="366EAA60">
      <w:pPr>
        <w:pStyle w:val="3"/>
        <w:rPr>
          <w:rFonts w:ascii="仿宋" w:hAnsi="仿宋" w:eastAsia="仿宋"/>
          <w:color w:val="000000"/>
        </w:rPr>
      </w:pPr>
      <w:bookmarkStart w:id="63"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63"/>
    </w:p>
    <w:p w14:paraId="16AAF21F">
      <w:pPr>
        <w:pStyle w:val="3"/>
        <w:rPr>
          <w:rFonts w:ascii="仿宋" w:hAnsi="仿宋" w:eastAsia="仿宋"/>
          <w:color w:val="000000"/>
        </w:rPr>
      </w:pPr>
      <w:bookmarkStart w:id="64"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64"/>
    </w:p>
    <w:p w14:paraId="530B3E30">
      <w:pPr>
        <w:pStyle w:val="3"/>
        <w:rPr>
          <w:rFonts w:ascii="仿宋" w:hAnsi="仿宋" w:eastAsia="仿宋"/>
          <w:color w:val="000000"/>
        </w:rPr>
      </w:pPr>
      <w:bookmarkStart w:id="65"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5"/>
    </w:p>
    <w:p w14:paraId="7A0D99CF">
      <w:pPr>
        <w:pStyle w:val="3"/>
        <w:rPr>
          <w:rFonts w:ascii="仿宋" w:hAnsi="仿宋" w:eastAsia="仿宋"/>
          <w:b w:val="0"/>
          <w:color w:val="000000"/>
        </w:rPr>
      </w:pPr>
      <w:bookmarkStart w:id="66"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6"/>
    </w:p>
    <w:p w14:paraId="4CF4A351">
      <w:pPr>
        <w:pStyle w:val="3"/>
        <w:rPr>
          <w:rStyle w:val="25"/>
          <w:rFonts w:ascii="仿宋" w:hAnsi="仿宋" w:eastAsia="仿宋"/>
          <w:b w:val="0"/>
          <w:bCs w:val="0"/>
        </w:rPr>
      </w:pPr>
      <w:bookmarkStart w:id="67"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7"/>
      <w:bookmarkStart w:id="68" w:name="_Toc15396624"/>
    </w:p>
    <w:p w14:paraId="5C7C21FB">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8"/>
    </w:p>
    <w:p w14:paraId="0D106411">
      <w:pPr>
        <w:pStyle w:val="3"/>
        <w:rPr>
          <w:rFonts w:ascii="仿宋" w:hAnsi="仿宋" w:eastAsia="仿宋"/>
          <w:color w:val="000000"/>
        </w:rPr>
      </w:pPr>
      <w:bookmarkStart w:id="69"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9"/>
    </w:p>
    <w:p w14:paraId="62621818">
      <w:pPr>
        <w:pStyle w:val="3"/>
        <w:rPr>
          <w:rFonts w:ascii="仿宋" w:hAnsi="仿宋" w:eastAsia="仿宋"/>
          <w:color w:val="000000"/>
        </w:rPr>
      </w:pPr>
      <w:bookmarkStart w:id="70"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70"/>
    </w:p>
    <w:p w14:paraId="2089FF2B">
      <w:pPr>
        <w:pStyle w:val="3"/>
        <w:rPr>
          <w:rFonts w:ascii="仿宋" w:hAnsi="仿宋" w:eastAsia="仿宋"/>
          <w:color w:val="000000"/>
        </w:rPr>
      </w:pPr>
      <w:bookmarkStart w:id="71"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71"/>
    </w:p>
    <w:p w14:paraId="35815178">
      <w:pPr>
        <w:pStyle w:val="3"/>
        <w:rPr>
          <w:rFonts w:ascii="仿宋" w:hAnsi="仿宋" w:eastAsia="仿宋"/>
          <w:color w:val="000000"/>
        </w:rPr>
      </w:pPr>
      <w:bookmarkStart w:id="72"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72"/>
    </w:p>
    <w:p w14:paraId="34CA03CB">
      <w:pPr>
        <w:pStyle w:val="3"/>
        <w:rPr>
          <w:rFonts w:ascii="仿宋" w:hAnsi="仿宋" w:eastAsia="仿宋"/>
          <w:color w:val="000000"/>
        </w:rPr>
      </w:pPr>
      <w:bookmarkStart w:id="73"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3"/>
    </w:p>
    <w:p w14:paraId="586A154F">
      <w:pPr>
        <w:pStyle w:val="3"/>
        <w:rPr>
          <w:rFonts w:ascii="仿宋" w:hAnsi="仿宋" w:eastAsia="仿宋"/>
          <w:color w:val="000000"/>
        </w:rPr>
      </w:pPr>
      <w:bookmarkStart w:id="74"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4"/>
    </w:p>
    <w:p w14:paraId="611C19E2">
      <w:pPr>
        <w:pStyle w:val="3"/>
        <w:rPr>
          <w:rStyle w:val="25"/>
          <w:rFonts w:hint="eastAsia" w:ascii="仿宋" w:hAnsi="仿宋" w:eastAsia="仿宋"/>
          <w:b w:val="0"/>
          <w:bCs w:val="0"/>
        </w:rPr>
      </w:pPr>
      <w:bookmarkStart w:id="75"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5"/>
    </w:p>
    <w:p w14:paraId="4208FF2A">
      <w:pPr>
        <w:rPr>
          <w:rFonts w:hint="eastAsia"/>
        </w:rPr>
      </w:pPr>
      <w:r>
        <w:rPr>
          <w:rStyle w:val="15"/>
          <w:rFonts w:hint="eastAsia" w:asciiTheme="minorEastAsia" w:hAnsiTheme="minorEastAsia" w:eastAsiaTheme="minorEastAsia" w:cstheme="minorEastAsia"/>
          <w:color w:val="000000" w:themeColor="text1"/>
          <w:sz w:val="28"/>
          <w:szCs w:val="28"/>
          <w:u w:val="none"/>
          <w:lang w:eastAsia="zh-CN"/>
          <w14:textFill>
            <w14:solidFill>
              <w14:schemeClr w14:val="tx1"/>
            </w14:solidFill>
          </w14:textFill>
        </w:rPr>
        <w:t>十四</w:t>
      </w:r>
      <w:r>
        <w:rPr>
          <w:rStyle w:val="15"/>
          <w:rFonts w:hint="eastAsia" w:asciiTheme="minorEastAsia" w:hAnsiTheme="minorEastAsia" w:eastAsiaTheme="minorEastAsia" w:cstheme="minorEastAsia"/>
          <w:color w:val="000000" w:themeColor="text1"/>
          <w:sz w:val="28"/>
          <w:szCs w:val="28"/>
          <w:u w:val="none"/>
          <w14:textFill>
            <w14:solidFill>
              <w14:schemeClr w14:val="tx1"/>
            </w14:solidFill>
          </w14:textFill>
        </w:rPr>
        <w:t>、</w:t>
      </w:r>
      <w:r>
        <w:rPr>
          <w:rFonts w:hint="eastAsia" w:asciiTheme="minorEastAsia" w:hAnsiTheme="minorEastAsia" w:eastAsiaTheme="minorEastAsia" w:cstheme="minorEastAsia"/>
          <w:color w:val="000000" w:themeColor="text1"/>
          <w:sz w:val="28"/>
          <w:szCs w:val="28"/>
          <w:u w:val="none"/>
          <w14:textFill>
            <w14:solidFill>
              <w14:schemeClr w14:val="tx1"/>
            </w14:solidFill>
          </w14:textFill>
        </w:rPr>
        <w:t>机关运行经费、资产占用情况及政府采购支出信息表</w:t>
      </w:r>
    </w:p>
    <w:p w14:paraId="401116D1">
      <w:pPr>
        <w:pStyle w:val="3"/>
        <w:rPr>
          <w:rFonts w:hint="default" w:eastAsia="仿宋"/>
          <w:sz w:val="32"/>
          <w:szCs w:val="32"/>
          <w:lang w:val="en-US" w:eastAsia="zh-CN"/>
        </w:rPr>
      </w:pPr>
      <w:r>
        <w:rPr>
          <w:rFonts w:hint="eastAsia" w:eastAsia="仿宋"/>
          <w:sz w:val="32"/>
          <w:szCs w:val="32"/>
          <w:lang w:val="en-US" w:eastAsia="zh-CN"/>
        </w:rPr>
        <w:t>附件：米易县委统战部2019年部门决算公开表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B1D5AE-E7A9-483D-9997-AA90D54CA8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0EA4E7F7-80D8-47CD-8868-585408F5CDB2}"/>
  </w:font>
  <w:font w:name="仿宋_GB2312">
    <w:panose1 w:val="02010609030101010101"/>
    <w:charset w:val="86"/>
    <w:family w:val="modern"/>
    <w:pitch w:val="default"/>
    <w:sig w:usb0="00000001" w:usb1="080E0000" w:usb2="00000000" w:usb3="00000000" w:csb0="00040000" w:csb1="00000000"/>
    <w:embedRegular r:id="rId3" w:fontKey="{E9033924-FDD6-4A0F-8718-5505FD52C7E5}"/>
  </w:font>
  <w:font w:name="仿宋">
    <w:panose1 w:val="02010609060101010101"/>
    <w:charset w:val="86"/>
    <w:family w:val="modern"/>
    <w:pitch w:val="default"/>
    <w:sig w:usb0="800002BF" w:usb1="38CF7CFA" w:usb2="00000016" w:usb3="00000000" w:csb0="00040001" w:csb1="00000000"/>
    <w:embedRegular r:id="rId4" w:fontKey="{A3099D48-6695-4107-9CF9-CB0483C97E01}"/>
  </w:font>
  <w:font w:name="方正小标宋简体">
    <w:panose1 w:val="02010601030101010101"/>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embedRegular r:id="rId5" w:fontKey="{CFA810EE-BCC9-4357-A3B8-2D6DFBF21172}"/>
  </w:font>
  <w:font w:name="方正仿宋简体">
    <w:panose1 w:val="02010601030101010101"/>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6" w:fontKey="{7FD5D5D2-C7B3-4ADE-AB2E-B17123D22B9E}"/>
  </w:font>
  <w:font w:name="方正楷体_GBK">
    <w:panose1 w:val="03000509000000000000"/>
    <w:charset w:val="86"/>
    <w:family w:val="script"/>
    <w:pitch w:val="default"/>
    <w:sig w:usb0="00000001" w:usb1="080E0000" w:usb2="00000000" w:usb3="00000000" w:csb0="00040000" w:csb1="00000000"/>
    <w:embedRegular r:id="rId7" w:fontKey="{E27D1299-8DEF-437E-981D-281400700317}"/>
  </w:font>
  <w:font w:name="Comic Sans MS">
    <w:panose1 w:val="030F0702030302020204"/>
    <w:charset w:val="00"/>
    <w:family w:val="script"/>
    <w:pitch w:val="default"/>
    <w:sig w:usb0="00000287" w:usb1="00000013" w:usb2="00000000" w:usb3="00000000" w:csb0="2000009F" w:csb1="00000000"/>
    <w:embedRegular r:id="rId8" w:fontKey="{42FAB3B9-DA5E-4BF1-8ECB-7A5C7D27D24C}"/>
  </w:font>
  <w:font w:name="楷体_GB2312">
    <w:panose1 w:val="02010609030101010101"/>
    <w:charset w:val="86"/>
    <w:family w:val="modern"/>
    <w:pitch w:val="default"/>
    <w:sig w:usb0="00000001" w:usb1="080E0000" w:usb2="00000000" w:usb3="00000000" w:csb0="00040000" w:csb1="00000000"/>
    <w:embedRegular r:id="rId9" w:fontKey="{434D7AB2-1B74-46D1-9B7B-569E08B51C1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014B78CA">
        <w:pPr>
          <w:pStyle w:val="8"/>
          <w:jc w:val="center"/>
        </w:pPr>
        <w:r>
          <w:fldChar w:fldCharType="begin"/>
        </w:r>
        <w:r>
          <w:instrText xml:space="preserve">PAGE   \* MERGEFORMAT</w:instrText>
        </w:r>
        <w:r>
          <w:fldChar w:fldCharType="separate"/>
        </w:r>
        <w:r>
          <w:rPr>
            <w:lang w:val="zh-CN"/>
          </w:rPr>
          <w:t>24</w:t>
        </w:r>
        <w:r>
          <w:fldChar w:fldCharType="end"/>
        </w:r>
      </w:p>
    </w:sdtContent>
  </w:sdt>
  <w:p w14:paraId="3F47373D">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A8354">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2B4B8"/>
    <w:multiLevelType w:val="singleLevel"/>
    <w:tmpl w:val="A162B4B8"/>
    <w:lvl w:ilvl="0" w:tentative="0">
      <w:start w:val="1"/>
      <w:numFmt w:val="decimal"/>
      <w:suff w:val="nothing"/>
      <w:lvlText w:val="（%1）"/>
      <w:lvlJc w:val="left"/>
    </w:lvl>
  </w:abstractNum>
  <w:abstractNum w:abstractNumId="1">
    <w:nsid w:val="A2681EF0"/>
    <w:multiLevelType w:val="singleLevel"/>
    <w:tmpl w:val="A2681EF0"/>
    <w:lvl w:ilvl="0" w:tentative="0">
      <w:start w:val="3"/>
      <w:numFmt w:val="chineseCounting"/>
      <w:suff w:val="nothing"/>
      <w:lvlText w:val="（%1）"/>
      <w:lvlJc w:val="left"/>
      <w:rPr>
        <w:rFonts w:hint="eastAsia"/>
      </w:rPr>
    </w:lvl>
  </w:abstractNum>
  <w:abstractNum w:abstractNumId="2">
    <w:nsid w:val="A362B413"/>
    <w:multiLevelType w:val="singleLevel"/>
    <w:tmpl w:val="A362B413"/>
    <w:lvl w:ilvl="0" w:tentative="0">
      <w:start w:val="2"/>
      <w:numFmt w:val="chineseCounting"/>
      <w:suff w:val="nothing"/>
      <w:lvlText w:val="（%1）"/>
      <w:lvlJc w:val="left"/>
      <w:rPr>
        <w:rFonts w:hint="eastAsia"/>
      </w:rPr>
    </w:lvl>
  </w:abstractNum>
  <w:abstractNum w:abstractNumId="3">
    <w:nsid w:val="B3C7ADAB"/>
    <w:multiLevelType w:val="singleLevel"/>
    <w:tmpl w:val="B3C7ADAB"/>
    <w:lvl w:ilvl="0" w:tentative="0">
      <w:start w:val="1"/>
      <w:numFmt w:val="decimal"/>
      <w:suff w:val="nothing"/>
      <w:lvlText w:val="%1、"/>
      <w:lvlJc w:val="left"/>
    </w:lvl>
  </w:abstractNum>
  <w:abstractNum w:abstractNumId="4">
    <w:nsid w:val="CF652CEC"/>
    <w:multiLevelType w:val="singleLevel"/>
    <w:tmpl w:val="CF652CEC"/>
    <w:lvl w:ilvl="0" w:tentative="0">
      <w:start w:val="9"/>
      <w:numFmt w:val="chineseCounting"/>
      <w:suff w:val="nothing"/>
      <w:lvlText w:val="%1、"/>
      <w:lvlJc w:val="left"/>
      <w:rPr>
        <w:rFonts w:hint="eastAsia"/>
      </w:rPr>
    </w:lvl>
  </w:abstractNum>
  <w:abstractNum w:abstractNumId="5">
    <w:nsid w:val="E2FA047D"/>
    <w:multiLevelType w:val="singleLevel"/>
    <w:tmpl w:val="E2FA047D"/>
    <w:lvl w:ilvl="0" w:tentative="0">
      <w:start w:val="3"/>
      <w:numFmt w:val="chineseCounting"/>
      <w:suff w:val="space"/>
      <w:lvlText w:val="第%1部分"/>
      <w:lvlJc w:val="left"/>
      <w:rPr>
        <w:rFonts w:hint="eastAsia"/>
      </w:rPr>
    </w:lvl>
  </w:abstractNum>
  <w:abstractNum w:abstractNumId="6">
    <w:nsid w:val="EB08B417"/>
    <w:multiLevelType w:val="singleLevel"/>
    <w:tmpl w:val="EB08B417"/>
    <w:lvl w:ilvl="0" w:tentative="0">
      <w:start w:val="1"/>
      <w:numFmt w:val="chineseCounting"/>
      <w:suff w:val="space"/>
      <w:lvlText w:val="第%1部分"/>
      <w:lvlJc w:val="left"/>
      <w:rPr>
        <w:rFonts w:hint="eastAsia"/>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1DF37698"/>
    <w:multiLevelType w:val="singleLevel"/>
    <w:tmpl w:val="1DF37698"/>
    <w:lvl w:ilvl="0" w:tentative="0">
      <w:start w:val="1"/>
      <w:numFmt w:val="decimal"/>
      <w:lvlText w:val="%1."/>
      <w:lvlJc w:val="left"/>
      <w:pPr>
        <w:tabs>
          <w:tab w:val="left" w:pos="312"/>
        </w:tabs>
      </w:pPr>
    </w:lvl>
  </w:abstractNum>
  <w:abstractNum w:abstractNumId="9">
    <w:nsid w:val="5DC03261"/>
    <w:multiLevelType w:val="singleLevel"/>
    <w:tmpl w:val="5DC03261"/>
    <w:lvl w:ilvl="0" w:tentative="0">
      <w:start w:val="2"/>
      <w:numFmt w:val="chineseCounting"/>
      <w:suff w:val="nothing"/>
      <w:lvlText w:val="（%1）"/>
      <w:lvlJc w:val="left"/>
      <w:rPr>
        <w:rFonts w:hint="eastAsia"/>
      </w:rPr>
    </w:lvl>
  </w:abstractNum>
  <w:num w:numId="1">
    <w:abstractNumId w:val="6"/>
  </w:num>
  <w:num w:numId="2">
    <w:abstractNumId w:val="7"/>
  </w:num>
  <w:num w:numId="3">
    <w:abstractNumId w:val="8"/>
  </w:num>
  <w:num w:numId="4">
    <w:abstractNumId w:val="0"/>
  </w:num>
  <w:num w:numId="5">
    <w:abstractNumId w:val="4"/>
  </w:num>
  <w:num w:numId="6">
    <w:abstractNumId w:val="5"/>
  </w:num>
  <w:num w:numId="7">
    <w:abstractNumId w:val="1"/>
  </w:num>
  <w:num w:numId="8">
    <w:abstractNumId w:val="3"/>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hNWJiZGFiNDgxNjUxYzU4ODRiZmMyOGFkMjVlZW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4A053E"/>
    <w:rsid w:val="08584073"/>
    <w:rsid w:val="0D6160F2"/>
    <w:rsid w:val="0D824124"/>
    <w:rsid w:val="0E202EA8"/>
    <w:rsid w:val="0E614C8B"/>
    <w:rsid w:val="100F5FEE"/>
    <w:rsid w:val="10345401"/>
    <w:rsid w:val="10C055FF"/>
    <w:rsid w:val="11CE59F9"/>
    <w:rsid w:val="14366D98"/>
    <w:rsid w:val="14473131"/>
    <w:rsid w:val="15FD572C"/>
    <w:rsid w:val="16BB723D"/>
    <w:rsid w:val="184B4D67"/>
    <w:rsid w:val="18BD5A2F"/>
    <w:rsid w:val="1F291AAC"/>
    <w:rsid w:val="21ED545C"/>
    <w:rsid w:val="240371BF"/>
    <w:rsid w:val="246F4F5A"/>
    <w:rsid w:val="2494175B"/>
    <w:rsid w:val="26CD47B6"/>
    <w:rsid w:val="287039FE"/>
    <w:rsid w:val="287B022E"/>
    <w:rsid w:val="29FD04D3"/>
    <w:rsid w:val="2AC44B01"/>
    <w:rsid w:val="2B55748E"/>
    <w:rsid w:val="2B8335B0"/>
    <w:rsid w:val="2DB23603"/>
    <w:rsid w:val="305453EE"/>
    <w:rsid w:val="319F7F4E"/>
    <w:rsid w:val="328314D5"/>
    <w:rsid w:val="328E099F"/>
    <w:rsid w:val="34565ECF"/>
    <w:rsid w:val="35413015"/>
    <w:rsid w:val="35E662A1"/>
    <w:rsid w:val="38900F71"/>
    <w:rsid w:val="3A4039EE"/>
    <w:rsid w:val="3D925D12"/>
    <w:rsid w:val="3F6D1E18"/>
    <w:rsid w:val="41043F90"/>
    <w:rsid w:val="42105459"/>
    <w:rsid w:val="48606347"/>
    <w:rsid w:val="49D51A30"/>
    <w:rsid w:val="4A2F6225"/>
    <w:rsid w:val="4A6157F8"/>
    <w:rsid w:val="4B8C6CD3"/>
    <w:rsid w:val="4DE17CC2"/>
    <w:rsid w:val="4DFB247B"/>
    <w:rsid w:val="4ECE2238"/>
    <w:rsid w:val="53852937"/>
    <w:rsid w:val="54FB48AF"/>
    <w:rsid w:val="575D5C13"/>
    <w:rsid w:val="5E1437BE"/>
    <w:rsid w:val="5FD03EB8"/>
    <w:rsid w:val="61E937C7"/>
    <w:rsid w:val="62A667C0"/>
    <w:rsid w:val="636C5F3B"/>
    <w:rsid w:val="64727977"/>
    <w:rsid w:val="647D446A"/>
    <w:rsid w:val="67AD7BEB"/>
    <w:rsid w:val="6BB3119F"/>
    <w:rsid w:val="6DA216DB"/>
    <w:rsid w:val="712B1200"/>
    <w:rsid w:val="72734D90"/>
    <w:rsid w:val="727E1AC5"/>
    <w:rsid w:val="743324CC"/>
    <w:rsid w:val="75EC51BA"/>
    <w:rsid w:val="766601FB"/>
    <w:rsid w:val="76CB3C0E"/>
    <w:rsid w:val="7A00082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2018</c:v>
                </c:pt>
                <c:pt idx="1">
                  <c:v>2019</c:v>
                </c:pt>
              </c:numCache>
            </c:numRef>
          </c:cat>
          <c:val>
            <c:numRef>
              <c:f>Sheet1!$B$2:$B$3</c:f>
              <c:numCache>
                <c:formatCode>General</c:formatCode>
                <c:ptCount val="2"/>
                <c:pt idx="0">
                  <c:v>164.38</c:v>
                </c:pt>
                <c:pt idx="1">
                  <c:v>157.51</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2018</c:v>
                </c:pt>
                <c:pt idx="1">
                  <c:v>2019</c:v>
                </c:pt>
              </c:numCache>
            </c:numRef>
          </c:cat>
          <c:val>
            <c:numRef>
              <c:f>Sheet1!$C$2:$C$3</c:f>
              <c:numCache>
                <c:formatCode>General</c:formatCode>
                <c:ptCount val="2"/>
                <c:pt idx="0">
                  <c:v>164.38</c:v>
                </c:pt>
                <c:pt idx="1">
                  <c:v>157.51</c:v>
                </c:pt>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2018</c:v>
                </c:pt>
                <c:pt idx="1">
                  <c:v>2019</c:v>
                </c:pt>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50"/>
        <c:overlap val="0"/>
        <c:axId val="337289630"/>
        <c:axId val="43104730"/>
      </c:barChart>
      <c:catAx>
        <c:axId val="33728963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104730"/>
        <c:crosses val="autoZero"/>
        <c:auto val="1"/>
        <c:lblAlgn val="ctr"/>
        <c:lblOffset val="100"/>
        <c:noMultiLvlLbl val="0"/>
      </c:catAx>
      <c:valAx>
        <c:axId val="4310473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7289630"/>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4a0ad04-5d78-4e20-86fa-14c03d58019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accent3">
                        <a:lumMod val="40000"/>
                        <a:lumOff val="60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Sheet1!$A$1:$H$1</c:f>
              <c:strCache>
                <c:ptCount val="8"/>
                <c:pt idx="0">
                  <c:v> </c:v>
                </c:pt>
                <c:pt idx="1">
                  <c:v>一般公共预算财政拨款收入</c:v>
                </c:pt>
                <c:pt idx="2">
                  <c:v>政府性基金预算财政拨款收入</c:v>
                </c:pt>
                <c:pt idx="3">
                  <c:v>国有资本经营预算财政拨款收入</c:v>
                </c:pt>
                <c:pt idx="4">
                  <c:v>事业收入</c:v>
                </c:pt>
                <c:pt idx="5">
                  <c:v>经营收入</c:v>
                </c:pt>
                <c:pt idx="6">
                  <c:v>附属单位上缴收入</c:v>
                </c:pt>
                <c:pt idx="7">
                  <c:v>其他收入</c:v>
                </c:pt>
              </c:strCache>
            </c:strRef>
          </c:cat>
          <c:val>
            <c:numRef>
              <c:f>Sheet1!$A$2:$H$2</c:f>
              <c:numCache>
                <c:formatCode>General</c:formatCode>
                <c:ptCount val="8"/>
                <c:pt idx="0">
                  <c:v>0</c:v>
                </c:pt>
                <c:pt idx="1">
                  <c:v>157.51</c:v>
                </c:pt>
                <c:pt idx="2">
                  <c:v>0</c:v>
                </c:pt>
                <c:pt idx="3">
                  <c:v>0</c:v>
                </c:pt>
                <c:pt idx="4">
                  <c:v>0</c:v>
                </c:pt>
                <c:pt idx="5">
                  <c:v>0</c:v>
                </c:pt>
                <c:pt idx="6">
                  <c:v>0</c:v>
                </c:pt>
                <c:pt idx="7">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chemeClr val="accent6"/>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accent6"/>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accent6"/>
                </a:solid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baseline="0">
                <a:solidFill>
                  <a:schemeClr val="accent6"/>
                </a:solidFill>
                <a:latin typeface="+mn-lt"/>
                <a:ea typeface="+mn-ea"/>
                <a:cs typeface="+mn-cs"/>
              </a:defRPr>
            </a:pPr>
          </a:p>
        </c:txPr>
      </c:legendEntry>
      <c:legendEntry>
        <c:idx val="4"/>
        <c:txPr>
          <a:bodyPr rot="0" spcFirstLastPara="0" vertOverflow="ellipsis" vert="horz" wrap="square" anchor="ctr" anchorCtr="1"/>
          <a:lstStyle/>
          <a:p>
            <a:pPr>
              <a:defRPr lang="zh-CN" sz="900" b="0" i="0" u="none" strike="noStrike" kern="1200" baseline="0">
                <a:solidFill>
                  <a:schemeClr val="accent6"/>
                </a:solidFill>
                <a:latin typeface="+mn-lt"/>
                <a:ea typeface="+mn-ea"/>
                <a:cs typeface="+mn-cs"/>
              </a:defRPr>
            </a:pPr>
          </a:p>
        </c:txPr>
      </c:legendEntry>
      <c:legendEntry>
        <c:idx val="5"/>
        <c:txPr>
          <a:bodyPr rot="0" spcFirstLastPara="0" vertOverflow="ellipsis" vert="horz" wrap="square" anchor="ctr" anchorCtr="1"/>
          <a:lstStyle/>
          <a:p>
            <a:pPr>
              <a:defRPr lang="zh-CN" sz="900" b="0" i="0" u="none" strike="noStrike" kern="1200" baseline="0">
                <a:solidFill>
                  <a:schemeClr val="accent6"/>
                </a:solidFill>
                <a:latin typeface="+mn-lt"/>
                <a:ea typeface="+mn-ea"/>
                <a:cs typeface="+mn-cs"/>
              </a:defRPr>
            </a:pPr>
          </a:p>
        </c:txPr>
      </c:legendEntry>
      <c:legendEntry>
        <c:idx val="6"/>
        <c:txPr>
          <a:bodyPr rot="0" spcFirstLastPara="0" vertOverflow="ellipsis" vert="horz" wrap="square" anchor="ctr" anchorCtr="1"/>
          <a:lstStyle/>
          <a:p>
            <a:pPr>
              <a:defRPr lang="zh-CN" sz="900" b="0" i="0" u="none" strike="noStrike" kern="1200" baseline="0">
                <a:solidFill>
                  <a:schemeClr val="accent6"/>
                </a:solidFill>
                <a:latin typeface="+mn-lt"/>
                <a:ea typeface="+mn-ea"/>
                <a:cs typeface="+mn-cs"/>
              </a:defRPr>
            </a:pPr>
          </a:p>
        </c:txPr>
      </c:legendEntry>
      <c:legendEntry>
        <c:idx val="7"/>
        <c:txPr>
          <a:bodyPr rot="0" spcFirstLastPara="0" vertOverflow="ellipsis" vert="horz" wrap="square" anchor="ctr" anchorCtr="1"/>
          <a:lstStyle/>
          <a:p>
            <a:pPr>
              <a:defRPr lang="zh-CN" sz="900" b="0" i="0" u="none" strike="noStrike" kern="1200" baseline="0">
                <a:solidFill>
                  <a:schemeClr val="accent6"/>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accent6"/>
              </a:solidFill>
              <a:latin typeface="+mn-lt"/>
              <a:ea typeface="+mn-ea"/>
              <a:cs typeface="+mn-cs"/>
            </a:defRPr>
          </a:pPr>
        </a:p>
      </c:txPr>
    </c:legend>
    <c:plotVisOnly val="1"/>
    <c:dispBlanksAs val="gap"/>
    <c:showDLblsOverMax val="0"/>
    <c:extLst>
      <c:ext uri="{0b15fc19-7d7d-44ad-8c2d-2c3a37ce22c3}">
        <chartProps xmlns="https://web.wps.cn/et/2018/main" chartId="{83427c8c-710a-45e2-b4be-9890d07ff3c7}"/>
      </c:ext>
    </c:extLst>
  </c:chart>
  <c:spPr>
    <a:noFill/>
    <a:ln w="9525" cap="flat" cmpd="sng" algn="ctr">
      <a:noFill/>
      <a:round/>
    </a:ln>
    <a:effectLst/>
  </c:spPr>
  <c:txPr>
    <a:bodyPr/>
    <a:lstStyle/>
    <a:p>
      <a:pPr>
        <a:defRPr lang="zh-CN">
          <a:solidFill>
            <a:schemeClr val="accent3">
              <a:lumMod val="40000"/>
              <a:lumOff val="60000"/>
            </a:schemeClr>
          </a:solidFill>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600" b="1" i="0" u="none" strike="noStrike" kern="1200" spc="0" normalizeH="0" baseline="0">
              <a:solidFill>
                <a:schemeClr val="dk1">
                  <a:lumMod val="50000"/>
                  <a:lumOff val="50000"/>
                </a:schemeClr>
              </a:solidFill>
              <a:latin typeface="+mj-lt"/>
              <a:ea typeface="+mj-ea"/>
              <a:cs typeface="+mj-cs"/>
            </a:defRPr>
          </a:pPr>
        </a:p>
      </c:txPr>
    </c:title>
    <c:autoTitleDeleted val="0"/>
    <c:plotArea>
      <c:layout/>
      <c:pieChart>
        <c:varyColors val="1"/>
        <c:ser>
          <c:idx val="0"/>
          <c:order val="0"/>
          <c:tx>
            <c:strRef>
              <c:f>Sheet1!$A$2</c:f>
              <c:strCache>
                <c:ptCount val="1"/>
                <c:pt idx="0">
                  <c:v>2019年</c:v>
                </c:pt>
              </c:strCache>
            </c:strRef>
          </c:tx>
          <c:spPr/>
          <c:explosion val="0"/>
          <c:dPt>
            <c:idx val="0"/>
            <c:bubble3D val="0"/>
            <c:explosion val="1"/>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Sheet1!$B$1:$F$1</c:f>
              <c:strCache>
                <c:ptCount val="5"/>
                <c:pt idx="0">
                  <c:v>基本支出</c:v>
                </c:pt>
                <c:pt idx="1">
                  <c:v>项目支出</c:v>
                </c:pt>
                <c:pt idx="2">
                  <c:v>上缴上级支出</c:v>
                </c:pt>
                <c:pt idx="3">
                  <c:v>经营支出</c:v>
                </c:pt>
                <c:pt idx="4">
                  <c:v>对附属单位补助支出</c:v>
                </c:pt>
              </c:strCache>
            </c:strRef>
          </c:cat>
          <c:val>
            <c:numRef>
              <c:f>Sheet1!$B$2:$F$2</c:f>
              <c:numCache>
                <c:formatCode>General</c:formatCode>
                <c:ptCount val="5"/>
                <c:pt idx="0">
                  <c:v>119.29</c:v>
                </c:pt>
                <c:pt idx="1">
                  <c:v>38.22</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f9d6772-af24-4ee6-9947-8f39bc5d10b5}"/>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2018</c:v>
                </c:pt>
                <c:pt idx="1">
                  <c:v>2019</c:v>
                </c:pt>
              </c:numCache>
            </c:numRef>
          </c:cat>
          <c:val>
            <c:numRef>
              <c:f>Sheet1!$B$2:$B$3</c:f>
              <c:numCache>
                <c:formatCode>General</c:formatCode>
                <c:ptCount val="2"/>
                <c:pt idx="0">
                  <c:v>164.38</c:v>
                </c:pt>
                <c:pt idx="1">
                  <c:v>157.541</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2018</c:v>
                </c:pt>
                <c:pt idx="1">
                  <c:v>2019</c:v>
                </c:pt>
              </c:numCache>
            </c:numRef>
          </c:cat>
          <c:val>
            <c:numRef>
              <c:f>Sheet1!$C$2:$C$3</c:f>
              <c:numCache>
                <c:formatCode>General</c:formatCode>
                <c:ptCount val="2"/>
                <c:pt idx="0">
                  <c:v>164.38</c:v>
                </c:pt>
                <c:pt idx="1">
                  <c:v>157.51</c:v>
                </c:pt>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2018</c:v>
                </c:pt>
                <c:pt idx="1">
                  <c:v>2019</c:v>
                </c:pt>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50"/>
        <c:overlap val="0"/>
        <c:axId val="336952375"/>
        <c:axId val="862651335"/>
      </c:barChart>
      <c:catAx>
        <c:axId val="33695237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2651335"/>
        <c:crosses val="autoZero"/>
        <c:auto val="1"/>
        <c:lblAlgn val="ctr"/>
        <c:lblOffset val="100"/>
        <c:noMultiLvlLbl val="0"/>
      </c:catAx>
      <c:valAx>
        <c:axId val="862651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6952375"/>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14b5ca1-c124-4199-9269-2493ee17e7c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delete val="1"/>
          </c:dLbls>
          <c:cat>
            <c:numRef>
              <c:f>Sheet1!$A$2:$A$3</c:f>
              <c:numCache>
                <c:formatCode>General</c:formatCode>
                <c:ptCount val="2"/>
                <c:pt idx="0">
                  <c:v>2018</c:v>
                </c:pt>
                <c:pt idx="1">
                  <c:v>2019</c:v>
                </c:pt>
              </c:numCache>
            </c:numRef>
          </c:cat>
          <c:val>
            <c:numRef>
              <c:f>Sheet1!$B$2:$B$3</c:f>
              <c:numCache>
                <c:formatCode>General</c:formatCode>
                <c:ptCount val="2"/>
                <c:pt idx="0">
                  <c:v>164.38</c:v>
                </c:pt>
                <c:pt idx="1">
                  <c:v>157.51</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numRef>
              <c:f>Sheet1!$A$2:$A$3</c:f>
              <c:numCache>
                <c:formatCode>General</c:formatCode>
                <c:ptCount val="2"/>
                <c:pt idx="0">
                  <c:v>2018</c:v>
                </c:pt>
                <c:pt idx="1">
                  <c:v>2019</c:v>
                </c:pt>
              </c:numCache>
            </c:num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2018</c:v>
                </c:pt>
                <c:pt idx="1">
                  <c:v>2019</c:v>
                </c:pt>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50"/>
        <c:overlap val="0"/>
        <c:axId val="502727512"/>
        <c:axId val="644167408"/>
      </c:barChart>
      <c:catAx>
        <c:axId val="5027275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4167408"/>
        <c:crosses val="autoZero"/>
        <c:auto val="1"/>
        <c:lblAlgn val="ctr"/>
        <c:lblOffset val="100"/>
        <c:noMultiLvlLbl val="0"/>
      </c:catAx>
      <c:valAx>
        <c:axId val="64416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2727512"/>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ea84bc1-fb3f-4a55-9af9-a3b9c6a60a6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Sheet1!$A$1:$G$1</c:f>
              <c:strCache>
                <c:ptCount val="7"/>
                <c:pt idx="0">
                  <c:v> </c:v>
                </c:pt>
                <c:pt idx="1">
                  <c:v>一般公共服务支出</c:v>
                </c:pt>
                <c:pt idx="2">
                  <c:v>教育支出</c:v>
                </c:pt>
                <c:pt idx="3">
                  <c:v>科学技术支出</c:v>
                </c:pt>
                <c:pt idx="4">
                  <c:v>社会保障和就业支出</c:v>
                </c:pt>
                <c:pt idx="5">
                  <c:v>卫生健康支出</c:v>
                </c:pt>
                <c:pt idx="6">
                  <c:v>住房保障支出</c:v>
                </c:pt>
              </c:strCache>
            </c:strRef>
          </c:cat>
          <c:val>
            <c:numRef>
              <c:f>Sheet1!$A$2:$G$2</c:f>
              <c:numCache>
                <c:formatCode>General</c:formatCode>
                <c:ptCount val="7"/>
                <c:pt idx="0">
                  <c:v>0</c:v>
                </c:pt>
                <c:pt idx="1">
                  <c:v>127.42</c:v>
                </c:pt>
                <c:pt idx="2">
                  <c:v>0</c:v>
                </c:pt>
                <c:pt idx="3">
                  <c:v>0</c:v>
                </c:pt>
                <c:pt idx="4">
                  <c:v>10.98</c:v>
                </c:pt>
                <c:pt idx="5">
                  <c:v>7.13</c:v>
                </c:pt>
                <c:pt idx="6">
                  <c:v>11.98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d5b0475-a5e2-4360-b38e-b88270b8003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Sheet1!$A$2</c:f>
              <c:strCache>
                <c:ptCount val="1"/>
                <c:pt idx="0">
                  <c:v>2019年</c:v>
                </c:pt>
              </c:strCache>
            </c:strRef>
          </c:tx>
          <c:spPr>
            <a:solidFill>
              <a:schemeClr val="accent6"/>
            </a:solidFill>
          </c:spPr>
          <c:explosion val="0"/>
          <c:dPt>
            <c:idx val="0"/>
            <c:bubble3D val="0"/>
            <c:spPr>
              <a:solidFill>
                <a:schemeClr val="accent6"/>
              </a:solidFill>
              <a:ln w="19050">
                <a:solidFill>
                  <a:schemeClr val="lt1"/>
                </a:solidFill>
              </a:ln>
              <a:effectLst/>
            </c:spPr>
          </c:dPt>
          <c:dPt>
            <c:idx val="1"/>
            <c:bubble3D val="0"/>
            <c:spPr>
              <a:solidFill>
                <a:schemeClr val="accent6"/>
              </a:solidFill>
              <a:ln w="19050">
                <a:solidFill>
                  <a:schemeClr val="lt1"/>
                </a:solidFill>
              </a:ln>
              <a:effectLst/>
            </c:spPr>
          </c:dPt>
          <c:dPt>
            <c:idx val="2"/>
            <c:bubble3D val="0"/>
            <c:spPr>
              <a:solidFill>
                <a:schemeClr val="accent6"/>
              </a:solidFill>
              <a:ln w="19050">
                <a:solidFill>
                  <a:schemeClr val="lt1"/>
                </a:solidFill>
              </a:ln>
              <a:effectLst/>
            </c:spPr>
          </c:dPt>
          <c:dLbls>
            <c:dLbl>
              <c:idx val="1"/>
              <c:layout/>
              <c:dLblPos val="inEnd"/>
              <c:showLegendKey val="0"/>
              <c:showVal val="0"/>
              <c:showCatName val="0"/>
              <c:showSerName val="0"/>
              <c:showPercent val="1"/>
              <c:showBubbleSize val="0"/>
              <c:extLst>
                <c:ext xmlns:c15="http://schemas.microsoft.com/office/drawing/2012/chart" uri="{CE6537A1-D6FC-4f65-9D91-7224C49458BB}"/>
              </c:extLst>
            </c:dLbl>
            <c:dLbl>
              <c:idx val="2"/>
              <c:layout/>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公务接待费</c:v>
                </c:pt>
                <c:pt idx="1">
                  <c:v>因公出国（境）经费</c:v>
                </c:pt>
                <c:pt idx="2">
                  <c:v>公务用车购置及运行维护费</c:v>
                </c:pt>
              </c:strCache>
            </c:strRef>
          </c:cat>
          <c:val>
            <c:numRef>
              <c:f>Sheet1!$B$2:$D$2</c:f>
              <c:numCache>
                <c:formatCode>General</c:formatCode>
                <c:ptCount val="3"/>
                <c:pt idx="0">
                  <c:v>4.35</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ad85a9c-2744-407f-940a-668c7d158b7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0ACD3-C931-4644-801A-B9EA7D580E3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37</Pages>
  <Words>540</Words>
  <Characters>649</Characters>
  <Lines>7</Lines>
  <Paragraphs>17</Paragraphs>
  <TotalTime>7</TotalTime>
  <ScaleCrop>false</ScaleCrop>
  <LinksUpToDate>false</LinksUpToDate>
  <CharactersWithSpaces>696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南城琉璃月不堪回首1382690704</cp:lastModifiedBy>
  <cp:lastPrinted>2020-09-03T08:58:00Z</cp:lastPrinted>
  <dcterms:modified xsi:type="dcterms:W3CDTF">2026-06-30T01:19:52Z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8665A9EC0FC74BCF8945B29A85F21A00_13</vt:lpwstr>
  </property>
  <property fmtid="{D5CDD505-2E9C-101B-9397-08002B2CF9AE}" pid="4" name="KSOTemplateDocerSaveRecord">
    <vt:lpwstr>eyJoZGlkIjoiNjk0NjExOTgxYmI3MGZmM2NhYjYzNGIyYTljMjY1NjgiLCJ1c2VySWQiOiI2ODIyNDc3In0=</vt:lpwstr>
  </property>
</Properties>
</file>