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A9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 xml:space="preserve">福彩公益金赋能慈善试点 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绘就慈善共富新图景</w:t>
      </w:r>
    </w:p>
    <w:bookmarkEnd w:id="0"/>
    <w:p w14:paraId="135D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66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“扶老助残、救孤济困”是福利彩票发行的初心，也是福彩公益金“取之于民、用之于民”的庄严承诺。得益于省级福彩公益金的精准助力，米易县2025年慈善事业高质量发展省级试点项目顺利实施并取得丰硕成果。自2025年8月启动以来，全县统筹使用120万元省级福彩公益金，创新构建“1+1+2+N”慈善服务体系，不仅营造了浓厚的慈善氛围，更大幅提升了困难群众的幸福指数，真正实现了以小资金撬动大民生。</w:t>
      </w:r>
    </w:p>
    <w:p w14:paraId="327E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强基固本，福彩资金筑牢慈善枢纽。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米易县严格按照福彩公益金使用宗旨，科学规划资金流向。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27.46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万元福彩公益金重点投向基层阵地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氛围营造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不仅升级改造了县级公益慈善服务中心，更在攀莲镇、河西社区、禹王宫社区等地打造“米小善”公益IP和慈善集市，并嵌入养老服务站点。资金的精准投放，不仅提高了建设管理和集中供养的整体水平，更打通了基层慈善服务的“最后一公里”，让资源下沉到了群众家门口。</w:t>
      </w:r>
    </w:p>
    <w:p w14:paraId="0DEE9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精准滴灌，六大行动兜牢民生底线。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围绕“一老一小一困一残”，米易县发挥福彩公益金的“助推器”作用，全面实施“慈善+”专项行动。在康养领域，投入专项资金为100名常住及旅居老人建立健康档案，开展200人次免费中医诊疗，创新推行“时间银行”互助养老；在护童领域，投入20万元覆盖全县33名残障儿童的康复训练，并为500余名困境儿童建立个性化帮扶档案；在救助领域，为低保及特困对象提供心理疏导与居所改善，建设“慈善爱心超市”。这一系列务实举措，不仅改善了特困老人的生活品质，更让特殊群体感受到了社会的温暖与关怀。</w:t>
      </w:r>
    </w:p>
    <w:p w14:paraId="1FB9F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杠杆发力，199.5万元社会资金汇聚大爱。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确保福彩公益金在阳光下运行并发挥最大效益，米易县通过公益创投大赛孵化优质项目。在120万元福彩公益金的杠杆撬动下，当地成功汇聚了199.5万元社会资金，超额完成预期目标。政府搭台、企业助力、群众参与的慈善共富格局初步形成，院内外群众的“幸福账本”正越写越厚，大家对这里的居住环境和管理服务交口称赞，纷纷表示生活得更快乐舒心。</w:t>
      </w:r>
    </w:p>
    <w:p w14:paraId="720E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5253990" cy="3940175"/>
            <wp:effectExtent l="0" t="0" r="3810" b="3175"/>
            <wp:wrapSquare wrapText="bothSides"/>
            <wp:docPr id="4" name="图片 4" descr="e8313cf2946a2ee0075a37a95c0260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313cf2946a2ee0075a37a95c02608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98316"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IMG_3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6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53289598edce6985f96da0db58bc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3289598edce6985f96da0db58bcd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3" name="图片 3" descr="3124e2f4b4ff7a895d5ad304cde814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124e2f4b4ff7a895d5ad304cde814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0F06608-D745-44C2-807D-99353489A16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C0C2452-9542-4018-ADB5-15057ED564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719BB"/>
    <w:rsid w:val="6837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2026-06-09T09:15:00Z</dcterms:created>
  <dc:creator>英雄不问出处</dc:creator>
  <cp:lastModifiedBy>英雄不问出处</cp:lastModifiedBy>
  <dcterms:modified xsi:type="dcterms:W3CDTF">2026-06-09T09:25:01Z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26F77DCE70BB47108AE22C8559C55E9A_11</vt:lpwstr>
  </property>
  <property fmtid="{D5CDD505-2E9C-101B-9397-08002B2CF9AE}" pid="4" name="KSOTemplateDocerSaveRecord">
    <vt:lpwstr>eyJoZGlkIjoiN2MyM2IyNWMyOTY3ZWQ0YjRjZjFmMmUyZmViMjgyYzQiLCJ1c2VySWQiOiI2MjQ5MjI3NTkifQ==</vt:lpwstr>
  </property>
</Properties>
</file>