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B52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/>
        <w:jc w:val="center"/>
        <w:textAlignment w:val="auto"/>
        <w:rPr>
          <w:rFonts w:hint="default" w:eastAsia="方正小标宋简体" w:cs="Times New Roman"/>
          <w:b w:val="0"/>
          <w:bCs/>
          <w:sz w:val="44"/>
          <w:szCs w:val="44"/>
          <w:lang w:eastAsia="zh-CN"/>
        </w:rPr>
      </w:pPr>
      <w:r>
        <w:rPr>
          <w:rFonts w:hint="default" w:eastAsia="方正小标宋简体" w:cs="Times New Roman"/>
          <w:b w:val="0"/>
          <w:bCs/>
          <w:sz w:val="44"/>
          <w:szCs w:val="44"/>
          <w:lang w:eastAsia="zh-CN"/>
        </w:rPr>
        <w:t>202</w:t>
      </w:r>
      <w:r>
        <w:rPr>
          <w:rFonts w:hint="eastAsia" w:eastAsia="方正小标宋简体" w:cs="Times New Roman"/>
          <w:b w:val="0"/>
          <w:bCs/>
          <w:sz w:val="44"/>
          <w:szCs w:val="44"/>
          <w:lang w:val="en-US" w:eastAsia="zh-CN"/>
        </w:rPr>
        <w:t>5</w:t>
      </w:r>
      <w:r>
        <w:rPr>
          <w:rFonts w:hint="default" w:eastAsia="方正小标宋简体" w:cs="Times New Roman"/>
          <w:b w:val="0"/>
          <w:bCs/>
          <w:sz w:val="44"/>
          <w:szCs w:val="44"/>
          <w:lang w:eastAsia="zh-CN"/>
        </w:rPr>
        <w:t>年度中央</w:t>
      </w:r>
      <w:r>
        <w:rPr>
          <w:rFonts w:hint="eastAsia" w:eastAsia="方正小标宋简体" w:cs="Times New Roman"/>
          <w:b w:val="0"/>
          <w:bCs/>
          <w:sz w:val="44"/>
          <w:szCs w:val="44"/>
          <w:lang w:eastAsia="zh-CN"/>
        </w:rPr>
        <w:t>彩票</w:t>
      </w:r>
      <w:r>
        <w:rPr>
          <w:rFonts w:hint="default" w:eastAsia="方正小标宋简体" w:cs="Times New Roman"/>
          <w:b w:val="0"/>
          <w:bCs/>
          <w:sz w:val="44"/>
          <w:szCs w:val="44"/>
          <w:lang w:eastAsia="zh-CN"/>
        </w:rPr>
        <w:t>公益金</w:t>
      </w:r>
    </w:p>
    <w:p w14:paraId="296245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/>
        <w:jc w:val="center"/>
        <w:textAlignment w:val="auto"/>
        <w:rPr>
          <w:rFonts w:hint="default" w:eastAsia="方正小标宋简体" w:cs="Times New Roman"/>
          <w:b w:val="0"/>
          <w:bCs/>
          <w:sz w:val="44"/>
          <w:szCs w:val="44"/>
          <w:lang w:eastAsia="zh-CN"/>
        </w:rPr>
      </w:pPr>
      <w:r>
        <w:rPr>
          <w:rFonts w:hint="eastAsia" w:eastAsia="方正小标宋简体" w:cs="Times New Roman"/>
          <w:b w:val="0"/>
          <w:bCs/>
          <w:sz w:val="44"/>
          <w:szCs w:val="44"/>
          <w:lang w:val="en-US" w:eastAsia="zh-CN"/>
        </w:rPr>
        <w:t>米易县老年人能力综合评估项目</w:t>
      </w:r>
      <w:r>
        <w:rPr>
          <w:rFonts w:hint="default" w:eastAsia="方正小标宋简体" w:cs="Times New Roman"/>
          <w:b w:val="0"/>
          <w:bCs/>
          <w:sz w:val="44"/>
          <w:szCs w:val="44"/>
          <w:lang w:eastAsia="zh-CN"/>
        </w:rPr>
        <w:t>绩效</w:t>
      </w:r>
    </w:p>
    <w:p w14:paraId="571154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/>
        <w:jc w:val="center"/>
        <w:textAlignment w:val="auto"/>
        <w:rPr>
          <w:rFonts w:hint="default" w:eastAsia="方正小标宋简体" w:cs="Times New Roman"/>
          <w:b w:val="0"/>
          <w:bCs/>
          <w:sz w:val="44"/>
          <w:szCs w:val="44"/>
          <w:lang w:eastAsia="zh-CN"/>
        </w:rPr>
      </w:pPr>
      <w:r>
        <w:rPr>
          <w:rFonts w:hint="default" w:eastAsia="方正小标宋简体" w:cs="Times New Roman"/>
          <w:b w:val="0"/>
          <w:bCs/>
          <w:sz w:val="44"/>
          <w:szCs w:val="44"/>
          <w:lang w:eastAsia="zh-CN"/>
        </w:rPr>
        <w:t>自评报告</w:t>
      </w:r>
    </w:p>
    <w:p w14:paraId="2B6FB7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44E1DF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一、绩效目标分解下达情况</w:t>
      </w:r>
    </w:p>
    <w:p w14:paraId="1817EF2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四川省财政厅四川省民政厅关于下达2025年中央和省级财政民政相关补助资金的通知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》（川财社〔202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及《四川省财政厅 四川省民政厅关于下达2025年中央和省级财政民政相关补助资金的通知》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（川财社〔202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精神，下达我县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老年人能力综合评估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项目资金27万元，完成不少于2700名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老年人能力综合评估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14B70E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《米易县民政局关于拨付2025年中央和省级财政养老服务发展专项资金的请示》（米民政〔2026〕7号）向县政府请示，经县政府同意后由县财政核拨资金27万元用于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我县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老年人能力综合评估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。</w:t>
      </w:r>
    </w:p>
    <w:p w14:paraId="1A0165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二、绩效情况分析</w:t>
      </w:r>
    </w:p>
    <w:p w14:paraId="63E86B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（一）资金投入情况分析。</w:t>
      </w:r>
    </w:p>
    <w:p w14:paraId="53450F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880" w:firstLineChars="275"/>
        <w:textAlignment w:val="auto"/>
        <w:rPr>
          <w:rFonts w:hint="eastAsia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 w:bidi="ar-SA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5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 w:bidi="ar-SA"/>
        </w:rPr>
        <w:t>年度中央集中彩票公益金支持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老年人能力综合评估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 w:bidi="ar-SA"/>
        </w:rPr>
        <w:t>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下达我县27万元，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 w:bidi="ar-SA"/>
        </w:rPr>
        <w:t>截至目前，已支付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27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 w:bidi="ar-SA"/>
        </w:rPr>
        <w:t>万元，预算执行进度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100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 w:bidi="ar-SA"/>
        </w:rPr>
        <w:t>%。主要用于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米易县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老年人能力综合评估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。</w:t>
      </w:r>
    </w:p>
    <w:p w14:paraId="71218A55"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资金管理情况分析。</w:t>
      </w:r>
    </w:p>
    <w:p w14:paraId="4A1DA7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outlineLvl w:val="0"/>
        <w:rPr>
          <w:rFonts w:hint="default" w:ascii="仿宋_GB2312" w:hAnsi="仿宋_GB2312" w:eastAsia="仿宋_GB2312" w:cs="仿宋_GB2312"/>
          <w:sz w:val="32"/>
          <w:szCs w:val="32"/>
          <w:lang w:val="zh-CN" w:eastAsia="zh-CN" w:bidi="ar-SA"/>
        </w:rPr>
      </w:pPr>
      <w:r>
        <w:rPr>
          <w:rFonts w:hint="eastAsia"/>
          <w:lang w:eastAsia="zh-CN"/>
        </w:rPr>
        <w:tab/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zh-CN" w:eastAsia="zh-CN" w:bidi="ar-SA"/>
        </w:rPr>
        <w:t>一是</w:t>
      </w:r>
      <w:r>
        <w:rPr>
          <w:rFonts w:hint="default" w:ascii="仿宋_GB2312" w:hAnsi="仿宋_GB2312" w:eastAsia="仿宋_GB2312" w:cs="仿宋_GB2312"/>
          <w:sz w:val="32"/>
          <w:szCs w:val="32"/>
          <w:lang w:val="zh-CN" w:eastAsia="zh-CN" w:bidi="ar-SA"/>
        </w:rPr>
        <w:t>根据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 w:bidi="ar-SA"/>
        </w:rPr>
        <w:t>《四川省民政厅关于印发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 w:bidi="ar-SA"/>
        </w:rPr>
        <w:t>四川省民政厅彩票公益金使用管理办法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〉的通知》</w:t>
      </w:r>
      <w:r>
        <w:rPr>
          <w:rFonts w:hint="default" w:ascii="仿宋_GB2312" w:hAnsi="仿宋_GB2312" w:eastAsia="仿宋_GB2312" w:cs="仿宋_GB2312"/>
          <w:sz w:val="32"/>
          <w:szCs w:val="32"/>
          <w:lang w:val="zh-CN" w:eastAsia="zh-CN" w:bidi="ar-SA"/>
        </w:rPr>
        <w:t>，对彩票公益金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 w:bidi="ar-SA"/>
        </w:rPr>
        <w:t>进行规范管理</w:t>
      </w:r>
      <w:r>
        <w:rPr>
          <w:rFonts w:hint="default" w:ascii="仿宋_GB2312" w:hAnsi="仿宋_GB2312" w:eastAsia="仿宋_GB2312" w:cs="仿宋_GB2312"/>
          <w:sz w:val="32"/>
          <w:szCs w:val="32"/>
          <w:lang w:val="zh-CN" w:eastAsia="zh-CN" w:bidi="ar-SA"/>
        </w:rPr>
        <w:t>。</w:t>
      </w:r>
    </w:p>
    <w:p w14:paraId="2F2C05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outlineLvl w:val="0"/>
        <w:rPr>
          <w:rFonts w:hint="default" w:ascii="仿宋_GB2312" w:hAnsi="仿宋_GB2312" w:eastAsia="仿宋_GB2312" w:cs="仿宋_GB2312"/>
          <w:sz w:val="32"/>
          <w:szCs w:val="32"/>
          <w:lang w:val="zh-CN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zh-CN" w:eastAsia="zh-CN" w:bidi="ar-SA"/>
        </w:rPr>
        <w:t>二是</w:t>
      </w:r>
      <w:r>
        <w:rPr>
          <w:rFonts w:hint="default" w:ascii="仿宋_GB2312" w:hAnsi="仿宋_GB2312" w:eastAsia="仿宋_GB2312" w:cs="仿宋_GB2312"/>
          <w:sz w:val="32"/>
          <w:szCs w:val="32"/>
          <w:lang w:val="zh-CN" w:eastAsia="zh-CN" w:bidi="ar-SA"/>
        </w:rPr>
        <w:t>根据彩票公益金管理相关办法，在收到项目资金时，及时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向县政府请示拨付资金，经县政府同意后由财政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 w:bidi="ar-SA"/>
        </w:rPr>
        <w:t>下达资金指标</w:t>
      </w:r>
      <w:r>
        <w:rPr>
          <w:rFonts w:hint="default" w:ascii="仿宋_GB2312" w:hAnsi="仿宋_GB2312" w:eastAsia="仿宋_GB2312" w:cs="仿宋_GB2312"/>
          <w:sz w:val="32"/>
          <w:szCs w:val="32"/>
          <w:lang w:val="zh-CN" w:eastAsia="zh-CN" w:bidi="ar-SA"/>
        </w:rPr>
        <w:t>。</w:t>
      </w:r>
    </w:p>
    <w:p w14:paraId="1BEF70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zh-CN" w:eastAsia="zh-CN" w:bidi="ar-SA"/>
        </w:rPr>
        <w:t>三是</w:t>
      </w:r>
      <w:r>
        <w:rPr>
          <w:rFonts w:hint="default" w:ascii="仿宋_GB2312" w:hAnsi="仿宋_GB2312" w:eastAsia="仿宋_GB2312" w:cs="仿宋_GB2312"/>
          <w:sz w:val="32"/>
          <w:szCs w:val="32"/>
          <w:lang w:val="zh-CN" w:eastAsia="zh-CN" w:bidi="ar-SA"/>
        </w:rPr>
        <w:t>督促各项目单位建立健全财务管理制度，严格执行财务管理制度，账务处理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 w:bidi="ar-SA"/>
        </w:rPr>
        <w:t>规范及时，会计核算准确，不存在截留、挤占、挪用、虚列支出。</w:t>
      </w:r>
    </w:p>
    <w:p w14:paraId="34E1F09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总体绩效目标完成情况分析。（对照总体目标分析全年实际完成情况</w:t>
      </w:r>
      <w:bookmarkStart w:id="0" w:name="_GoBack"/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bookmarkEnd w:id="0"/>
    </w:p>
    <w:p w14:paraId="432104E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按照彩票公益金“扶老、助残、救孤、济困”的发行宗旨及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四川省财政厅四川省民政厅关于下达2025年中央和省级财政民政相关补助资金的通知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》（川财社〔202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及《四川省财政厅 四川省民政厅关于下达2025年中央和省级财政民政相关补助资金的通知》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（川财社〔202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精神，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坚持福利彩票公益性、必要性、透明性原则，突出支持重点项目，统筹规划原则，下达中央福彩金共27万元，支付27万元，资金支付率100%。</w:t>
      </w:r>
    </w:p>
    <w:p w14:paraId="7D199F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（四）绩效指标完成情况分析。（根据各三级绩效指标值，逐项分析全年实际完成情况）</w:t>
      </w:r>
    </w:p>
    <w:p w14:paraId="09F935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zh-CN" w:eastAsia="zh-CN" w:bidi="ar-SA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zh-CN" w:eastAsia="zh-CN" w:bidi="ar-SA"/>
        </w:rPr>
        <w:t>数量指标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zh-CN" w:eastAsia="zh-CN" w:bidi="ar-SA"/>
        </w:rPr>
        <w:t>。</w:t>
      </w:r>
    </w:p>
    <w:p w14:paraId="7BC2D3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完成不少于2700名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老年人能力综合评估</w:t>
      </w:r>
    </w:p>
    <w:p w14:paraId="317C92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zh-CN" w:eastAsia="zh-CN" w:bidi="ar-SA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zh-CN" w:eastAsia="zh-CN" w:bidi="ar-SA"/>
        </w:rPr>
        <w:t>质量指标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zh-CN" w:eastAsia="zh-CN" w:bidi="ar-SA"/>
        </w:rPr>
        <w:t>。</w:t>
      </w:r>
    </w:p>
    <w:p w14:paraId="4D0127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zh-CN" w:eastAsia="zh-CN"/>
        </w:rPr>
        <w:t xml:space="preserve">验收合格率100%。 </w:t>
      </w:r>
    </w:p>
    <w:p w14:paraId="3BE538E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zh-CN" w:eastAsia="zh-CN" w:bidi="ar-SA"/>
        </w:rPr>
      </w:pP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zh-CN" w:eastAsia="zh-CN" w:bidi="ar-SA"/>
        </w:rPr>
        <w:t>社会效益指标。</w:t>
      </w:r>
    </w:p>
    <w:p w14:paraId="69ED95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zh-CN" w:eastAsia="zh-CN"/>
        </w:rPr>
        <w:t>福彩公益金社会影响力显著增强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。</w:t>
      </w:r>
    </w:p>
    <w:p w14:paraId="1C4B5D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zh-CN" w:eastAsia="zh-CN" w:bidi="ar-SA"/>
        </w:rPr>
      </w:pP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 xml:space="preserve">  4.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zh-CN" w:eastAsia="zh-CN" w:bidi="ar-SA"/>
        </w:rPr>
        <w:t>服务对象满意度指标。</w:t>
      </w:r>
    </w:p>
    <w:p w14:paraId="3E7137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zh-CN" w:eastAsia="zh-CN"/>
        </w:rPr>
        <w:t>接受服务的老年人满意度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≥90%</w:t>
      </w:r>
    </w:p>
    <w:p w14:paraId="762274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三、偏离绩效目标的原因和下一步改进措施</w:t>
      </w:r>
    </w:p>
    <w:p w14:paraId="7030A8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p w14:paraId="445081E7">
      <w:pPr>
        <w:keepNext w:val="0"/>
        <w:keepLines w:val="0"/>
        <w:pageBreakBefore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绩效自评结果拟应用和公开情况</w:t>
      </w:r>
    </w:p>
    <w:p w14:paraId="1BF125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640" w:firstLineChars="200"/>
        <w:textAlignment w:val="auto"/>
        <w:outlineLvl w:val="0"/>
        <w:rPr>
          <w:rFonts w:hint="eastAsia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绩效自评结果主要以《202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年度中央财政福彩公益金转移支付整体绩效目标自评表》、《202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年度福彩公益金使用情况公示表》和《中央财政福彩公益金转移支付202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度绩效自评报告》的形式体现，自评表及自评报告内容完整、权重合理、数据真实、结果客观。将绩效自评结果作为完善政策和改进管理的重要依据，同时加强评价结果的应用，切实提高部门预算绩效管理水平。自评结果将按照要求向上级报送，届时将依照规定在我局官网公示公开，接受社会群众的广泛监督。</w:t>
      </w:r>
    </w:p>
    <w:p w14:paraId="009B35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五、其他需要说明的问题</w:t>
      </w:r>
    </w:p>
    <w:p w14:paraId="349ACF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p w14:paraId="1B07A63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60" w:firstLineChars="200"/>
        <w:textAlignment w:val="auto"/>
        <w:rPr>
          <w:rFonts w:hint="eastAsia"/>
        </w:rPr>
      </w:pPr>
    </w:p>
    <w:p w14:paraId="0C2D44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textAlignment w:val="auto"/>
        <w:rPr>
          <w:rFonts w:hint="eastAsia"/>
        </w:rPr>
      </w:pPr>
    </w:p>
    <w:p w14:paraId="20542DC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6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米易县民政局</w:t>
      </w:r>
    </w:p>
    <w:p w14:paraId="100109B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6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 xml:space="preserve"> 2026年6月3日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00004FF" w:usb2="00000000" w:usb3="00000000" w:csb0="200001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4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9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5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7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6">
    <w:nsid w:val="2F976792"/>
    <w:multiLevelType w:val="singleLevel"/>
    <w:tmpl w:val="2F97679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3C3E731F"/>
    <w:multiLevelType w:val="singleLevel"/>
    <w:tmpl w:val="3C3E731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zMDhjNmNlY2NjOWM5ZTA0NzA5YzUxYzhkNmNkY2YifQ=="/>
  </w:docVars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12D3F5D"/>
    <w:rsid w:val="0C9D1482"/>
    <w:rsid w:val="14E36B5F"/>
    <w:rsid w:val="237F4409"/>
    <w:rsid w:val="2E062A2A"/>
    <w:rsid w:val="41877E30"/>
    <w:rsid w:val="479C65DA"/>
    <w:rsid w:val="68E041DF"/>
    <w:rsid w:val="6BFFAC3F"/>
    <w:rsid w:val="74DA78A1"/>
    <w:rsid w:val="7CE65DF9"/>
    <w:rsid w:val="DBFBE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  <w:ind w:firstLine="420"/>
    </w:pPr>
    <w:rPr>
      <w:rFonts w:ascii="微软雅黑" w:hAnsi="微软雅黑" w:eastAsia="微软雅黑" w:cstheme="minorBidi"/>
      <w:sz w:val="24"/>
      <w:szCs w:val="22"/>
      <w:lang w:val="en-US" w:eastAsia="en-US" w:bidi="ar-SA"/>
    </w:rPr>
  </w:style>
  <w:style w:type="paragraph" w:styleId="4">
    <w:name w:val="heading 1"/>
    <w:basedOn w:val="1"/>
    <w:next w:val="1"/>
    <w:link w:val="139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5">
    <w:name w:val="heading 2"/>
    <w:basedOn w:val="1"/>
    <w:next w:val="1"/>
    <w:link w:val="140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6">
    <w:name w:val="heading 3"/>
    <w:basedOn w:val="1"/>
    <w:next w:val="1"/>
    <w:link w:val="141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4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8">
    <w:name w:val="heading 5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9">
    <w:name w:val="heading 6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10">
    <w:name w:val="heading 7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1">
    <w:name w:val="heading 8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2">
    <w:name w:val="heading 9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3">
    <w:name w:val="Default Paragraph Font"/>
    <w:semiHidden/>
    <w:unhideWhenUsed/>
    <w:qFormat/>
    <w:uiPriority w:val="1"/>
  </w:style>
  <w:style w:type="table" w:default="1" w:styleId="3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公文正文"/>
    <w:basedOn w:val="1"/>
    <w:next w:val="1"/>
    <w:qFormat/>
    <w:uiPriority w:val="0"/>
    <w:pPr>
      <w:spacing w:line="560" w:lineRule="exact"/>
    </w:pPr>
    <w:rPr>
      <w:rFonts w:eastAsia="方正仿宋_GBK"/>
      <w:sz w:val="33"/>
    </w:rPr>
  </w:style>
  <w:style w:type="paragraph" w:styleId="3">
    <w:name w:val="macro"/>
    <w:link w:val="148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3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4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5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7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8">
    <w:name w:val="Body Text 3"/>
    <w:basedOn w:val="1"/>
    <w:link w:val="147"/>
    <w:unhideWhenUsed/>
    <w:qFormat/>
    <w:uiPriority w:val="99"/>
    <w:pPr>
      <w:spacing w:after="120"/>
    </w:pPr>
    <w:rPr>
      <w:sz w:val="16"/>
      <w:szCs w:val="16"/>
    </w:rPr>
  </w:style>
  <w:style w:type="paragraph" w:styleId="19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20">
    <w:name w:val="Body Text"/>
    <w:basedOn w:val="1"/>
    <w:link w:val="145"/>
    <w:unhideWhenUsed/>
    <w:qFormat/>
    <w:uiPriority w:val="99"/>
    <w:pPr>
      <w:spacing w:after="120"/>
    </w:pPr>
  </w:style>
  <w:style w:type="paragraph" w:styleId="21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2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3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4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5">
    <w:name w:val="footer"/>
    <w:basedOn w:val="1"/>
    <w:link w:val="13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head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7">
    <w:name w:val="Subtitle"/>
    <w:basedOn w:val="1"/>
    <w:next w:val="1"/>
    <w:link w:val="143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8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9">
    <w:name w:val="Body Text 2"/>
    <w:basedOn w:val="1"/>
    <w:link w:val="146"/>
    <w:unhideWhenUsed/>
    <w:qFormat/>
    <w:uiPriority w:val="99"/>
    <w:pPr>
      <w:spacing w:after="120" w:line="480" w:lineRule="auto"/>
    </w:pPr>
  </w:style>
  <w:style w:type="paragraph" w:styleId="30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1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2">
    <w:name w:val="Title"/>
    <w:basedOn w:val="1"/>
    <w:next w:val="1"/>
    <w:link w:val="142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4">
    <w:name w:val="Table Grid"/>
    <w:basedOn w:val="3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5">
    <w:name w:val="Light Shading"/>
    <w:basedOn w:val="33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6">
    <w:name w:val="Light Shading Accent 1"/>
    <w:basedOn w:val="33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7">
    <w:name w:val="Light Shading Accent 2"/>
    <w:basedOn w:val="33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8">
    <w:name w:val="Light Shading Accent 3"/>
    <w:basedOn w:val="33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9">
    <w:name w:val="Light Shading Accent 4"/>
    <w:basedOn w:val="33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0">
    <w:name w:val="Light Shading Accent 5"/>
    <w:basedOn w:val="33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1">
    <w:name w:val="Light Shading Accent 6"/>
    <w:basedOn w:val="33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2">
    <w:name w:val="Light List"/>
    <w:basedOn w:val="33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3">
    <w:name w:val="Light List Accent 1"/>
    <w:basedOn w:val="33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4">
    <w:name w:val="Light List Accent 2"/>
    <w:basedOn w:val="33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5">
    <w:name w:val="Light List Accent 3"/>
    <w:basedOn w:val="33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6">
    <w:name w:val="Light List Accent 4"/>
    <w:basedOn w:val="33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7">
    <w:name w:val="Light List Accent 5"/>
    <w:basedOn w:val="33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8">
    <w:name w:val="Light List Accent 6"/>
    <w:basedOn w:val="33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9">
    <w:name w:val="Light Grid"/>
    <w:basedOn w:val="33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0">
    <w:name w:val="Light Grid Accent 1"/>
    <w:basedOn w:val="33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1">
    <w:name w:val="Light Grid Accent 2"/>
    <w:basedOn w:val="33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2">
    <w:name w:val="Light Grid Accent 3"/>
    <w:basedOn w:val="33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3">
    <w:name w:val="Light Grid Accent 4"/>
    <w:basedOn w:val="33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4">
    <w:name w:val="Light Grid Accent 5"/>
    <w:basedOn w:val="33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5">
    <w:name w:val="Light Grid Accent 6"/>
    <w:basedOn w:val="33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6">
    <w:name w:val="Medium Shading 1"/>
    <w:basedOn w:val="33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1"/>
    <w:basedOn w:val="33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2"/>
    <w:basedOn w:val="33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3"/>
    <w:basedOn w:val="33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4"/>
    <w:basedOn w:val="33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5"/>
    <w:basedOn w:val="33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6"/>
    <w:basedOn w:val="33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2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1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2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3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4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5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6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List 1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1">
    <w:name w:val="Medium List 1 Accent 1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2">
    <w:name w:val="Medium List 1 Accent 2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3">
    <w:name w:val="Medium List 1 Accent 3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4">
    <w:name w:val="Medium List 1 Accent 4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5">
    <w:name w:val="Medium List 1 Accent 5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6">
    <w:name w:val="Medium List 1 Accent 6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7">
    <w:name w:val="Medium List 2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1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2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3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4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5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6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Grid 1"/>
    <w:basedOn w:val="33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5">
    <w:name w:val="Medium Grid 1 Accent 1"/>
    <w:basedOn w:val="33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6">
    <w:name w:val="Medium Grid 1 Accent 2"/>
    <w:basedOn w:val="33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7">
    <w:name w:val="Medium Grid 1 Accent 3"/>
    <w:basedOn w:val="33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8">
    <w:name w:val="Medium Grid 1 Accent 4"/>
    <w:basedOn w:val="33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9">
    <w:name w:val="Medium Grid 1 Accent 5"/>
    <w:basedOn w:val="33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0">
    <w:name w:val="Medium Grid 1 Accent 6"/>
    <w:basedOn w:val="33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3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9">
    <w:name w:val="Medium Grid 3 Accent 1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0">
    <w:name w:val="Medium Grid 3 Accent 2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1">
    <w:name w:val="Medium Grid 3 Accent 3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2">
    <w:name w:val="Medium Grid 3 Accent 4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3">
    <w:name w:val="Medium Grid 3 Accent 5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4">
    <w:name w:val="Medium Grid 3 Accent 6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5">
    <w:name w:val="Dark List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6">
    <w:name w:val="Dark List Accent 1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7">
    <w:name w:val="Dark List Accent 2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8">
    <w:name w:val="Dark List Accent 3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9">
    <w:name w:val="Dark List Accent 4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0">
    <w:name w:val="Dark List Accent 5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1">
    <w:name w:val="Dark List Accent 6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2">
    <w:name w:val="Colorful Shading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1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2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3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6">
    <w:name w:val="Colorful Shading Accent 4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5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6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List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0">
    <w:name w:val="Colorful List Accent 1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1">
    <w:name w:val="Colorful List Accent 2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2">
    <w:name w:val="Colorful List Accent 3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3">
    <w:name w:val="Colorful List Accent 4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4">
    <w:name w:val="Colorful List Accent 5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5">
    <w:name w:val="Colorful List Accent 6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6">
    <w:name w:val="Colorful Grid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7">
    <w:name w:val="Colorful Grid Accent 1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8">
    <w:name w:val="Colorful Grid Accent 2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9">
    <w:name w:val="Colorful Grid Accent 3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0">
    <w:name w:val="Colorful Grid Accent 4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1">
    <w:name w:val="Colorful Grid Accent 5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2">
    <w:name w:val="Colorful Grid Accent 6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4">
    <w:name w:val="Strong"/>
    <w:basedOn w:val="133"/>
    <w:qFormat/>
    <w:uiPriority w:val="22"/>
    <w:rPr>
      <w:b/>
      <w:bCs/>
    </w:rPr>
  </w:style>
  <w:style w:type="character" w:styleId="135">
    <w:name w:val="Emphasis"/>
    <w:basedOn w:val="133"/>
    <w:qFormat/>
    <w:uiPriority w:val="20"/>
    <w:rPr>
      <w:i/>
      <w:iCs/>
    </w:rPr>
  </w:style>
  <w:style w:type="character" w:customStyle="1" w:styleId="136">
    <w:name w:val="Header Char"/>
    <w:basedOn w:val="133"/>
    <w:link w:val="26"/>
    <w:qFormat/>
    <w:uiPriority w:val="99"/>
  </w:style>
  <w:style w:type="character" w:customStyle="1" w:styleId="137">
    <w:name w:val="Footer Char"/>
    <w:basedOn w:val="133"/>
    <w:link w:val="25"/>
    <w:qFormat/>
    <w:uiPriority w:val="99"/>
  </w:style>
  <w:style w:type="paragraph" w:styleId="138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9">
    <w:name w:val="Heading 1 Char"/>
    <w:basedOn w:val="133"/>
    <w:link w:val="4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0">
    <w:name w:val="Heading 2 Char"/>
    <w:basedOn w:val="133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1">
    <w:name w:val="Heading 3 Char"/>
    <w:basedOn w:val="133"/>
    <w:link w:val="6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2">
    <w:name w:val="Title Char"/>
    <w:basedOn w:val="133"/>
    <w:link w:val="32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3">
    <w:name w:val="Subtitle Char"/>
    <w:basedOn w:val="133"/>
    <w:link w:val="27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4">
    <w:name w:val="List Paragraph"/>
    <w:basedOn w:val="1"/>
    <w:qFormat/>
    <w:uiPriority w:val="34"/>
    <w:pPr>
      <w:ind w:left="720"/>
      <w:contextualSpacing/>
    </w:pPr>
  </w:style>
  <w:style w:type="character" w:customStyle="1" w:styleId="145">
    <w:name w:val="Body Text Char"/>
    <w:basedOn w:val="133"/>
    <w:link w:val="20"/>
    <w:qFormat/>
    <w:uiPriority w:val="99"/>
  </w:style>
  <w:style w:type="character" w:customStyle="1" w:styleId="146">
    <w:name w:val="Body Text 2 Char"/>
    <w:basedOn w:val="133"/>
    <w:link w:val="29"/>
    <w:qFormat/>
    <w:uiPriority w:val="99"/>
  </w:style>
  <w:style w:type="character" w:customStyle="1" w:styleId="147">
    <w:name w:val="Body Text 3 Char"/>
    <w:basedOn w:val="133"/>
    <w:link w:val="18"/>
    <w:qFormat/>
    <w:uiPriority w:val="99"/>
    <w:rPr>
      <w:sz w:val="16"/>
      <w:szCs w:val="16"/>
    </w:rPr>
  </w:style>
  <w:style w:type="character" w:customStyle="1" w:styleId="148">
    <w:name w:val="Macro Text Char"/>
    <w:basedOn w:val="133"/>
    <w:link w:val="3"/>
    <w:qFormat/>
    <w:uiPriority w:val="99"/>
    <w:rPr>
      <w:rFonts w:ascii="Courier" w:hAnsi="Courier"/>
      <w:sz w:val="20"/>
      <w:szCs w:val="20"/>
    </w:rPr>
  </w:style>
  <w:style w:type="paragraph" w:styleId="149">
    <w:name w:val="Quote"/>
    <w:basedOn w:val="1"/>
    <w:next w:val="1"/>
    <w:link w:val="1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Quote Char"/>
    <w:basedOn w:val="133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1">
    <w:name w:val="Heading 4 Char"/>
    <w:basedOn w:val="133"/>
    <w:link w:val="7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2">
    <w:name w:val="Heading 5 Char"/>
    <w:basedOn w:val="133"/>
    <w:link w:val="8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3">
    <w:name w:val="Heading 6 Char"/>
    <w:basedOn w:val="133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4">
    <w:name w:val="Heading 7 Char"/>
    <w:basedOn w:val="133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Heading 8 Char"/>
    <w:basedOn w:val="133"/>
    <w:link w:val="11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6">
    <w:name w:val="Heading 9 Char"/>
    <w:basedOn w:val="133"/>
    <w:link w:val="12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7">
    <w:name w:val="Intense Quote"/>
    <w:basedOn w:val="1"/>
    <w:next w:val="1"/>
    <w:link w:val="158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Intense Quote Char"/>
    <w:basedOn w:val="133"/>
    <w:link w:val="157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9">
    <w:name w:val="Subtle Emphasis"/>
    <w:basedOn w:val="133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0">
    <w:name w:val="Intense Emphasis"/>
    <w:basedOn w:val="133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Subtle Reference"/>
    <w:basedOn w:val="133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2">
    <w:name w:val="Intense Reference"/>
    <w:basedOn w:val="133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3">
    <w:name w:val="Book Title"/>
    <w:basedOn w:val="133"/>
    <w:qFormat/>
    <w:uiPriority w:val="33"/>
    <w:rPr>
      <w:b/>
      <w:bCs/>
      <w:smallCaps/>
      <w:spacing w:val="5"/>
    </w:rPr>
  </w:style>
  <w:style w:type="paragraph" w:customStyle="1" w:styleId="164">
    <w:name w:val="TOC Heading"/>
    <w:basedOn w:val="4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0ae20138-4b66-4906-b430-09458b91bd47</errorID>
      <errorWord>&lt;</errorWord>
      <group>L1_Format</group>
      <groupName>格式问题</groupName>
      <ability>L2_HalfPunc_CN</ability>
      <abilityName>全半角检查</abilityName>
      <candidateList>
        <item>〈</item>
      </candidateList>
      <explain>文本全半角错误。</explain>
      <paraID>4A1DA7F9</paraID>
      <start>16</start>
      <end>17</end>
      <status>modified</status>
      <modifiedWord>〈</modifiedWord>
      <trackRevisions>false</trackRevisions>
    </reviewItem>
    <reviewItem>
      <errorID>987dba98-2ad0-4e0c-80e0-7587400b80ee</errorID>
      <errorWord>&gt;的通知》</errorWord>
      <group>L1_Punc</group>
      <groupName>标点问题</groupName>
      <ability>L2_Punc_CN</ability>
      <abilityName>标点符号检查</abilityName>
      <candidateList>
        <item>〉的通知》</item>
      </candidateList>
      <explain/>
      <paraID>4A1DA7F9</paraID>
      <start>34</start>
      <end>39</end>
      <status>modified</status>
      <modifiedWord>〉的通知》</modifiedWord>
      <trackRevisions>false</trackRevisions>
    </reviewItem>
    <reviewItem>
      <errorID>314a9fdb-3704-4c74-a36a-aaefaafe3662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34E1F098</paraID>
      <start>33</start>
      <end>34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ea455e9-1247-45bb-8080-0941125cf2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1147</Words>
  <Characters>1226</Characters>
  <Lines>0</Lines>
  <Paragraphs>0</Paragraphs>
  <TotalTime>5</TotalTime>
  <ScaleCrop>false</ScaleCrop>
  <LinksUpToDate>false</LinksUpToDate>
  <CharactersWithSpaces>1331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2013-12-24T15:15:00Z</dcterms:created>
  <dc:creator>python-docx</dc:creator>
  <dc:description>generated by python-docx</dc:description>
  <cp:lastModifiedBy>清静</cp:lastModifiedBy>
  <dcterms:modified xsi:type="dcterms:W3CDTF">2026-06-03T03:11:21Z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eyJoZGlkIjoiOWM0NTQxOTk1NjZkNjQ1YTI2OGFiODBhMmY5OGFlMDEiLCJ1c2VySWQiOiI0NDMyNDgyMDEifQ==</vt:lpwstr>
  </property>
  <property fmtid="{D5CDD505-2E9C-101B-9397-08002B2CF9AE}" pid="3" name="KSOProductBuildVer">
    <vt:lpwstr>2052-12.1.0.26375</vt:lpwstr>
  </property>
  <property fmtid="{D5CDD505-2E9C-101B-9397-08002B2CF9AE}" pid="4" name="ICV">
    <vt:lpwstr>CD9EBCA22CD2452A8DCDF2E4A17BB8FF_12</vt:lpwstr>
  </property>
</Properties>
</file>