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982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jc w:val="center"/>
      </w:pPr>
      <w:r>
        <w:rPr>
          <w:rFonts w:hint="eastAsia" w:ascii="方正小标宋简体" w:hAnsi="方正小标宋简体" w:eastAsia="方正小标宋简体" w:cs="方正小标宋简体"/>
          <w:i w:val="0"/>
          <w:iCs w:val="0"/>
          <w:caps w:val="0"/>
          <w:color w:val="000000"/>
          <w:spacing w:val="0"/>
          <w:sz w:val="44"/>
          <w:szCs w:val="44"/>
          <w:lang w:eastAsia="zh-CN"/>
        </w:rPr>
        <w:t>米易县麻陇彝族乡人民政府</w:t>
      </w:r>
      <w:r>
        <w:rPr>
          <w:rFonts w:ascii="Times New Roman" w:hAnsi="Times New Roman" w:eastAsia="微软雅黑" w:cs="Times New Roman"/>
          <w:i w:val="0"/>
          <w:iCs w:val="0"/>
          <w:caps w:val="0"/>
          <w:color w:val="000000"/>
          <w:spacing w:val="0"/>
          <w:sz w:val="44"/>
          <w:szCs w:val="44"/>
        </w:rPr>
        <w:t>20</w:t>
      </w:r>
      <w:r>
        <w:rPr>
          <w:rFonts w:hint="default" w:ascii="Times New Roman" w:hAnsi="Times New Roman" w:eastAsia="微软雅黑" w:cs="Times New Roman"/>
          <w:i w:val="0"/>
          <w:iCs w:val="0"/>
          <w:caps w:val="0"/>
          <w:color w:val="000000"/>
          <w:spacing w:val="0"/>
          <w:sz w:val="44"/>
          <w:szCs w:val="44"/>
        </w:rPr>
        <w:t>2</w:t>
      </w:r>
      <w:r>
        <w:rPr>
          <w:rFonts w:hint="eastAsia" w:ascii="Times New Roman" w:hAnsi="Times New Roman" w:eastAsia="方正小标宋简体" w:cs="Times New Roman"/>
          <w:i w:val="0"/>
          <w:iCs w:val="0"/>
          <w:caps w:val="0"/>
          <w:color w:val="000000"/>
          <w:spacing w:val="0"/>
          <w:sz w:val="44"/>
          <w:szCs w:val="44"/>
          <w:lang w:val="en-US" w:eastAsia="zh-CN"/>
        </w:rPr>
        <w:t>6</w:t>
      </w:r>
      <w:r>
        <w:rPr>
          <w:rFonts w:hint="default" w:ascii="方正小标宋简体" w:hAnsi="方正小标宋简体" w:eastAsia="方正小标宋简体" w:cs="方正小标宋简体"/>
          <w:i w:val="0"/>
          <w:iCs w:val="0"/>
          <w:caps w:val="0"/>
          <w:color w:val="000000"/>
          <w:spacing w:val="0"/>
          <w:sz w:val="44"/>
          <w:szCs w:val="44"/>
        </w:rPr>
        <w:t>年</w:t>
      </w:r>
    </w:p>
    <w:p w14:paraId="26673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jc w:val="center"/>
      </w:pPr>
      <w:r>
        <w:rPr>
          <w:rFonts w:hint="default" w:ascii="方正小标宋简体" w:hAnsi="方正小标宋简体" w:eastAsia="方正小标宋简体" w:cs="方正小标宋简体"/>
          <w:i w:val="0"/>
          <w:iCs w:val="0"/>
          <w:caps w:val="0"/>
          <w:color w:val="000000"/>
          <w:spacing w:val="0"/>
          <w:sz w:val="44"/>
          <w:szCs w:val="44"/>
        </w:rPr>
        <w:t>部门预算编制说明</w:t>
      </w:r>
    </w:p>
    <w:p w14:paraId="11EFDE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jc w:val="center"/>
      </w:pPr>
    </w:p>
    <w:p w14:paraId="6BDA0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7" w:lineRule="atLeast"/>
        <w:ind w:left="0" w:right="0"/>
      </w:pPr>
    </w:p>
    <w:p w14:paraId="173211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0" w:lineRule="atLeast"/>
        <w:ind w:left="0" w:right="0"/>
        <w:jc w:val="center"/>
      </w:pPr>
      <w:r>
        <w:rPr>
          <w:rFonts w:ascii="黑体" w:hAnsi="宋体" w:eastAsia="黑体" w:cs="黑体"/>
          <w:i w:val="0"/>
          <w:iCs w:val="0"/>
          <w:caps w:val="0"/>
          <w:color w:val="000000"/>
          <w:spacing w:val="0"/>
          <w:sz w:val="32"/>
          <w:szCs w:val="32"/>
        </w:rPr>
        <w:t>目</w:t>
      </w:r>
      <w:r>
        <w:rPr>
          <w:rFonts w:hint="eastAsia" w:ascii="黑体" w:hAnsi="宋体" w:eastAsia="黑体" w:cs="黑体"/>
          <w:i w:val="0"/>
          <w:iCs w:val="0"/>
          <w:caps w:val="0"/>
          <w:color w:val="000000"/>
          <w:spacing w:val="0"/>
          <w:sz w:val="32"/>
          <w:szCs w:val="32"/>
          <w:lang w:val="en-US" w:eastAsia="zh-CN"/>
        </w:rPr>
        <w:t xml:space="preserve"> </w:t>
      </w:r>
      <w:r>
        <w:rPr>
          <w:rFonts w:ascii="黑体" w:hAnsi="宋体" w:eastAsia="黑体" w:cs="黑体"/>
          <w:i w:val="0"/>
          <w:iCs w:val="0"/>
          <w:caps w:val="0"/>
          <w:color w:val="000000"/>
          <w:spacing w:val="0"/>
          <w:sz w:val="32"/>
          <w:szCs w:val="32"/>
        </w:rPr>
        <w:t>录</w:t>
      </w:r>
    </w:p>
    <w:p w14:paraId="17604633">
      <w:pPr>
        <w:pStyle w:val="10"/>
        <w:tabs>
          <w:tab w:val="right" w:leader="dot" w:pos="8306"/>
        </w:tabs>
      </w:pPr>
      <w:r>
        <w:fldChar w:fldCharType="begin"/>
      </w:r>
      <w:r>
        <w:instrText xml:space="preserve">TOC \o "1-2" \h \u </w:instrText>
      </w:r>
      <w:r>
        <w:fldChar w:fldCharType="separate"/>
      </w:r>
      <w:r>
        <w:fldChar w:fldCharType="begin"/>
      </w:r>
      <w:r>
        <w:instrText xml:space="preserve"> HYPERLINK \l _Toc4918 </w:instrText>
      </w:r>
      <w:r>
        <w:fldChar w:fldCharType="separate"/>
      </w:r>
      <w:r>
        <w:rPr>
          <w:rFonts w:hint="default"/>
        </w:rPr>
        <w:t>一、基本职能及主要工作</w:t>
      </w:r>
      <w:r>
        <w:tab/>
      </w:r>
      <w:r>
        <w:fldChar w:fldCharType="begin"/>
      </w:r>
      <w:r>
        <w:instrText xml:space="preserve"> PAGEREF _Toc4918 \h </w:instrText>
      </w:r>
      <w:r>
        <w:fldChar w:fldCharType="separate"/>
      </w:r>
      <w:r>
        <w:t>2</w:t>
      </w:r>
      <w:r>
        <w:fldChar w:fldCharType="end"/>
      </w:r>
      <w:r>
        <w:fldChar w:fldCharType="end"/>
      </w:r>
    </w:p>
    <w:p w14:paraId="6CFD083B">
      <w:pPr>
        <w:pStyle w:val="11"/>
        <w:tabs>
          <w:tab w:val="right" w:leader="dot" w:pos="8306"/>
        </w:tabs>
      </w:pPr>
      <w:r>
        <w:fldChar w:fldCharType="begin"/>
      </w:r>
      <w:r>
        <w:instrText xml:space="preserve"> HYPERLINK \l _Toc31169 </w:instrText>
      </w:r>
      <w:r>
        <w:fldChar w:fldCharType="separate"/>
      </w:r>
      <w:r>
        <w:rPr>
          <w:rFonts w:hint="default"/>
        </w:rPr>
        <w:t>（一）</w:t>
      </w:r>
      <w:r>
        <w:rPr>
          <w:rFonts w:hint="eastAsia"/>
          <w:lang w:eastAsia="zh-CN"/>
        </w:rPr>
        <w:t>米易县麻陇彝族乡人民政府</w:t>
      </w:r>
      <w:r>
        <w:rPr>
          <w:rFonts w:hint="default"/>
        </w:rPr>
        <w:t>职能简介。</w:t>
      </w:r>
      <w:r>
        <w:tab/>
      </w:r>
      <w:r>
        <w:fldChar w:fldCharType="begin"/>
      </w:r>
      <w:r>
        <w:instrText xml:space="preserve"> PAGEREF _Toc31169 \h </w:instrText>
      </w:r>
      <w:r>
        <w:fldChar w:fldCharType="separate"/>
      </w:r>
      <w:r>
        <w:t>2</w:t>
      </w:r>
      <w:r>
        <w:fldChar w:fldCharType="end"/>
      </w:r>
      <w:r>
        <w:fldChar w:fldCharType="end"/>
      </w:r>
    </w:p>
    <w:p w14:paraId="6A6A83B6">
      <w:pPr>
        <w:pStyle w:val="11"/>
        <w:tabs>
          <w:tab w:val="right" w:leader="dot" w:pos="8306"/>
        </w:tabs>
      </w:pPr>
      <w:r>
        <w:fldChar w:fldCharType="begin"/>
      </w:r>
      <w:r>
        <w:instrText xml:space="preserve"> HYPERLINK \l _Toc10039 </w:instrText>
      </w:r>
      <w:r>
        <w:fldChar w:fldCharType="separate"/>
      </w:r>
      <w:r>
        <w:rPr>
          <w:rFonts w:hint="default"/>
        </w:rPr>
        <w:t>（二）</w:t>
      </w:r>
      <w:r>
        <w:rPr>
          <w:rFonts w:hint="eastAsia"/>
          <w:lang w:eastAsia="zh-CN"/>
        </w:rPr>
        <w:t>米易县麻陇彝族乡人民政府</w:t>
      </w:r>
      <w:r>
        <w:rPr>
          <w:rFonts w:hint="default"/>
        </w:rPr>
        <w:t>202</w:t>
      </w:r>
      <w:r>
        <w:rPr>
          <w:rFonts w:hint="eastAsia"/>
          <w:lang w:val="en-US" w:eastAsia="zh-CN"/>
        </w:rPr>
        <w:t>6</w:t>
      </w:r>
      <w:r>
        <w:rPr>
          <w:rFonts w:hint="default"/>
        </w:rPr>
        <w:t>年重点工作。</w:t>
      </w:r>
      <w:r>
        <w:tab/>
      </w:r>
      <w:r>
        <w:fldChar w:fldCharType="begin"/>
      </w:r>
      <w:r>
        <w:instrText xml:space="preserve"> PAGEREF _Toc10039 \h </w:instrText>
      </w:r>
      <w:r>
        <w:fldChar w:fldCharType="separate"/>
      </w:r>
      <w:r>
        <w:t>3</w:t>
      </w:r>
      <w:r>
        <w:fldChar w:fldCharType="end"/>
      </w:r>
      <w:r>
        <w:fldChar w:fldCharType="end"/>
      </w:r>
    </w:p>
    <w:p w14:paraId="60202751">
      <w:pPr>
        <w:pStyle w:val="10"/>
        <w:tabs>
          <w:tab w:val="right" w:leader="dot" w:pos="8306"/>
        </w:tabs>
      </w:pPr>
      <w:r>
        <w:fldChar w:fldCharType="begin"/>
      </w:r>
      <w:r>
        <w:instrText xml:space="preserve"> HYPERLINK \l _Toc10048 </w:instrText>
      </w:r>
      <w:r>
        <w:fldChar w:fldCharType="separate"/>
      </w:r>
      <w:r>
        <w:rPr>
          <w:rFonts w:hint="eastAsia"/>
          <w:lang w:val="en-US" w:eastAsia="zh-CN"/>
        </w:rPr>
        <w:t>二、</w:t>
      </w:r>
      <w:r>
        <w:rPr>
          <w:rFonts w:hint="default"/>
        </w:rPr>
        <w:t>机构设置情况</w:t>
      </w:r>
      <w:r>
        <w:tab/>
      </w:r>
      <w:r>
        <w:fldChar w:fldCharType="begin"/>
      </w:r>
      <w:r>
        <w:instrText xml:space="preserve"> PAGEREF _Toc10048 \h </w:instrText>
      </w:r>
      <w:r>
        <w:fldChar w:fldCharType="separate"/>
      </w:r>
      <w:r>
        <w:t>7</w:t>
      </w:r>
      <w:r>
        <w:fldChar w:fldCharType="end"/>
      </w:r>
      <w:r>
        <w:fldChar w:fldCharType="end"/>
      </w:r>
    </w:p>
    <w:p w14:paraId="211A3687">
      <w:pPr>
        <w:pStyle w:val="10"/>
        <w:tabs>
          <w:tab w:val="right" w:leader="dot" w:pos="8306"/>
        </w:tabs>
      </w:pPr>
      <w:r>
        <w:fldChar w:fldCharType="begin"/>
      </w:r>
      <w:r>
        <w:instrText xml:space="preserve"> HYPERLINK \l _Toc19157 </w:instrText>
      </w:r>
      <w:r>
        <w:fldChar w:fldCharType="separate"/>
      </w:r>
      <w:r>
        <w:rPr>
          <w:rFonts w:hint="default"/>
        </w:rPr>
        <w:t>三、收支预算情况说明</w:t>
      </w:r>
      <w:r>
        <w:tab/>
      </w:r>
      <w:r>
        <w:fldChar w:fldCharType="begin"/>
      </w:r>
      <w:r>
        <w:instrText xml:space="preserve"> PAGEREF _Toc19157 \h </w:instrText>
      </w:r>
      <w:r>
        <w:fldChar w:fldCharType="separate"/>
      </w:r>
      <w:r>
        <w:t>8</w:t>
      </w:r>
      <w:r>
        <w:fldChar w:fldCharType="end"/>
      </w:r>
      <w:r>
        <w:fldChar w:fldCharType="end"/>
      </w:r>
    </w:p>
    <w:p w14:paraId="02C84191">
      <w:pPr>
        <w:pStyle w:val="11"/>
        <w:tabs>
          <w:tab w:val="right" w:leader="dot" w:pos="8306"/>
        </w:tabs>
      </w:pPr>
      <w:r>
        <w:fldChar w:fldCharType="begin"/>
      </w:r>
      <w:r>
        <w:instrText xml:space="preserve"> HYPERLINK \l _Toc32309 </w:instrText>
      </w:r>
      <w:r>
        <w:fldChar w:fldCharType="separate"/>
      </w:r>
      <w:r>
        <w:rPr>
          <w:rFonts w:hint="default"/>
          <w:lang w:val="en-US" w:eastAsia="zh-CN"/>
        </w:rPr>
        <w:t>（一）收入预算情况。</w:t>
      </w:r>
      <w:r>
        <w:tab/>
      </w:r>
      <w:r>
        <w:fldChar w:fldCharType="begin"/>
      </w:r>
      <w:r>
        <w:instrText xml:space="preserve"> PAGEREF _Toc32309 \h </w:instrText>
      </w:r>
      <w:r>
        <w:fldChar w:fldCharType="separate"/>
      </w:r>
      <w:r>
        <w:t>8</w:t>
      </w:r>
      <w:r>
        <w:fldChar w:fldCharType="end"/>
      </w:r>
      <w:r>
        <w:fldChar w:fldCharType="end"/>
      </w:r>
    </w:p>
    <w:p w14:paraId="4F50B99F">
      <w:pPr>
        <w:pStyle w:val="11"/>
        <w:tabs>
          <w:tab w:val="right" w:leader="dot" w:pos="8306"/>
        </w:tabs>
      </w:pPr>
      <w:r>
        <w:fldChar w:fldCharType="begin"/>
      </w:r>
      <w:r>
        <w:instrText xml:space="preserve"> HYPERLINK \l _Toc11819 </w:instrText>
      </w:r>
      <w:r>
        <w:fldChar w:fldCharType="separate"/>
      </w:r>
      <w:r>
        <w:rPr>
          <w:rFonts w:hint="default"/>
        </w:rPr>
        <w:t>（二）支出预算情况。</w:t>
      </w:r>
      <w:r>
        <w:tab/>
      </w:r>
      <w:r>
        <w:fldChar w:fldCharType="begin"/>
      </w:r>
      <w:r>
        <w:instrText xml:space="preserve"> PAGEREF _Toc11819 \h </w:instrText>
      </w:r>
      <w:r>
        <w:fldChar w:fldCharType="separate"/>
      </w:r>
      <w:r>
        <w:t>8</w:t>
      </w:r>
      <w:r>
        <w:fldChar w:fldCharType="end"/>
      </w:r>
      <w:r>
        <w:fldChar w:fldCharType="end"/>
      </w:r>
    </w:p>
    <w:p w14:paraId="21F8E451">
      <w:pPr>
        <w:pStyle w:val="10"/>
        <w:tabs>
          <w:tab w:val="right" w:leader="dot" w:pos="8306"/>
        </w:tabs>
      </w:pPr>
      <w:r>
        <w:fldChar w:fldCharType="begin"/>
      </w:r>
      <w:r>
        <w:instrText xml:space="preserve"> HYPERLINK \l _Toc4795 </w:instrText>
      </w:r>
      <w:r>
        <w:fldChar w:fldCharType="separate"/>
      </w:r>
      <w:r>
        <w:rPr>
          <w:rFonts w:hint="eastAsia"/>
          <w:lang w:val="en-US" w:eastAsia="zh-CN"/>
        </w:rPr>
        <w:t>四、</w:t>
      </w:r>
      <w:r>
        <w:rPr>
          <w:rFonts w:hint="default"/>
        </w:rPr>
        <w:t>财政拨款收支预算情况说明</w:t>
      </w:r>
      <w:r>
        <w:tab/>
      </w:r>
      <w:r>
        <w:fldChar w:fldCharType="begin"/>
      </w:r>
      <w:r>
        <w:instrText xml:space="preserve"> PAGEREF _Toc4795 \h </w:instrText>
      </w:r>
      <w:r>
        <w:fldChar w:fldCharType="separate"/>
      </w:r>
      <w:r>
        <w:t>8</w:t>
      </w:r>
      <w:r>
        <w:fldChar w:fldCharType="end"/>
      </w:r>
      <w:r>
        <w:fldChar w:fldCharType="end"/>
      </w:r>
    </w:p>
    <w:p w14:paraId="112F5BC0">
      <w:pPr>
        <w:pStyle w:val="10"/>
        <w:tabs>
          <w:tab w:val="right" w:leader="dot" w:pos="8306"/>
        </w:tabs>
      </w:pPr>
      <w:r>
        <w:fldChar w:fldCharType="begin"/>
      </w:r>
      <w:r>
        <w:instrText xml:space="preserve"> HYPERLINK \l _Toc20390 </w:instrText>
      </w:r>
      <w:r>
        <w:fldChar w:fldCharType="separate"/>
      </w:r>
      <w:r>
        <w:rPr>
          <w:rFonts w:hint="default"/>
        </w:rPr>
        <w:t>五、一般公共预算当年拨款情况说明</w:t>
      </w:r>
      <w:r>
        <w:tab/>
      </w:r>
      <w:r>
        <w:fldChar w:fldCharType="begin"/>
      </w:r>
      <w:r>
        <w:instrText xml:space="preserve"> PAGEREF _Toc20390 \h </w:instrText>
      </w:r>
      <w:r>
        <w:fldChar w:fldCharType="separate"/>
      </w:r>
      <w:r>
        <w:t>9</w:t>
      </w:r>
      <w:r>
        <w:fldChar w:fldCharType="end"/>
      </w:r>
      <w:r>
        <w:fldChar w:fldCharType="end"/>
      </w:r>
    </w:p>
    <w:p w14:paraId="3D145D9E">
      <w:pPr>
        <w:pStyle w:val="11"/>
        <w:tabs>
          <w:tab w:val="right" w:leader="dot" w:pos="8306"/>
        </w:tabs>
      </w:pPr>
      <w:r>
        <w:fldChar w:fldCharType="begin"/>
      </w:r>
      <w:r>
        <w:instrText xml:space="preserve"> HYPERLINK \l _Toc16705 </w:instrText>
      </w:r>
      <w:r>
        <w:fldChar w:fldCharType="separate"/>
      </w:r>
      <w:r>
        <w:rPr>
          <w:rFonts w:hint="default"/>
        </w:rPr>
        <w:t>（一）一般公共预算当年拨款规模变化情况。</w:t>
      </w:r>
      <w:r>
        <w:tab/>
      </w:r>
      <w:r>
        <w:fldChar w:fldCharType="begin"/>
      </w:r>
      <w:r>
        <w:instrText xml:space="preserve"> PAGEREF _Toc16705 \h </w:instrText>
      </w:r>
      <w:r>
        <w:fldChar w:fldCharType="separate"/>
      </w:r>
      <w:r>
        <w:t>9</w:t>
      </w:r>
      <w:r>
        <w:fldChar w:fldCharType="end"/>
      </w:r>
      <w:r>
        <w:fldChar w:fldCharType="end"/>
      </w:r>
    </w:p>
    <w:p w14:paraId="239698CF">
      <w:pPr>
        <w:pStyle w:val="11"/>
        <w:tabs>
          <w:tab w:val="right" w:leader="dot" w:pos="8306"/>
        </w:tabs>
      </w:pPr>
      <w:r>
        <w:fldChar w:fldCharType="begin"/>
      </w:r>
      <w:r>
        <w:instrText xml:space="preserve"> HYPERLINK \l _Toc31439 </w:instrText>
      </w:r>
      <w:r>
        <w:fldChar w:fldCharType="separate"/>
      </w:r>
      <w:r>
        <w:rPr>
          <w:rFonts w:hint="default"/>
        </w:rPr>
        <w:t>（二）一般公共预算当年拨款结构情况。</w:t>
      </w:r>
      <w:r>
        <w:tab/>
      </w:r>
      <w:r>
        <w:fldChar w:fldCharType="begin"/>
      </w:r>
      <w:r>
        <w:instrText xml:space="preserve"> PAGEREF _Toc31439 \h </w:instrText>
      </w:r>
      <w:r>
        <w:fldChar w:fldCharType="separate"/>
      </w:r>
      <w:r>
        <w:t>9</w:t>
      </w:r>
      <w:r>
        <w:fldChar w:fldCharType="end"/>
      </w:r>
      <w:r>
        <w:fldChar w:fldCharType="end"/>
      </w:r>
    </w:p>
    <w:p w14:paraId="226C87FD">
      <w:pPr>
        <w:pStyle w:val="11"/>
        <w:tabs>
          <w:tab w:val="right" w:leader="dot" w:pos="8306"/>
        </w:tabs>
      </w:pPr>
      <w:r>
        <w:fldChar w:fldCharType="begin"/>
      </w:r>
      <w:r>
        <w:instrText xml:space="preserve"> HYPERLINK \l _Toc19640 </w:instrText>
      </w:r>
      <w:r>
        <w:fldChar w:fldCharType="separate"/>
      </w:r>
      <w:r>
        <w:rPr>
          <w:rFonts w:hint="default"/>
        </w:rPr>
        <w:t>（三）一般公共预算当年拨款具体使用情况。</w:t>
      </w:r>
      <w:r>
        <w:tab/>
      </w:r>
      <w:r>
        <w:fldChar w:fldCharType="begin"/>
      </w:r>
      <w:r>
        <w:instrText xml:space="preserve"> PAGEREF _Toc19640 \h </w:instrText>
      </w:r>
      <w:r>
        <w:fldChar w:fldCharType="separate"/>
      </w:r>
      <w:r>
        <w:t>9</w:t>
      </w:r>
      <w:r>
        <w:fldChar w:fldCharType="end"/>
      </w:r>
      <w:r>
        <w:fldChar w:fldCharType="end"/>
      </w:r>
    </w:p>
    <w:p w14:paraId="76F4232F">
      <w:pPr>
        <w:pStyle w:val="10"/>
        <w:tabs>
          <w:tab w:val="right" w:leader="dot" w:pos="8306"/>
        </w:tabs>
      </w:pPr>
      <w:r>
        <w:fldChar w:fldCharType="begin"/>
      </w:r>
      <w:r>
        <w:instrText xml:space="preserve"> HYPERLINK \l _Toc7728 </w:instrText>
      </w:r>
      <w:r>
        <w:fldChar w:fldCharType="separate"/>
      </w:r>
      <w:r>
        <w:rPr>
          <w:rFonts w:hint="default"/>
        </w:rPr>
        <w:t>六、一般公共预算基本支出情况说明</w:t>
      </w:r>
      <w:r>
        <w:tab/>
      </w:r>
      <w:r>
        <w:fldChar w:fldCharType="begin"/>
      </w:r>
      <w:r>
        <w:instrText xml:space="preserve"> PAGEREF _Toc7728 \h </w:instrText>
      </w:r>
      <w:r>
        <w:fldChar w:fldCharType="separate"/>
      </w:r>
      <w:r>
        <w:t>12</w:t>
      </w:r>
      <w:r>
        <w:fldChar w:fldCharType="end"/>
      </w:r>
      <w:r>
        <w:fldChar w:fldCharType="end"/>
      </w:r>
    </w:p>
    <w:p w14:paraId="4126FCB6">
      <w:pPr>
        <w:pStyle w:val="10"/>
        <w:tabs>
          <w:tab w:val="right" w:leader="dot" w:pos="8306"/>
        </w:tabs>
      </w:pPr>
      <w:r>
        <w:fldChar w:fldCharType="begin"/>
      </w:r>
      <w:r>
        <w:instrText xml:space="preserve"> HYPERLINK \l _Toc19292 </w:instrText>
      </w:r>
      <w:r>
        <w:fldChar w:fldCharType="separate"/>
      </w:r>
      <w:r>
        <w:rPr>
          <w:rFonts w:hint="default"/>
        </w:rPr>
        <w:t>七、“三公”经费财政拨款预算安排情况说明</w:t>
      </w:r>
      <w:r>
        <w:tab/>
      </w:r>
      <w:r>
        <w:fldChar w:fldCharType="begin"/>
      </w:r>
      <w:r>
        <w:instrText xml:space="preserve"> PAGEREF _Toc19292 \h </w:instrText>
      </w:r>
      <w:r>
        <w:fldChar w:fldCharType="separate"/>
      </w:r>
      <w:r>
        <w:t>12</w:t>
      </w:r>
      <w:r>
        <w:fldChar w:fldCharType="end"/>
      </w:r>
      <w:r>
        <w:fldChar w:fldCharType="end"/>
      </w:r>
    </w:p>
    <w:p w14:paraId="338BB7A2">
      <w:pPr>
        <w:pStyle w:val="11"/>
        <w:tabs>
          <w:tab w:val="right" w:leader="dot" w:pos="8306"/>
        </w:tabs>
      </w:pPr>
      <w:r>
        <w:fldChar w:fldCharType="begin"/>
      </w:r>
      <w:r>
        <w:instrText xml:space="preserve"> HYPERLINK \l _Toc14734 </w:instrText>
      </w:r>
      <w:r>
        <w:fldChar w:fldCharType="separate"/>
      </w:r>
      <w:r>
        <w:rPr>
          <w:rFonts w:hint="default"/>
        </w:rPr>
        <w:t>（一）因公出国（境）经费较202</w:t>
      </w:r>
      <w:r>
        <w:rPr>
          <w:rFonts w:hint="eastAsia" w:eastAsia="楷体_GB2312"/>
          <w:lang w:val="en-US" w:eastAsia="zh-CN"/>
        </w:rPr>
        <w:t>5</w:t>
      </w:r>
      <w:r>
        <w:rPr>
          <w:rFonts w:hint="default"/>
        </w:rPr>
        <w:t>年预算算持平。</w:t>
      </w:r>
      <w:r>
        <w:tab/>
      </w:r>
      <w:r>
        <w:fldChar w:fldCharType="begin"/>
      </w:r>
      <w:r>
        <w:instrText xml:space="preserve"> PAGEREF _Toc14734 \h </w:instrText>
      </w:r>
      <w:r>
        <w:fldChar w:fldCharType="separate"/>
      </w:r>
      <w:r>
        <w:t>12</w:t>
      </w:r>
      <w:r>
        <w:fldChar w:fldCharType="end"/>
      </w:r>
      <w:r>
        <w:fldChar w:fldCharType="end"/>
      </w:r>
    </w:p>
    <w:p w14:paraId="34680DE7">
      <w:pPr>
        <w:pStyle w:val="11"/>
        <w:tabs>
          <w:tab w:val="right" w:leader="dot" w:pos="8306"/>
        </w:tabs>
      </w:pPr>
      <w:r>
        <w:fldChar w:fldCharType="begin"/>
      </w:r>
      <w:r>
        <w:instrText xml:space="preserve"> HYPERLINK \l _Toc16008 </w:instrText>
      </w:r>
      <w:r>
        <w:fldChar w:fldCharType="separate"/>
      </w:r>
      <w:r>
        <w:rPr>
          <w:rFonts w:hint="default"/>
        </w:rPr>
        <w:t>（二）公务接待费</w:t>
      </w:r>
      <w:r>
        <w:rPr>
          <w:rFonts w:hint="eastAsia" w:eastAsia="楷体_GB2312"/>
          <w:lang w:val="en-US" w:eastAsia="zh-CN"/>
        </w:rPr>
        <w:t>比</w:t>
      </w:r>
      <w:r>
        <w:rPr>
          <w:rFonts w:hint="default"/>
        </w:rPr>
        <w:t>202</w:t>
      </w:r>
      <w:r>
        <w:rPr>
          <w:rFonts w:hint="eastAsia" w:eastAsia="楷体_GB2312"/>
          <w:lang w:val="en-US" w:eastAsia="zh-CN"/>
        </w:rPr>
        <w:t>5</w:t>
      </w:r>
      <w:r>
        <w:rPr>
          <w:rFonts w:hint="default"/>
        </w:rPr>
        <w:t>年预算</w:t>
      </w:r>
      <w:r>
        <w:rPr>
          <w:rFonts w:hint="eastAsia"/>
          <w:lang w:val="en-US" w:eastAsia="zh-CN"/>
        </w:rPr>
        <w:t>持平</w:t>
      </w:r>
      <w:r>
        <w:rPr>
          <w:rFonts w:hint="default"/>
        </w:rPr>
        <w:t>。</w:t>
      </w:r>
      <w:r>
        <w:tab/>
      </w:r>
      <w:r>
        <w:fldChar w:fldCharType="begin"/>
      </w:r>
      <w:r>
        <w:instrText xml:space="preserve"> PAGEREF _Toc16008 \h </w:instrText>
      </w:r>
      <w:r>
        <w:fldChar w:fldCharType="separate"/>
      </w:r>
      <w:r>
        <w:t>12</w:t>
      </w:r>
      <w:r>
        <w:fldChar w:fldCharType="end"/>
      </w:r>
      <w:r>
        <w:fldChar w:fldCharType="end"/>
      </w:r>
    </w:p>
    <w:p w14:paraId="67558DA5">
      <w:pPr>
        <w:pStyle w:val="11"/>
        <w:tabs>
          <w:tab w:val="right" w:leader="dot" w:pos="8306"/>
        </w:tabs>
      </w:pPr>
      <w:r>
        <w:fldChar w:fldCharType="begin"/>
      </w:r>
      <w:r>
        <w:instrText xml:space="preserve"> HYPERLINK \l _Toc28370 </w:instrText>
      </w:r>
      <w:r>
        <w:fldChar w:fldCharType="separate"/>
      </w:r>
      <w:r>
        <w:rPr>
          <w:rFonts w:hint="default"/>
        </w:rPr>
        <w:t>（三）公务用车购置及运行维护费较202</w:t>
      </w:r>
      <w:r>
        <w:rPr>
          <w:rFonts w:hint="eastAsia" w:eastAsia="楷体_GB2312"/>
          <w:lang w:val="en-US" w:eastAsia="zh-CN"/>
        </w:rPr>
        <w:t>5</w:t>
      </w:r>
      <w:r>
        <w:rPr>
          <w:rFonts w:hint="default"/>
        </w:rPr>
        <w:t>年</w:t>
      </w:r>
      <w:r>
        <w:rPr>
          <w:rFonts w:hint="eastAsia"/>
          <w:lang w:eastAsia="zh-CN"/>
        </w:rPr>
        <w:t>持平。</w:t>
      </w:r>
      <w:r>
        <w:tab/>
      </w:r>
      <w:r>
        <w:fldChar w:fldCharType="begin"/>
      </w:r>
      <w:r>
        <w:instrText xml:space="preserve"> PAGEREF _Toc28370 \h </w:instrText>
      </w:r>
      <w:r>
        <w:fldChar w:fldCharType="separate"/>
      </w:r>
      <w:r>
        <w:t>13</w:t>
      </w:r>
      <w:r>
        <w:fldChar w:fldCharType="end"/>
      </w:r>
      <w:r>
        <w:fldChar w:fldCharType="end"/>
      </w:r>
    </w:p>
    <w:p w14:paraId="26292DA9">
      <w:pPr>
        <w:pStyle w:val="10"/>
        <w:tabs>
          <w:tab w:val="right" w:leader="dot" w:pos="8306"/>
        </w:tabs>
      </w:pPr>
      <w:r>
        <w:fldChar w:fldCharType="begin"/>
      </w:r>
      <w:r>
        <w:instrText xml:space="preserve"> HYPERLINK \l _Toc22141 </w:instrText>
      </w:r>
      <w:r>
        <w:fldChar w:fldCharType="separate"/>
      </w:r>
      <w:r>
        <w:rPr>
          <w:rFonts w:hint="default"/>
        </w:rPr>
        <w:t>八、“三公”经费非财政拨款预算安排情况说明</w:t>
      </w:r>
      <w:r>
        <w:tab/>
      </w:r>
      <w:r>
        <w:fldChar w:fldCharType="begin"/>
      </w:r>
      <w:r>
        <w:instrText xml:space="preserve"> PAGEREF _Toc22141 \h </w:instrText>
      </w:r>
      <w:r>
        <w:fldChar w:fldCharType="separate"/>
      </w:r>
      <w:r>
        <w:t>13</w:t>
      </w:r>
      <w:r>
        <w:fldChar w:fldCharType="end"/>
      </w:r>
      <w:r>
        <w:fldChar w:fldCharType="end"/>
      </w:r>
    </w:p>
    <w:p w14:paraId="106D18CA">
      <w:pPr>
        <w:pStyle w:val="10"/>
        <w:tabs>
          <w:tab w:val="right" w:leader="dot" w:pos="8306"/>
        </w:tabs>
      </w:pPr>
      <w:r>
        <w:fldChar w:fldCharType="begin"/>
      </w:r>
      <w:r>
        <w:instrText xml:space="preserve"> HYPERLINK \l _Toc21331 </w:instrText>
      </w:r>
      <w:r>
        <w:fldChar w:fldCharType="separate"/>
      </w:r>
      <w:r>
        <w:rPr>
          <w:rFonts w:hint="default"/>
        </w:rPr>
        <w:t>九、政府性基金预算支出情况说明</w:t>
      </w:r>
      <w:r>
        <w:tab/>
      </w:r>
      <w:r>
        <w:fldChar w:fldCharType="begin"/>
      </w:r>
      <w:r>
        <w:instrText xml:space="preserve"> PAGEREF _Toc21331 \h </w:instrText>
      </w:r>
      <w:r>
        <w:fldChar w:fldCharType="separate"/>
      </w:r>
      <w:r>
        <w:t>13</w:t>
      </w:r>
      <w:r>
        <w:fldChar w:fldCharType="end"/>
      </w:r>
      <w:r>
        <w:fldChar w:fldCharType="end"/>
      </w:r>
    </w:p>
    <w:p w14:paraId="33E202F4">
      <w:pPr>
        <w:pStyle w:val="10"/>
        <w:tabs>
          <w:tab w:val="right" w:leader="dot" w:pos="8306"/>
        </w:tabs>
      </w:pPr>
      <w:r>
        <w:fldChar w:fldCharType="begin"/>
      </w:r>
      <w:r>
        <w:instrText xml:space="preserve"> HYPERLINK \l _Toc10495 </w:instrText>
      </w:r>
      <w:r>
        <w:fldChar w:fldCharType="separate"/>
      </w:r>
      <w:r>
        <w:rPr>
          <w:rFonts w:hint="default"/>
        </w:rPr>
        <w:t>十、国有资本经营预算情况说明</w:t>
      </w:r>
      <w:r>
        <w:tab/>
      </w:r>
      <w:r>
        <w:fldChar w:fldCharType="begin"/>
      </w:r>
      <w:r>
        <w:instrText xml:space="preserve"> PAGEREF _Toc10495 \h </w:instrText>
      </w:r>
      <w:r>
        <w:fldChar w:fldCharType="separate"/>
      </w:r>
      <w:r>
        <w:t>14</w:t>
      </w:r>
      <w:r>
        <w:fldChar w:fldCharType="end"/>
      </w:r>
      <w:r>
        <w:fldChar w:fldCharType="end"/>
      </w:r>
    </w:p>
    <w:p w14:paraId="2FB66789">
      <w:pPr>
        <w:pStyle w:val="10"/>
        <w:tabs>
          <w:tab w:val="right" w:leader="dot" w:pos="8306"/>
        </w:tabs>
      </w:pPr>
      <w:r>
        <w:fldChar w:fldCharType="begin"/>
      </w:r>
      <w:r>
        <w:instrText xml:space="preserve"> HYPERLINK \l _Toc19555 </w:instrText>
      </w:r>
      <w:r>
        <w:fldChar w:fldCharType="separate"/>
      </w:r>
      <w:r>
        <w:rPr>
          <w:rFonts w:hint="default"/>
        </w:rPr>
        <w:t>十一、其他重要事项的情况说明</w:t>
      </w:r>
      <w:r>
        <w:tab/>
      </w:r>
      <w:r>
        <w:fldChar w:fldCharType="begin"/>
      </w:r>
      <w:r>
        <w:instrText xml:space="preserve"> PAGEREF _Toc19555 \h </w:instrText>
      </w:r>
      <w:r>
        <w:fldChar w:fldCharType="separate"/>
      </w:r>
      <w:r>
        <w:t>14</w:t>
      </w:r>
      <w:r>
        <w:fldChar w:fldCharType="end"/>
      </w:r>
      <w:r>
        <w:fldChar w:fldCharType="end"/>
      </w:r>
    </w:p>
    <w:p w14:paraId="5F5C106E">
      <w:pPr>
        <w:pStyle w:val="11"/>
        <w:tabs>
          <w:tab w:val="right" w:leader="dot" w:pos="8306"/>
        </w:tabs>
      </w:pPr>
      <w:r>
        <w:fldChar w:fldCharType="begin"/>
      </w:r>
      <w:r>
        <w:instrText xml:space="preserve"> HYPERLINK \l _Toc6705 </w:instrText>
      </w:r>
      <w:r>
        <w:fldChar w:fldCharType="separate"/>
      </w:r>
      <w:r>
        <w:rPr>
          <w:rFonts w:hint="default"/>
        </w:rPr>
        <w:t>（一）机关运行经费。</w:t>
      </w:r>
      <w:r>
        <w:tab/>
      </w:r>
      <w:r>
        <w:fldChar w:fldCharType="begin"/>
      </w:r>
      <w:r>
        <w:instrText xml:space="preserve"> PAGEREF _Toc6705 \h </w:instrText>
      </w:r>
      <w:r>
        <w:fldChar w:fldCharType="separate"/>
      </w:r>
      <w:r>
        <w:t>14</w:t>
      </w:r>
      <w:r>
        <w:fldChar w:fldCharType="end"/>
      </w:r>
      <w:r>
        <w:fldChar w:fldCharType="end"/>
      </w:r>
    </w:p>
    <w:p w14:paraId="3DC03097">
      <w:pPr>
        <w:pStyle w:val="11"/>
        <w:tabs>
          <w:tab w:val="right" w:leader="dot" w:pos="8306"/>
        </w:tabs>
      </w:pPr>
      <w:r>
        <w:fldChar w:fldCharType="begin"/>
      </w:r>
      <w:r>
        <w:instrText xml:space="preserve"> HYPERLINK \l _Toc22857 </w:instrText>
      </w:r>
      <w:r>
        <w:fldChar w:fldCharType="separate"/>
      </w:r>
      <w:r>
        <w:rPr>
          <w:rFonts w:hint="default"/>
        </w:rPr>
        <w:t>（二）政府采购情况。</w:t>
      </w:r>
      <w:r>
        <w:tab/>
      </w:r>
      <w:r>
        <w:fldChar w:fldCharType="begin"/>
      </w:r>
      <w:r>
        <w:instrText xml:space="preserve"> PAGEREF _Toc22857 \h </w:instrText>
      </w:r>
      <w:r>
        <w:fldChar w:fldCharType="separate"/>
      </w:r>
      <w:r>
        <w:t>14</w:t>
      </w:r>
      <w:r>
        <w:fldChar w:fldCharType="end"/>
      </w:r>
      <w:r>
        <w:fldChar w:fldCharType="end"/>
      </w:r>
    </w:p>
    <w:p w14:paraId="64BC6BD6">
      <w:pPr>
        <w:pStyle w:val="11"/>
        <w:tabs>
          <w:tab w:val="right" w:leader="dot" w:pos="8306"/>
        </w:tabs>
      </w:pPr>
      <w:r>
        <w:fldChar w:fldCharType="begin"/>
      </w:r>
      <w:r>
        <w:instrText xml:space="preserve"> HYPERLINK \l _Toc28965 </w:instrText>
      </w:r>
      <w:r>
        <w:fldChar w:fldCharType="separate"/>
      </w:r>
      <w:r>
        <w:rPr>
          <w:rFonts w:hint="default"/>
        </w:rPr>
        <w:t>（三）国有资产占有使用情况。</w:t>
      </w:r>
      <w:r>
        <w:tab/>
      </w:r>
      <w:r>
        <w:fldChar w:fldCharType="begin"/>
      </w:r>
      <w:r>
        <w:instrText xml:space="preserve"> PAGEREF _Toc28965 \h </w:instrText>
      </w:r>
      <w:r>
        <w:fldChar w:fldCharType="separate"/>
      </w:r>
      <w:r>
        <w:t>14</w:t>
      </w:r>
      <w:r>
        <w:fldChar w:fldCharType="end"/>
      </w:r>
      <w:r>
        <w:fldChar w:fldCharType="end"/>
      </w:r>
    </w:p>
    <w:p w14:paraId="4380228A">
      <w:pPr>
        <w:pStyle w:val="11"/>
        <w:tabs>
          <w:tab w:val="right" w:leader="dot" w:pos="8306"/>
        </w:tabs>
      </w:pPr>
      <w:r>
        <w:fldChar w:fldCharType="begin"/>
      </w:r>
      <w:r>
        <w:instrText xml:space="preserve"> HYPERLINK \l _Toc32277 </w:instrText>
      </w:r>
      <w:r>
        <w:fldChar w:fldCharType="separate"/>
      </w:r>
      <w:r>
        <w:rPr>
          <w:rFonts w:hint="default"/>
        </w:rPr>
        <w:t>（四）预算绩效情况。</w:t>
      </w:r>
      <w:r>
        <w:tab/>
      </w:r>
      <w:r>
        <w:fldChar w:fldCharType="begin"/>
      </w:r>
      <w:r>
        <w:instrText xml:space="preserve"> PAGEREF _Toc32277 \h </w:instrText>
      </w:r>
      <w:r>
        <w:fldChar w:fldCharType="separate"/>
      </w:r>
      <w:r>
        <w:t>14</w:t>
      </w:r>
      <w:r>
        <w:fldChar w:fldCharType="end"/>
      </w:r>
      <w:r>
        <w:fldChar w:fldCharType="end"/>
      </w:r>
    </w:p>
    <w:p w14:paraId="3E93ED16">
      <w:pPr>
        <w:pStyle w:val="10"/>
        <w:tabs>
          <w:tab w:val="right" w:leader="dot" w:pos="8306"/>
        </w:tabs>
      </w:pPr>
      <w:r>
        <w:fldChar w:fldCharType="begin"/>
      </w:r>
      <w:r>
        <w:instrText xml:space="preserve"> HYPERLINK \l _Toc7660 </w:instrText>
      </w:r>
      <w:r>
        <w:fldChar w:fldCharType="separate"/>
      </w:r>
      <w:r>
        <w:rPr>
          <w:rFonts w:hint="default"/>
        </w:rPr>
        <w:t>十二、名词解释</w:t>
      </w:r>
      <w:r>
        <w:tab/>
      </w:r>
      <w:r>
        <w:fldChar w:fldCharType="begin"/>
      </w:r>
      <w:r>
        <w:instrText xml:space="preserve"> PAGEREF _Toc7660 \h </w:instrText>
      </w:r>
      <w:r>
        <w:fldChar w:fldCharType="separate"/>
      </w:r>
      <w:r>
        <w:t>15</w:t>
      </w:r>
      <w:r>
        <w:fldChar w:fldCharType="end"/>
      </w:r>
      <w:r>
        <w:fldChar w:fldCharType="end"/>
      </w:r>
    </w:p>
    <w:p w14:paraId="76D6DF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0" w:lineRule="atLeast"/>
        <w:ind w:left="0" w:right="0" w:firstLine="640"/>
        <w:jc w:val="center"/>
      </w:pPr>
      <w:r>
        <w:fldChar w:fldCharType="end"/>
      </w:r>
    </w:p>
    <w:sdt>
      <w:sdtPr>
        <w:rPr>
          <w:rFonts w:ascii="宋体" w:hAnsi="宋体" w:eastAsia="宋体" w:cstheme="minorBidi"/>
          <w:kern w:val="2"/>
          <w:sz w:val="21"/>
          <w:szCs w:val="24"/>
          <w:lang w:val="en-US" w:eastAsia="zh-CN" w:bidi="ar-SA"/>
        </w:rPr>
        <w:id w:val="147463764"/>
        <w:showingPlcHdr/>
        <w15:color w:val="DBDBDB"/>
        <w:docPartObj>
          <w:docPartGallery w:val="Table of Contents"/>
          <w:docPartUnique/>
        </w:docPartObj>
      </w:sdtPr>
      <w:sdtEndPr>
        <w:rPr>
          <w:rFonts w:asciiTheme="minorHAnsi" w:hAnsiTheme="minorHAnsi" w:eastAsiaTheme="minorEastAsia" w:cstheme="minorBidi"/>
          <w:kern w:val="0"/>
          <w:sz w:val="24"/>
          <w:szCs w:val="24"/>
          <w:lang w:val="en-US" w:eastAsia="zh-CN" w:bidi="ar"/>
        </w:rPr>
      </w:sdtEndPr>
      <w:sdtContent>
        <w:p w14:paraId="3A3524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7" w:lineRule="atLeast"/>
            <w:ind w:left="0" w:right="0"/>
            <w:rPr>
              <w:rFonts w:asciiTheme="minorHAnsi" w:hAnsiTheme="minorHAnsi" w:eastAsiaTheme="minorEastAsia" w:cstheme="minorBidi"/>
              <w:kern w:val="0"/>
              <w:sz w:val="24"/>
              <w:szCs w:val="24"/>
              <w:lang w:val="en-US" w:eastAsia="zh-CN" w:bidi="ar"/>
            </w:rPr>
          </w:pPr>
          <w:r>
            <w:rPr>
              <w:rFonts w:hint="eastAsia" w:ascii="宋体" w:hAnsi="宋体" w:eastAsia="宋体" w:cstheme="minorBidi"/>
              <w:kern w:val="2"/>
              <w:sz w:val="21"/>
              <w:szCs w:val="24"/>
              <w:lang w:val="en-US" w:eastAsia="zh-CN" w:bidi="ar-SA"/>
            </w:rPr>
            <w:t xml:space="preserve">     </w:t>
          </w:r>
        </w:p>
      </w:sdtContent>
    </w:sdt>
    <w:p w14:paraId="414BDA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7" w:lineRule="atLeast"/>
        <w:ind w:left="0" w:right="0"/>
        <w:rPr>
          <w:rFonts w:asciiTheme="minorHAnsi" w:hAnsiTheme="minorHAnsi" w:eastAsiaTheme="minorEastAsia" w:cstheme="minorBidi"/>
          <w:kern w:val="0"/>
          <w:sz w:val="24"/>
          <w:szCs w:val="24"/>
          <w:lang w:val="en-US" w:eastAsia="zh-CN" w:bidi="ar"/>
        </w:rPr>
      </w:pPr>
    </w:p>
    <w:p w14:paraId="1E62CC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7" w:lineRule="atLeast"/>
        <w:ind w:left="0" w:right="0"/>
      </w:pPr>
    </w:p>
    <w:p w14:paraId="2640B242">
      <w:pPr>
        <w:pStyle w:val="2"/>
        <w:bidi w:val="0"/>
      </w:pPr>
      <w:bookmarkStart w:id="0" w:name="_Toc13626"/>
      <w:bookmarkStart w:id="1" w:name="_Toc859"/>
      <w:bookmarkStart w:id="2" w:name="_Toc27305"/>
      <w:bookmarkStart w:id="3" w:name="_Toc4918"/>
      <w:r>
        <w:rPr>
          <w:rFonts w:hint="default"/>
        </w:rPr>
        <w:t>一、基本职能及主要工作</w:t>
      </w:r>
      <w:bookmarkEnd w:id="0"/>
      <w:bookmarkEnd w:id="1"/>
      <w:bookmarkEnd w:id="2"/>
      <w:bookmarkEnd w:id="3"/>
    </w:p>
    <w:p w14:paraId="43C2ACA0">
      <w:pPr>
        <w:pStyle w:val="4"/>
        <w:bidi w:val="0"/>
      </w:pPr>
      <w:bookmarkStart w:id="4" w:name="_Toc15025"/>
      <w:bookmarkStart w:id="5" w:name="_Toc20898"/>
      <w:bookmarkStart w:id="6" w:name="_Toc31169"/>
      <w:r>
        <w:rPr>
          <w:rFonts w:hint="default"/>
        </w:rPr>
        <w:t>（一）</w:t>
      </w:r>
      <w:r>
        <w:rPr>
          <w:rFonts w:hint="eastAsia"/>
          <w:lang w:eastAsia="zh-CN"/>
        </w:rPr>
        <w:t>米易县麻陇彝族乡人民政府</w:t>
      </w:r>
      <w:r>
        <w:rPr>
          <w:rFonts w:hint="default"/>
        </w:rPr>
        <w:t>职能简介。</w:t>
      </w:r>
      <w:bookmarkEnd w:id="4"/>
      <w:bookmarkEnd w:id="5"/>
      <w:bookmarkEnd w:id="6"/>
    </w:p>
    <w:p w14:paraId="68D8D5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一是</w:t>
      </w:r>
      <w:r>
        <w:rPr>
          <w:rFonts w:hint="eastAsia" w:ascii="仿宋_GB2312" w:eastAsia="仿宋_GB2312"/>
          <w:sz w:val="32"/>
          <w:szCs w:val="32"/>
        </w:rPr>
        <w:t>贯彻执行党和国家的各项方针、政策、法律、法规，以及上级行政机关和本乡党委、乡人代会的决议、决定。</w:t>
      </w:r>
    </w:p>
    <w:p w14:paraId="02E488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二是</w:t>
      </w:r>
      <w:r>
        <w:rPr>
          <w:rFonts w:hint="eastAsia" w:ascii="仿宋_GB2312" w:eastAsia="仿宋_GB2312"/>
          <w:sz w:val="32"/>
          <w:szCs w:val="32"/>
        </w:rPr>
        <w:t>制定并执行本行政区域内经济和社会发展规划、计划。</w:t>
      </w:r>
    </w:p>
    <w:p w14:paraId="1BB88E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三是</w:t>
      </w:r>
      <w:r>
        <w:rPr>
          <w:rFonts w:hint="eastAsia" w:ascii="仿宋_GB2312" w:eastAsia="仿宋_GB2312"/>
          <w:sz w:val="32"/>
          <w:szCs w:val="32"/>
        </w:rPr>
        <w:t>负责乡村振兴、新农村建设</w:t>
      </w:r>
      <w:r>
        <w:rPr>
          <w:rFonts w:hint="eastAsia" w:ascii="仿宋_GB2312" w:eastAsia="仿宋_GB2312"/>
          <w:sz w:val="32"/>
          <w:szCs w:val="32"/>
          <w:lang w:eastAsia="zh-CN"/>
        </w:rPr>
        <w:t>等工作</w:t>
      </w:r>
      <w:r>
        <w:rPr>
          <w:rFonts w:hint="eastAsia" w:ascii="仿宋_GB2312" w:eastAsia="仿宋_GB2312"/>
          <w:sz w:val="32"/>
          <w:szCs w:val="32"/>
        </w:rPr>
        <w:t>的组织和实施。</w:t>
      </w:r>
    </w:p>
    <w:p w14:paraId="284BBD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四是</w:t>
      </w:r>
      <w:r>
        <w:rPr>
          <w:rFonts w:hint="eastAsia" w:ascii="仿宋_GB2312" w:eastAsia="仿宋_GB2312"/>
          <w:sz w:val="32"/>
          <w:szCs w:val="32"/>
        </w:rPr>
        <w:t>负责辖区经济、文化、教育、科技、卫生健康、民政、社会保障、民族宗教、村镇建设、司法、退役军人、扶贫、安全、统计等行政管理和服务工作</w:t>
      </w:r>
      <w:r>
        <w:rPr>
          <w:rFonts w:hint="eastAsia" w:ascii="仿宋_GB2312" w:eastAsia="仿宋_GB2312"/>
          <w:sz w:val="32"/>
          <w:szCs w:val="32"/>
          <w:lang w:eastAsia="zh-CN"/>
        </w:rPr>
        <w:t>。</w:t>
      </w:r>
    </w:p>
    <w:p w14:paraId="3153FA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五是</w:t>
      </w:r>
      <w:r>
        <w:rPr>
          <w:rFonts w:hint="eastAsia" w:ascii="仿宋_GB2312" w:eastAsia="仿宋_GB2312"/>
          <w:sz w:val="32"/>
          <w:szCs w:val="32"/>
        </w:rPr>
        <w:t>负责农业产业结构调整和“三农”服务工作</w:t>
      </w:r>
      <w:r>
        <w:rPr>
          <w:rFonts w:hint="eastAsia" w:ascii="仿宋_GB2312" w:eastAsia="仿宋_GB2312"/>
          <w:sz w:val="32"/>
          <w:szCs w:val="32"/>
          <w:lang w:eastAsia="zh-CN"/>
        </w:rPr>
        <w:t>。</w:t>
      </w:r>
    </w:p>
    <w:p w14:paraId="30E2EC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六是</w:t>
      </w:r>
      <w:r>
        <w:rPr>
          <w:rFonts w:hint="eastAsia" w:ascii="仿宋_GB2312" w:eastAsia="仿宋_GB2312"/>
          <w:sz w:val="32"/>
          <w:szCs w:val="32"/>
        </w:rPr>
        <w:t>建立健全社会治安综合防范体系，开展爱国卫生、环境卫生监督检查，环境、资源保护等工作，促进人与自然和谐发展。</w:t>
      </w:r>
    </w:p>
    <w:p w14:paraId="4ADA78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七是</w:t>
      </w:r>
      <w:r>
        <w:rPr>
          <w:rFonts w:hint="eastAsia" w:ascii="仿宋_GB2312" w:eastAsia="仿宋_GB2312"/>
          <w:sz w:val="32"/>
          <w:szCs w:val="32"/>
        </w:rPr>
        <w:t>负责应急管理抢险救灾工作，保护人民生命财产安全。</w:t>
      </w:r>
    </w:p>
    <w:p w14:paraId="2411D4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八是</w:t>
      </w:r>
      <w:r>
        <w:rPr>
          <w:rFonts w:hint="eastAsia" w:ascii="仿宋_GB2312" w:eastAsia="仿宋_GB2312"/>
          <w:sz w:val="32"/>
          <w:szCs w:val="32"/>
        </w:rPr>
        <w:t>完成上级党委、政府交办的其他工作。</w:t>
      </w:r>
    </w:p>
    <w:p w14:paraId="27202CD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九是</w:t>
      </w:r>
      <w:r>
        <w:rPr>
          <w:rFonts w:hint="eastAsia" w:ascii="仿宋_GB2312" w:eastAsia="仿宋_GB2312"/>
          <w:sz w:val="32"/>
          <w:szCs w:val="32"/>
        </w:rPr>
        <w:t>乡</w:t>
      </w:r>
      <w:r>
        <w:rPr>
          <w:rFonts w:hint="eastAsia" w:ascii="仿宋_GB2312" w:eastAsia="仿宋_GB2312"/>
          <w:sz w:val="32"/>
          <w:szCs w:val="32"/>
          <w:lang w:eastAsia="zh-CN"/>
        </w:rPr>
        <w:t>人</w:t>
      </w:r>
      <w:r>
        <w:rPr>
          <w:rFonts w:hint="eastAsia" w:ascii="仿宋_GB2312" w:eastAsia="仿宋_GB2312"/>
          <w:sz w:val="32"/>
          <w:szCs w:val="32"/>
        </w:rPr>
        <w:t>大主席团、纪委、</w:t>
      </w:r>
      <w:r>
        <w:rPr>
          <w:rFonts w:hint="eastAsia" w:ascii="仿宋_GB2312" w:eastAsia="仿宋_GB2312"/>
          <w:sz w:val="32"/>
          <w:szCs w:val="32"/>
          <w:lang w:eastAsia="zh-CN"/>
        </w:rPr>
        <w:t>武装部</w:t>
      </w:r>
      <w:r>
        <w:rPr>
          <w:rFonts w:hint="eastAsia" w:ascii="仿宋_GB2312" w:eastAsia="仿宋_GB2312"/>
          <w:sz w:val="32"/>
          <w:szCs w:val="32"/>
        </w:rPr>
        <w:t>按有关规定设置并履行相应职责，乡工会、共青团和妇联按有关章程设置并履行相应职责。</w:t>
      </w:r>
    </w:p>
    <w:p w14:paraId="6B5936E4">
      <w:pPr>
        <w:pStyle w:val="4"/>
        <w:bidi w:val="0"/>
      </w:pPr>
      <w:bookmarkStart w:id="7" w:name="_Toc11003"/>
      <w:bookmarkStart w:id="8" w:name="_Toc9158"/>
      <w:bookmarkStart w:id="9" w:name="_Toc10039"/>
      <w:r>
        <w:rPr>
          <w:rFonts w:hint="default"/>
        </w:rPr>
        <w:t>（二）</w:t>
      </w:r>
      <w:r>
        <w:rPr>
          <w:rFonts w:hint="eastAsia"/>
          <w:lang w:eastAsia="zh-CN"/>
        </w:rPr>
        <w:t>米易县麻陇彝族乡人民政府</w:t>
      </w:r>
      <w:r>
        <w:rPr>
          <w:rFonts w:hint="default"/>
        </w:rPr>
        <w:t>202</w:t>
      </w:r>
      <w:r>
        <w:rPr>
          <w:rFonts w:hint="eastAsia"/>
          <w:lang w:val="en-US" w:eastAsia="zh-CN"/>
        </w:rPr>
        <w:t>6</w:t>
      </w:r>
      <w:r>
        <w:rPr>
          <w:rFonts w:hint="default"/>
        </w:rPr>
        <w:t>年重点工作。</w:t>
      </w:r>
      <w:bookmarkEnd w:id="7"/>
      <w:bookmarkEnd w:id="8"/>
      <w:bookmarkEnd w:id="9"/>
    </w:p>
    <w:p w14:paraId="78C1AB39">
      <w:pPr>
        <w:keepNext w:val="0"/>
        <w:keepLines w:val="0"/>
        <w:pageBreakBefore w:val="0"/>
        <w:kinsoku/>
        <w:wordWrap/>
        <w:overflowPunct/>
        <w:topLinePunct w:val="0"/>
        <w:autoSpaceDE/>
        <w:autoSpaceDN/>
        <w:bidi w:val="0"/>
        <w:spacing w:line="560" w:lineRule="exact"/>
        <w:ind w:firstLine="660" w:firstLineChars="200"/>
        <w:jc w:val="left"/>
        <w:textAlignment w:val="auto"/>
        <w:rPr>
          <w:rFonts w:hint="eastAsia" w:ascii="仿宋_GB2312" w:hAnsi="仿宋_GB2312" w:eastAsia="仿宋_GB2312" w:cs="仿宋_GB2312"/>
          <w:color w:val="auto"/>
          <w:sz w:val="33"/>
          <w:szCs w:val="33"/>
        </w:rPr>
      </w:pPr>
      <w:r>
        <w:rPr>
          <w:rFonts w:hint="eastAsia" w:ascii="Times New Roman" w:hAnsi="Times New Roman" w:eastAsia="仿宋_GB2312" w:cs="Times New Roman"/>
          <w:color w:val="auto"/>
          <w:sz w:val="33"/>
          <w:szCs w:val="33"/>
        </w:rPr>
        <w:t>202</w:t>
      </w:r>
      <w:r>
        <w:rPr>
          <w:rFonts w:hint="eastAsia" w:ascii="Times New Roman" w:hAnsi="Times New Roman" w:eastAsia="仿宋_GB2312" w:cs="Times New Roman"/>
          <w:color w:val="auto"/>
          <w:sz w:val="33"/>
          <w:szCs w:val="33"/>
          <w:lang w:val="en-US" w:eastAsia="zh-CN"/>
        </w:rPr>
        <w:t>6</w:t>
      </w:r>
      <w:r>
        <w:rPr>
          <w:rFonts w:hint="eastAsia" w:ascii="仿宋_GB2312" w:hAnsi="仿宋_GB2312" w:eastAsia="仿宋_GB2312" w:cs="仿宋_GB2312"/>
          <w:color w:val="auto"/>
          <w:sz w:val="33"/>
          <w:szCs w:val="33"/>
        </w:rPr>
        <w:t>年政府工作的总体要求是：坚持以习近平新时代中国特色社会主义思想为指导，全面贯彻落实党的二十大精神和省、市、县全会精神，坚定落实省委“四化同步、城乡融合、五区共兴”</w:t>
      </w:r>
      <w:r>
        <w:rPr>
          <w:rFonts w:hint="eastAsia" w:ascii="仿宋_GB2312" w:hAnsi="仿宋_GB2312" w:eastAsia="仿宋_GB2312" w:cs="仿宋_GB2312"/>
          <w:color w:val="auto"/>
          <w:sz w:val="33"/>
          <w:szCs w:val="33"/>
          <w:lang w:eastAsia="zh-CN"/>
        </w:rPr>
        <w:t>的发展战略</w:t>
      </w:r>
      <w:r>
        <w:rPr>
          <w:rFonts w:hint="eastAsia" w:ascii="仿宋_GB2312" w:hAnsi="仿宋_GB2312" w:eastAsia="仿宋_GB2312" w:cs="仿宋_GB2312"/>
          <w:color w:val="auto"/>
          <w:sz w:val="33"/>
          <w:szCs w:val="33"/>
        </w:rPr>
        <w:t>和市委</w:t>
      </w:r>
      <w:r>
        <w:rPr>
          <w:rFonts w:hint="eastAsia" w:ascii="仿宋_GB2312" w:hAnsi="仿宋_GB2312" w:eastAsia="仿宋_GB2312" w:cs="仿宋_GB2312"/>
          <w:color w:val="auto"/>
          <w:sz w:val="33"/>
          <w:szCs w:val="33"/>
          <w:lang w:eastAsia="zh-CN"/>
        </w:rPr>
        <w:t>、市政府</w:t>
      </w:r>
      <w:r>
        <w:rPr>
          <w:rFonts w:hint="eastAsia" w:ascii="仿宋_GB2312" w:hAnsi="仿宋_GB2312" w:eastAsia="仿宋_GB2312" w:cs="仿宋_GB2312"/>
          <w:color w:val="auto"/>
          <w:sz w:val="33"/>
          <w:szCs w:val="33"/>
          <w:lang w:val="en-US" w:eastAsia="zh-CN"/>
        </w:rPr>
        <w:t>“一三三三”总体发展战略、</w:t>
      </w:r>
      <w:r>
        <w:rPr>
          <w:rFonts w:hint="eastAsia" w:ascii="仿宋_GB2312" w:hAnsi="仿宋_GB2312" w:eastAsia="仿宋_GB2312" w:cs="仿宋_GB2312"/>
          <w:color w:val="auto"/>
          <w:sz w:val="33"/>
          <w:szCs w:val="33"/>
        </w:rPr>
        <w:t>“</w:t>
      </w:r>
      <w:r>
        <w:rPr>
          <w:rFonts w:hint="eastAsia" w:ascii="仿宋_GB2312" w:hAnsi="仿宋_GB2312" w:eastAsia="仿宋_GB2312" w:cs="仿宋_GB2312"/>
          <w:color w:val="auto"/>
          <w:sz w:val="33"/>
          <w:szCs w:val="33"/>
          <w:lang w:eastAsia="zh-CN"/>
        </w:rPr>
        <w:t>大抓落实年</w:t>
      </w:r>
      <w:r>
        <w:rPr>
          <w:rFonts w:hint="eastAsia" w:ascii="仿宋_GB2312" w:hAnsi="仿宋_GB2312" w:eastAsia="仿宋_GB2312" w:cs="仿宋_GB2312"/>
          <w:color w:val="auto"/>
          <w:sz w:val="33"/>
          <w:szCs w:val="33"/>
        </w:rPr>
        <w:t>”部署</w:t>
      </w:r>
      <w:r>
        <w:rPr>
          <w:rFonts w:hint="eastAsia" w:ascii="仿宋_GB2312" w:hAnsi="仿宋_GB2312" w:eastAsia="仿宋_GB2312" w:cs="仿宋_GB2312"/>
          <w:color w:val="auto"/>
          <w:sz w:val="33"/>
          <w:szCs w:val="33"/>
          <w:lang w:eastAsia="zh-CN"/>
        </w:rPr>
        <w:t>要求</w:t>
      </w:r>
      <w:r>
        <w:rPr>
          <w:rFonts w:hint="eastAsia" w:ascii="仿宋_GB2312" w:hAnsi="仿宋_GB2312" w:eastAsia="仿宋_GB2312" w:cs="仿宋_GB2312"/>
          <w:color w:val="auto"/>
          <w:sz w:val="33"/>
          <w:szCs w:val="33"/>
        </w:rPr>
        <w:t>，紧紧围绕县委</w:t>
      </w:r>
      <w:r>
        <w:rPr>
          <w:rFonts w:hint="eastAsia" w:ascii="仿宋_GB2312" w:hAnsi="仿宋_GB2312" w:eastAsia="仿宋_GB2312" w:cs="仿宋_GB2312"/>
          <w:color w:val="auto"/>
          <w:sz w:val="33"/>
          <w:szCs w:val="33"/>
          <w:lang w:eastAsia="zh-CN"/>
        </w:rPr>
        <w:t>建设</w:t>
      </w:r>
      <w:r>
        <w:rPr>
          <w:rFonts w:hint="eastAsia" w:ascii="仿宋_GB2312" w:hAnsi="仿宋_GB2312" w:eastAsia="仿宋_GB2312" w:cs="仿宋_GB2312"/>
          <w:color w:val="auto"/>
          <w:sz w:val="33"/>
          <w:szCs w:val="33"/>
        </w:rPr>
        <w:t>“</w:t>
      </w:r>
      <w:r>
        <w:rPr>
          <w:rFonts w:hint="eastAsia" w:ascii="仿宋_GB2312" w:hAnsi="仿宋_GB2312" w:eastAsia="仿宋_GB2312" w:cs="仿宋_GB2312"/>
          <w:color w:val="auto"/>
          <w:sz w:val="33"/>
          <w:szCs w:val="33"/>
          <w:lang w:eastAsia="zh-CN"/>
        </w:rPr>
        <w:t>产业强</w:t>
      </w:r>
      <w:r>
        <w:rPr>
          <w:rFonts w:hint="eastAsia" w:ascii="仿宋_GB2312" w:hAnsi="仿宋_GB2312" w:eastAsia="仿宋_GB2312" w:cs="仿宋_GB2312"/>
          <w:color w:val="auto"/>
          <w:sz w:val="33"/>
          <w:szCs w:val="33"/>
        </w:rPr>
        <w:t>、</w:t>
      </w:r>
      <w:r>
        <w:rPr>
          <w:rFonts w:hint="eastAsia" w:ascii="仿宋_GB2312" w:hAnsi="仿宋_GB2312" w:eastAsia="仿宋_GB2312" w:cs="仿宋_GB2312"/>
          <w:color w:val="auto"/>
          <w:sz w:val="33"/>
          <w:szCs w:val="33"/>
          <w:lang w:eastAsia="zh-CN"/>
        </w:rPr>
        <w:t>生态优</w:t>
      </w:r>
      <w:r>
        <w:rPr>
          <w:rFonts w:hint="eastAsia" w:ascii="仿宋_GB2312" w:hAnsi="仿宋_GB2312" w:eastAsia="仿宋_GB2312" w:cs="仿宋_GB2312"/>
          <w:color w:val="auto"/>
          <w:sz w:val="33"/>
          <w:szCs w:val="33"/>
        </w:rPr>
        <w:t>、</w:t>
      </w:r>
      <w:r>
        <w:rPr>
          <w:rFonts w:hint="eastAsia" w:ascii="仿宋_GB2312" w:hAnsi="仿宋_GB2312" w:eastAsia="仿宋_GB2312" w:cs="仿宋_GB2312"/>
          <w:color w:val="auto"/>
          <w:sz w:val="33"/>
          <w:szCs w:val="33"/>
          <w:lang w:eastAsia="zh-CN"/>
        </w:rPr>
        <w:t>人文美</w:t>
      </w:r>
      <w:r>
        <w:rPr>
          <w:rFonts w:hint="eastAsia" w:ascii="仿宋_GB2312" w:hAnsi="仿宋_GB2312" w:eastAsia="仿宋_GB2312" w:cs="仿宋_GB2312"/>
          <w:color w:val="auto"/>
          <w:sz w:val="33"/>
          <w:szCs w:val="33"/>
        </w:rPr>
        <w:t>”的</w:t>
      </w:r>
      <w:r>
        <w:rPr>
          <w:rFonts w:hint="eastAsia" w:ascii="仿宋_GB2312" w:hAnsi="仿宋_GB2312" w:eastAsia="仿宋_GB2312" w:cs="仿宋_GB2312"/>
          <w:color w:val="auto"/>
          <w:sz w:val="33"/>
          <w:szCs w:val="33"/>
          <w:lang w:eastAsia="zh-CN"/>
        </w:rPr>
        <w:t>社会主义现代化米易</w:t>
      </w:r>
      <w:r>
        <w:rPr>
          <w:rFonts w:hint="eastAsia" w:ascii="仿宋_GB2312" w:hAnsi="仿宋_GB2312" w:eastAsia="仿宋_GB2312" w:cs="仿宋_GB2312"/>
          <w:color w:val="auto"/>
          <w:sz w:val="33"/>
          <w:szCs w:val="33"/>
        </w:rPr>
        <w:t>总思路，紧跟全县</w:t>
      </w:r>
      <w:r>
        <w:rPr>
          <w:rFonts w:hint="eastAsia" w:ascii="仿宋_GB2312" w:hAnsi="仿宋_GB2312" w:eastAsia="仿宋_GB2312" w:cs="仿宋_GB2312"/>
          <w:color w:val="auto"/>
          <w:sz w:val="33"/>
          <w:szCs w:val="33"/>
          <w:lang w:eastAsia="zh-CN"/>
        </w:rPr>
        <w:t>建设高质量发展共同富裕试验区</w:t>
      </w:r>
      <w:r>
        <w:rPr>
          <w:rFonts w:hint="eastAsia" w:ascii="仿宋_GB2312" w:hAnsi="仿宋_GB2312" w:eastAsia="仿宋_GB2312" w:cs="仿宋_GB2312"/>
          <w:color w:val="auto"/>
          <w:sz w:val="33"/>
          <w:szCs w:val="33"/>
        </w:rPr>
        <w:t>发展</w:t>
      </w:r>
      <w:r>
        <w:rPr>
          <w:rFonts w:hint="eastAsia" w:ascii="仿宋_GB2312" w:hAnsi="仿宋_GB2312" w:eastAsia="仿宋_GB2312" w:cs="仿宋_GB2312"/>
          <w:color w:val="auto"/>
          <w:sz w:val="33"/>
          <w:szCs w:val="33"/>
          <w:lang w:eastAsia="zh-CN"/>
        </w:rPr>
        <w:t>战略</w:t>
      </w:r>
      <w:r>
        <w:rPr>
          <w:rFonts w:hint="eastAsia" w:ascii="仿宋_GB2312" w:hAnsi="仿宋_GB2312" w:eastAsia="仿宋_GB2312" w:cs="仿宋_GB2312"/>
          <w:color w:val="auto"/>
          <w:sz w:val="33"/>
          <w:szCs w:val="33"/>
        </w:rPr>
        <w:t>，主动作为、拼搏进取、砥砺奋进，不断提高</w:t>
      </w:r>
      <w:r>
        <w:rPr>
          <w:rFonts w:hint="eastAsia" w:ascii="仿宋_GB2312" w:hAnsi="仿宋_GB2312" w:eastAsia="仿宋_GB2312" w:cs="仿宋_GB2312"/>
          <w:color w:val="auto"/>
          <w:sz w:val="33"/>
          <w:szCs w:val="33"/>
          <w:lang w:eastAsia="zh-CN"/>
        </w:rPr>
        <w:t>麻陇乡域</w:t>
      </w:r>
      <w:r>
        <w:rPr>
          <w:rFonts w:hint="eastAsia" w:ascii="仿宋_GB2312" w:hAnsi="仿宋_GB2312" w:eastAsia="仿宋_GB2312" w:cs="仿宋_GB2312"/>
          <w:color w:val="auto"/>
          <w:sz w:val="33"/>
          <w:szCs w:val="33"/>
        </w:rPr>
        <w:t>建设水平。</w:t>
      </w:r>
    </w:p>
    <w:p w14:paraId="0227F491">
      <w:pPr>
        <w:keepNext w:val="0"/>
        <w:keepLines w:val="0"/>
        <w:pageBreakBefore w:val="0"/>
        <w:kinsoku/>
        <w:wordWrap/>
        <w:overflowPunct/>
        <w:topLinePunct w:val="0"/>
        <w:autoSpaceDE/>
        <w:autoSpaceDN/>
        <w:bidi w:val="0"/>
        <w:spacing w:line="560" w:lineRule="exact"/>
        <w:ind w:firstLine="660" w:firstLineChars="200"/>
        <w:jc w:val="left"/>
        <w:textAlignment w:val="auto"/>
        <w:rPr>
          <w:rFonts w:hint="default" w:ascii="仿宋_GB2312" w:hAnsi="仿宋_GB2312" w:eastAsia="仿宋_GB2312" w:cs="仿宋_GB2312"/>
          <w:color w:val="auto"/>
          <w:sz w:val="33"/>
          <w:szCs w:val="33"/>
          <w:lang w:val="en-US" w:eastAsia="zh-CN"/>
        </w:rPr>
      </w:pPr>
      <w:r>
        <w:rPr>
          <w:rFonts w:hint="eastAsia" w:ascii="仿宋_GB2312" w:hAnsi="仿宋_GB2312" w:eastAsia="仿宋_GB2312" w:cs="仿宋_GB2312"/>
          <w:color w:val="auto"/>
          <w:sz w:val="33"/>
          <w:szCs w:val="33"/>
        </w:rPr>
        <w:t>今年发展主要预期目标是：全</w:t>
      </w:r>
      <w:r>
        <w:rPr>
          <w:rFonts w:hint="eastAsia" w:ascii="仿宋_GB2312" w:hAnsi="仿宋_GB2312" w:eastAsia="仿宋_GB2312" w:cs="仿宋_GB2312"/>
          <w:color w:val="auto"/>
          <w:sz w:val="33"/>
          <w:szCs w:val="33"/>
          <w:lang w:val="en-US" w:eastAsia="zh-CN"/>
        </w:rPr>
        <w:t>乡</w:t>
      </w:r>
      <w:r>
        <w:rPr>
          <w:rFonts w:hint="eastAsia" w:ascii="仿宋_GB2312" w:hAnsi="仿宋_GB2312" w:eastAsia="仿宋_GB2312" w:cs="仿宋_GB2312"/>
          <w:color w:val="auto"/>
          <w:sz w:val="33"/>
          <w:szCs w:val="33"/>
        </w:rPr>
        <w:t>地区生产总值</w:t>
      </w:r>
      <w:r>
        <w:rPr>
          <w:rFonts w:hint="eastAsia" w:ascii="Times New Roman" w:hAnsi="Times New Roman" w:eastAsia="仿宋_GB2312" w:cs="Times New Roman"/>
          <w:color w:val="auto"/>
          <w:sz w:val="33"/>
          <w:szCs w:val="33"/>
        </w:rPr>
        <w:t>（GDP）</w:t>
      </w:r>
      <w:r>
        <w:rPr>
          <w:rFonts w:hint="eastAsia" w:ascii="仿宋_GB2312" w:hAnsi="仿宋_GB2312" w:eastAsia="仿宋_GB2312" w:cs="仿宋_GB2312"/>
          <w:color w:val="auto"/>
          <w:sz w:val="33"/>
          <w:szCs w:val="33"/>
        </w:rPr>
        <w:t>增长率等各项经济指标均不低于全市、全县的平均水平。在县委、县政府和</w:t>
      </w:r>
      <w:r>
        <w:rPr>
          <w:rFonts w:hint="eastAsia" w:ascii="仿宋_GB2312" w:hAnsi="仿宋_GB2312" w:eastAsia="仿宋_GB2312" w:cs="仿宋_GB2312"/>
          <w:color w:val="auto"/>
          <w:sz w:val="33"/>
          <w:szCs w:val="33"/>
          <w:lang w:eastAsia="zh-CN"/>
        </w:rPr>
        <w:t>乡</w:t>
      </w:r>
      <w:r>
        <w:rPr>
          <w:rFonts w:hint="eastAsia" w:ascii="仿宋_GB2312" w:hAnsi="仿宋_GB2312" w:eastAsia="仿宋_GB2312" w:cs="仿宋_GB2312"/>
          <w:color w:val="auto"/>
          <w:sz w:val="33"/>
          <w:szCs w:val="33"/>
        </w:rPr>
        <w:t>党委的坚强领导下</w:t>
      </w:r>
      <w:r>
        <w:rPr>
          <w:rFonts w:hint="eastAsia" w:ascii="仿宋_GB2312" w:hAnsi="仿宋_GB2312" w:eastAsia="仿宋_GB2312" w:cs="仿宋_GB2312"/>
          <w:color w:val="auto"/>
          <w:sz w:val="33"/>
          <w:szCs w:val="33"/>
          <w:lang w:eastAsia="zh-CN"/>
        </w:rPr>
        <w:t>，</w:t>
      </w:r>
      <w:r>
        <w:rPr>
          <w:rFonts w:hint="eastAsia" w:ascii="仿宋_GB2312" w:hAnsi="仿宋_GB2312" w:eastAsia="仿宋_GB2312" w:cs="仿宋_GB2312"/>
          <w:color w:val="auto"/>
          <w:sz w:val="33"/>
          <w:szCs w:val="33"/>
          <w:lang w:val="en-US" w:eastAsia="zh-CN"/>
        </w:rPr>
        <w:t>重点推进基础设施项目建设、农业产业结构调整、农文旅融合发展促增收等工作：</w:t>
      </w:r>
    </w:p>
    <w:p w14:paraId="14FBFA41">
      <w:pPr>
        <w:keepNext w:val="0"/>
        <w:keepLines w:val="0"/>
        <w:pageBreakBefore w:val="0"/>
        <w:numPr>
          <w:ilvl w:val="0"/>
          <w:numId w:val="1"/>
        </w:numPr>
        <w:kinsoku/>
        <w:wordWrap/>
        <w:overflowPunct/>
        <w:topLinePunct w:val="0"/>
        <w:autoSpaceDE/>
        <w:autoSpaceDN/>
        <w:bidi w:val="0"/>
        <w:spacing w:line="560" w:lineRule="exact"/>
        <w:ind w:firstLine="660" w:firstLineChars="200"/>
        <w:jc w:val="left"/>
        <w:textAlignment w:val="auto"/>
        <w:rPr>
          <w:rFonts w:hint="eastAsia" w:ascii="方正黑体_GBK" w:hAnsi="方正黑体_GBK" w:eastAsia="方正黑体_GBK" w:cs="方正黑体_GBK"/>
          <w:color w:val="auto"/>
          <w:sz w:val="33"/>
          <w:szCs w:val="33"/>
        </w:rPr>
      </w:pPr>
      <w:r>
        <w:rPr>
          <w:rFonts w:hint="eastAsia" w:ascii="方正黑体_GBK" w:hAnsi="方正黑体_GBK" w:eastAsia="方正黑体_GBK" w:cs="方正黑体_GBK"/>
          <w:b w:val="0"/>
          <w:bCs w:val="0"/>
          <w:color w:val="auto"/>
          <w:sz w:val="33"/>
          <w:szCs w:val="33"/>
        </w:rPr>
        <w:t>真抓实干把谋发展作为第一要务</w:t>
      </w:r>
    </w:p>
    <w:p w14:paraId="02C5D8D7">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发展是解决麻陇面临一切问题和矛盾的“金钥匙”。我们只有坚持发展，踔厉奋发、笃行不怠，才能不断开辟干在实处、走在前列、勇立潮头的新局面。</w:t>
      </w:r>
    </w:p>
    <w:p w14:paraId="134FB932">
      <w:pPr>
        <w:keepNext w:val="0"/>
        <w:keepLines w:val="0"/>
        <w:pageBreakBefore w:val="0"/>
        <w:widowControl w:val="0"/>
        <w:kinsoku/>
        <w:wordWrap/>
        <w:overflowPunct/>
        <w:topLinePunct w:val="0"/>
        <w:autoSpaceDE/>
        <w:autoSpaceDN/>
        <w:bidi w:val="0"/>
        <w:adjustRightInd/>
        <w:snapToGrid/>
        <w:spacing w:line="560" w:lineRule="exact"/>
        <w:ind w:firstLine="660"/>
        <w:jc w:val="both"/>
        <w:textAlignment w:val="auto"/>
        <w:rPr>
          <w:rFonts w:hint="default" w:ascii="Times New Roman" w:hAnsi="Times New Roman" w:eastAsia="方正仿宋_GB2312" w:cs="Times New Roman"/>
          <w:sz w:val="33"/>
          <w:szCs w:val="33"/>
          <w:lang w:val="en-US" w:eastAsia="zh-CN"/>
        </w:rPr>
      </w:pPr>
      <w:r>
        <w:rPr>
          <w:rFonts w:hint="eastAsia" w:ascii="方正楷体_GB2312" w:hAnsi="方正楷体_GB2312" w:eastAsia="方正楷体_GB2312" w:cs="方正楷体_GB2312"/>
          <w:b/>
          <w:bCs/>
          <w:color w:val="auto"/>
          <w:sz w:val="33"/>
          <w:szCs w:val="33"/>
        </w:rPr>
        <w:t>一是</w:t>
      </w:r>
      <w:r>
        <w:rPr>
          <w:rFonts w:hint="default" w:ascii="方正楷体_GB2312" w:hAnsi="方正楷体_GB2312" w:eastAsia="方正楷体_GB2312" w:cs="方正楷体_GB2312"/>
          <w:b/>
          <w:bCs/>
          <w:color w:val="auto"/>
          <w:sz w:val="33"/>
          <w:szCs w:val="33"/>
          <w:lang w:val="en-US" w:eastAsia="zh-CN"/>
        </w:rPr>
        <w:t>真抓实干强产业，厚植产业发展新优势</w:t>
      </w:r>
      <w:r>
        <w:rPr>
          <w:rFonts w:hint="eastAsia" w:ascii="方正楷体_GB2312" w:hAnsi="方正楷体_GB2312" w:eastAsia="方正楷体_GB2312" w:cs="方正楷体_GB2312"/>
          <w:b/>
          <w:bCs/>
          <w:color w:val="auto"/>
          <w:sz w:val="33"/>
          <w:szCs w:val="33"/>
        </w:rPr>
        <w:t>。</w:t>
      </w:r>
      <w:r>
        <w:rPr>
          <w:rFonts w:hint="default" w:ascii="仿宋_GB2312" w:hAnsi="仿宋_GB2312" w:eastAsia="仿宋_GB2312" w:cs="仿宋_GB2312"/>
          <w:i w:val="0"/>
          <w:iCs w:val="0"/>
          <w:caps w:val="0"/>
          <w:color w:val="000000"/>
          <w:spacing w:val="0"/>
          <w:kern w:val="0"/>
          <w:sz w:val="32"/>
          <w:szCs w:val="32"/>
          <w:lang w:val="en-US" w:eastAsia="zh-CN" w:bidi="ar"/>
        </w:rPr>
        <w:t>做优特色农业产业，立足麻陇实际，在现有传统种养殖产业基础上，大力发展晚熟芒果、大棚设施农业等高附加值产业。用好用活1000亩高标准农田和田型调整项目资源，发挥麻陇蔬菜与安宁河沿线错峰上市优势，引导群众发展秋冬大棚番茄、高山蔬菜，扩大高山猕猴桃、樱桃种植规模，发展壮大彝乡黑毛猪、三文鱼等特色养殖产业，持续促进群众增收。推动农文旅融合发展，加大团山堡古村落文旅资源宣传推介力度，精心策划</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冬日樱花节</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等特色文旅活动，提档升级黄草坪漂流项目，持续打响</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醉美麻陇</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文旅品牌。</w:t>
      </w:r>
    </w:p>
    <w:p w14:paraId="4F84E716">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rPr>
      </w:pPr>
      <w:r>
        <w:rPr>
          <w:rFonts w:hint="eastAsia" w:ascii="方正楷体_GB2312" w:hAnsi="方正楷体_GB2312" w:eastAsia="方正楷体_GB2312" w:cs="方正楷体_GB2312"/>
          <w:b/>
          <w:bCs/>
          <w:color w:val="auto"/>
          <w:sz w:val="33"/>
          <w:szCs w:val="33"/>
        </w:rPr>
        <w:t>二是</w:t>
      </w:r>
      <w:r>
        <w:rPr>
          <w:rFonts w:hint="default" w:ascii="方正楷体_GB2312" w:hAnsi="方正楷体_GB2312" w:eastAsia="方正楷体_GB2312" w:cs="方正楷体_GB2312"/>
          <w:b/>
          <w:bCs/>
          <w:color w:val="auto"/>
          <w:sz w:val="33"/>
          <w:szCs w:val="33"/>
          <w:lang w:val="en-US" w:eastAsia="zh-CN"/>
        </w:rPr>
        <w:t>全力以赴抓落实，加快补齐短板弱项</w:t>
      </w:r>
      <w:r>
        <w:rPr>
          <w:rFonts w:hint="eastAsia" w:ascii="方正楷体_GB2312" w:hAnsi="方正楷体_GB2312" w:eastAsia="方正楷体_GB2312" w:cs="方正楷体_GB2312"/>
          <w:b/>
          <w:bCs/>
          <w:color w:val="auto"/>
          <w:sz w:val="33"/>
          <w:szCs w:val="33"/>
        </w:rPr>
        <w:t>。</w:t>
      </w:r>
      <w:r>
        <w:rPr>
          <w:rFonts w:hint="default" w:ascii="仿宋_GB2312" w:hAnsi="仿宋_GB2312" w:eastAsia="仿宋_GB2312" w:cs="仿宋_GB2312"/>
          <w:i w:val="0"/>
          <w:iCs w:val="0"/>
          <w:caps w:val="0"/>
          <w:color w:val="000000"/>
          <w:spacing w:val="0"/>
          <w:kern w:val="0"/>
          <w:sz w:val="32"/>
          <w:szCs w:val="32"/>
          <w:lang w:val="en-US" w:eastAsia="zh-CN" w:bidi="ar"/>
        </w:rPr>
        <w:t>全力做好固定资产投资项目入库工作，提升项目入库成功率。积极争取省市民族团结进步示范项目、乡村振兴衔接资金项目、一事一议、以工代赈等项目，硬化改善群众急需解决的农村道路，新建灌溉和引水工程，优化供水管网，逐步解决农业生产季节性缺水问题。严守耕地红线保护政策，全面开展设施农业建设，加强农产品品牌建设，培育壮大一批农业产业化合作社，加大对农业科技的培育，推广先进农业技术和生产模式，提高农业生产效率和农产品质量，促进农民增收。强化重大项目建设，积极争取项目建设资金，加大招商引资力度，积极引进一批优质企业，培育壮大主导产业，打造</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农文旅</w:t>
      </w:r>
      <w:r>
        <w:rPr>
          <w:rFonts w:hint="eastAsia" w:ascii="仿宋_GB2312" w:hAnsi="仿宋_GB2312" w:eastAsia="仿宋_GB2312" w:cs="仿宋_GB2312"/>
          <w:i w:val="0"/>
          <w:iCs w:val="0"/>
          <w:caps w:val="0"/>
          <w:color w:val="000000"/>
          <w:spacing w:val="0"/>
          <w:kern w:val="0"/>
          <w:sz w:val="32"/>
          <w:szCs w:val="32"/>
          <w:lang w:val="en-US" w:eastAsia="zh-CN" w:bidi="ar"/>
        </w:rPr>
        <w:t>”特色</w:t>
      </w:r>
      <w:r>
        <w:rPr>
          <w:rFonts w:hint="default" w:ascii="仿宋_GB2312" w:hAnsi="仿宋_GB2312" w:eastAsia="仿宋_GB2312" w:cs="仿宋_GB2312"/>
          <w:i w:val="0"/>
          <w:iCs w:val="0"/>
          <w:caps w:val="0"/>
          <w:color w:val="000000"/>
          <w:spacing w:val="0"/>
          <w:kern w:val="0"/>
          <w:sz w:val="32"/>
          <w:szCs w:val="32"/>
          <w:lang w:val="en-US" w:eastAsia="zh-CN" w:bidi="ar"/>
        </w:rPr>
        <w:t>产业发展链，加强对特色农产业的扶持和指导，进一步促进产业结构调整优化</w:t>
      </w:r>
      <w:r>
        <w:rPr>
          <w:rFonts w:hint="eastAsia" w:ascii="仿宋_GB2312" w:hAnsi="仿宋_GB2312" w:eastAsia="仿宋_GB2312" w:cs="仿宋_GB2312"/>
          <w:i w:val="0"/>
          <w:iCs w:val="0"/>
          <w:caps w:val="0"/>
          <w:color w:val="000000"/>
          <w:spacing w:val="0"/>
          <w:kern w:val="0"/>
          <w:sz w:val="32"/>
          <w:szCs w:val="32"/>
          <w:lang w:val="en-US" w:eastAsia="zh-CN" w:bidi="ar"/>
        </w:rPr>
        <w:t>，助力群众增产增收</w:t>
      </w:r>
      <w:r>
        <w:rPr>
          <w:rFonts w:hint="default" w:ascii="仿宋_GB2312" w:hAnsi="仿宋_GB2312" w:eastAsia="仿宋_GB2312" w:cs="仿宋_GB2312"/>
          <w:i w:val="0"/>
          <w:iCs w:val="0"/>
          <w:caps w:val="0"/>
          <w:color w:val="000000"/>
          <w:spacing w:val="0"/>
          <w:kern w:val="0"/>
          <w:sz w:val="32"/>
          <w:szCs w:val="32"/>
          <w:lang w:val="en-US" w:eastAsia="zh-CN" w:bidi="ar"/>
        </w:rPr>
        <w:t>。</w:t>
      </w:r>
    </w:p>
    <w:p w14:paraId="28CA45F1">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lang w:val="en-US" w:eastAsia="zh-CN"/>
        </w:rPr>
      </w:pPr>
      <w:r>
        <w:rPr>
          <w:rFonts w:hint="eastAsia" w:ascii="方正楷体_GB2312" w:hAnsi="方正楷体_GB2312" w:eastAsia="方正楷体_GB2312" w:cs="方正楷体_GB2312"/>
          <w:b/>
          <w:bCs/>
          <w:color w:val="auto"/>
          <w:sz w:val="33"/>
          <w:szCs w:val="33"/>
          <w:lang w:val="en-US" w:eastAsia="zh-CN"/>
        </w:rPr>
        <w:t>三是</w:t>
      </w:r>
      <w:r>
        <w:rPr>
          <w:rFonts w:hint="default" w:ascii="方正楷体_GB2312" w:hAnsi="方正楷体_GB2312" w:eastAsia="方正楷体_GB2312" w:cs="方正楷体_GB2312"/>
          <w:b/>
          <w:bCs/>
          <w:color w:val="auto"/>
          <w:sz w:val="33"/>
          <w:szCs w:val="33"/>
          <w:lang w:val="en-US" w:eastAsia="zh-CN"/>
        </w:rPr>
        <w:t>兴业强村聚合力，发展壮大集体经济</w:t>
      </w:r>
      <w:r>
        <w:rPr>
          <w:rFonts w:hint="eastAsia" w:ascii="方正楷体_GB2312" w:hAnsi="方正楷体_GB2312" w:eastAsia="方正楷体_GB2312" w:cs="方正楷体_GB2312"/>
          <w:b/>
          <w:bCs/>
          <w:color w:val="auto"/>
          <w:sz w:val="33"/>
          <w:szCs w:val="33"/>
          <w:lang w:val="en-US" w:eastAsia="zh-CN"/>
        </w:rPr>
        <w:t>。</w:t>
      </w:r>
      <w:r>
        <w:rPr>
          <w:rFonts w:hint="default" w:ascii="仿宋_GB2312" w:hAnsi="仿宋_GB2312" w:eastAsia="仿宋_GB2312" w:cs="仿宋_GB2312"/>
          <w:i w:val="0"/>
          <w:iCs w:val="0"/>
          <w:caps w:val="0"/>
          <w:color w:val="000000"/>
          <w:spacing w:val="0"/>
          <w:kern w:val="0"/>
          <w:sz w:val="32"/>
          <w:szCs w:val="32"/>
          <w:lang w:val="en-US" w:eastAsia="zh-CN" w:bidi="ar"/>
        </w:rPr>
        <w:t>积极探索承包经营、股份合作等方式，盘活村级闲置资产，提高资产收益率。充分发挥致富能手</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传帮带</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作用，招引</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能人</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返乡创业</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带动特色产业发展，吸纳优秀人才进入村两委后备干部，提高集体经济经营能力</w:t>
      </w:r>
      <w:r>
        <w:rPr>
          <w:rFonts w:hint="eastAsia" w:ascii="仿宋_GB2312" w:hAnsi="仿宋_GB2312" w:eastAsia="仿宋_GB2312" w:cs="仿宋_GB2312"/>
          <w:i w:val="0"/>
          <w:iCs w:val="0"/>
          <w:caps w:val="0"/>
          <w:color w:val="000000"/>
          <w:spacing w:val="0"/>
          <w:kern w:val="0"/>
          <w:sz w:val="32"/>
          <w:szCs w:val="32"/>
          <w:lang w:val="en-US" w:eastAsia="zh-CN" w:bidi="ar"/>
        </w:rPr>
        <w:t>，</w:t>
      </w:r>
      <w:r>
        <w:rPr>
          <w:rFonts w:hint="default" w:ascii="仿宋_GB2312" w:hAnsi="仿宋_GB2312" w:eastAsia="仿宋_GB2312" w:cs="仿宋_GB2312"/>
          <w:i w:val="0"/>
          <w:iCs w:val="0"/>
          <w:caps w:val="0"/>
          <w:color w:val="000000"/>
          <w:spacing w:val="0"/>
          <w:kern w:val="0"/>
          <w:sz w:val="32"/>
          <w:szCs w:val="32"/>
          <w:lang w:val="en-US" w:eastAsia="zh-CN" w:bidi="ar"/>
        </w:rPr>
        <w:t>优化村集体经济经营模式，充分调动村干部发展壮大集体经济积极性</w:t>
      </w:r>
      <w:r>
        <w:rPr>
          <w:rFonts w:hint="eastAsia" w:ascii="仿宋_GB2312" w:hAnsi="仿宋_GB2312" w:eastAsia="仿宋_GB2312" w:cs="仿宋_GB2312"/>
          <w:i w:val="0"/>
          <w:iCs w:val="0"/>
          <w:caps w:val="0"/>
          <w:color w:val="000000"/>
          <w:spacing w:val="0"/>
          <w:kern w:val="0"/>
          <w:sz w:val="32"/>
          <w:szCs w:val="32"/>
          <w:lang w:val="en-US" w:eastAsia="zh-CN" w:bidi="ar"/>
        </w:rPr>
        <w:t>。</w:t>
      </w:r>
    </w:p>
    <w:p w14:paraId="35CE1C57">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rPr>
      </w:pPr>
      <w:r>
        <w:rPr>
          <w:rFonts w:hint="eastAsia" w:ascii="方正楷体_GB2312" w:hAnsi="方正楷体_GB2312" w:eastAsia="方正楷体_GB2312" w:cs="方正楷体_GB2312"/>
          <w:b/>
          <w:bCs/>
          <w:color w:val="auto"/>
          <w:sz w:val="33"/>
          <w:szCs w:val="33"/>
          <w:lang w:val="en-US" w:eastAsia="zh-CN"/>
        </w:rPr>
        <w:t>四</w:t>
      </w:r>
      <w:r>
        <w:rPr>
          <w:rFonts w:hint="eastAsia" w:ascii="方正楷体_GB2312" w:hAnsi="方正楷体_GB2312" w:eastAsia="方正楷体_GB2312" w:cs="方正楷体_GB2312"/>
          <w:b/>
          <w:bCs/>
          <w:color w:val="auto"/>
          <w:sz w:val="33"/>
          <w:szCs w:val="33"/>
        </w:rPr>
        <w:t>是</w:t>
      </w:r>
      <w:r>
        <w:rPr>
          <w:rFonts w:hint="default" w:ascii="方正楷体_GB2312" w:hAnsi="方正楷体_GB2312" w:eastAsia="方正楷体_GB2312" w:cs="方正楷体_GB2312"/>
          <w:b/>
          <w:bCs/>
          <w:color w:val="auto"/>
          <w:sz w:val="33"/>
          <w:szCs w:val="33"/>
          <w:lang w:val="en-US" w:eastAsia="zh-CN"/>
        </w:rPr>
        <w:t>创先争优强担当，凝聚高质量发展合力</w:t>
      </w:r>
      <w:r>
        <w:rPr>
          <w:rFonts w:hint="eastAsia" w:ascii="方正楷体_GB2312" w:hAnsi="方正楷体_GB2312" w:eastAsia="方正楷体_GB2312" w:cs="方正楷体_GB2312"/>
          <w:b/>
          <w:bCs/>
          <w:color w:val="auto"/>
          <w:sz w:val="33"/>
          <w:szCs w:val="33"/>
        </w:rPr>
        <w:t>。</w:t>
      </w:r>
      <w:r>
        <w:rPr>
          <w:rFonts w:hint="default" w:ascii="仿宋_GB2312" w:hAnsi="仿宋_GB2312" w:eastAsia="仿宋_GB2312" w:cs="仿宋_GB2312"/>
          <w:i w:val="0"/>
          <w:iCs w:val="0"/>
          <w:caps w:val="0"/>
          <w:color w:val="000000"/>
          <w:spacing w:val="0"/>
          <w:kern w:val="0"/>
          <w:sz w:val="32"/>
          <w:szCs w:val="32"/>
          <w:lang w:val="en-US" w:eastAsia="zh-CN" w:bidi="ar"/>
        </w:rPr>
        <w:t>认真贯彻落实县委县政府部署要求和各项会议精神，强化抓好工作落实的责任感和紧迫感，坚持大抓产业、大抓项目、实干苦干，加快推动产业转型升级，积极争取项目落地建设，扎实推进乡村全面振兴，统筹抓好惠民生、防风险、保稳定工作, 全力以赴推动全乡经济社会高质量发展</w:t>
      </w:r>
      <w:r>
        <w:rPr>
          <w:rFonts w:hint="eastAsia" w:ascii="仿宋_GB2312" w:hAnsi="仿宋_GB2312" w:eastAsia="仿宋_GB2312" w:cs="仿宋_GB2312"/>
          <w:i w:val="0"/>
          <w:iCs w:val="0"/>
          <w:caps w:val="0"/>
          <w:color w:val="000000"/>
          <w:spacing w:val="0"/>
          <w:kern w:val="0"/>
          <w:sz w:val="32"/>
          <w:szCs w:val="32"/>
          <w:lang w:val="en-US" w:eastAsia="zh-CN" w:bidi="ar"/>
        </w:rPr>
        <w:t>。</w:t>
      </w:r>
    </w:p>
    <w:p w14:paraId="7C9A4E33">
      <w:pPr>
        <w:keepNext w:val="0"/>
        <w:keepLines w:val="0"/>
        <w:pageBreakBefore w:val="0"/>
        <w:numPr>
          <w:ilvl w:val="0"/>
          <w:numId w:val="1"/>
        </w:numPr>
        <w:kinsoku/>
        <w:wordWrap/>
        <w:overflowPunct/>
        <w:topLinePunct w:val="0"/>
        <w:autoSpaceDE/>
        <w:autoSpaceDN/>
        <w:bidi w:val="0"/>
        <w:spacing w:line="560" w:lineRule="exact"/>
        <w:ind w:left="0" w:leftChars="0" w:firstLine="660" w:firstLineChars="200"/>
        <w:jc w:val="left"/>
        <w:textAlignment w:val="auto"/>
        <w:rPr>
          <w:rFonts w:hint="eastAsia" w:ascii="方正黑体_GBK" w:hAnsi="方正黑体_GBK" w:eastAsia="方正黑体_GBK" w:cs="方正黑体_GBK"/>
          <w:b w:val="0"/>
          <w:bCs w:val="0"/>
          <w:color w:val="auto"/>
          <w:sz w:val="33"/>
          <w:szCs w:val="33"/>
        </w:rPr>
      </w:pPr>
      <w:r>
        <w:rPr>
          <w:rFonts w:hint="eastAsia" w:ascii="方正黑体_GBK" w:hAnsi="方正黑体_GBK" w:eastAsia="方正黑体_GBK" w:cs="方正黑体_GBK"/>
          <w:b w:val="0"/>
          <w:bCs w:val="0"/>
          <w:color w:val="auto"/>
          <w:sz w:val="33"/>
          <w:szCs w:val="33"/>
        </w:rPr>
        <w:t>用心用情把惠民生作为根本目的</w:t>
      </w:r>
    </w:p>
    <w:p w14:paraId="384D2F15">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坚持以民为本、关注民生、顺应民意，努力为广大人民群众谋福祉。</w:t>
      </w:r>
      <w:r>
        <w:rPr>
          <w:rFonts w:hint="default" w:ascii="仿宋_GB2312" w:hAnsi="仿宋_GB2312" w:eastAsia="仿宋_GB2312" w:cs="仿宋_GB2312"/>
          <w:i w:val="0"/>
          <w:iCs w:val="0"/>
          <w:caps w:val="0"/>
          <w:color w:val="000000"/>
          <w:spacing w:val="0"/>
          <w:kern w:val="0"/>
          <w:sz w:val="32"/>
          <w:szCs w:val="32"/>
          <w:lang w:val="en-US" w:eastAsia="zh-CN" w:bidi="ar"/>
        </w:rPr>
        <w:t>加大对教育、医疗卫生等公共服务领域的投入，改善办学条件和医疗设施。加强教师队伍和医疗卫生队伍建设，提高教育教学质量和医疗服务水平，促进公共服务优质均衡发展。持续健全法治体系，强化基层民主建设，完善村民自治制度，保障村民民主权利。深入开展法治宣传教育，提高群众的法治意识，营造良好的法治社会氛围</w:t>
      </w:r>
      <w:r>
        <w:rPr>
          <w:rFonts w:hint="eastAsia" w:ascii="仿宋_GB2312" w:hAnsi="仿宋_GB2312" w:eastAsia="仿宋_GB2312" w:cs="仿宋_GB2312"/>
          <w:i w:val="0"/>
          <w:iCs w:val="0"/>
          <w:caps w:val="0"/>
          <w:color w:val="000000"/>
          <w:spacing w:val="0"/>
          <w:kern w:val="0"/>
          <w:sz w:val="32"/>
          <w:szCs w:val="32"/>
          <w:lang w:val="en-US" w:eastAsia="zh-CN" w:bidi="ar"/>
        </w:rPr>
        <w:t>。</w:t>
      </w:r>
    </w:p>
    <w:p w14:paraId="096F6C00">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rPr>
      </w:pPr>
      <w:r>
        <w:rPr>
          <w:rFonts w:hint="eastAsia" w:ascii="方正楷体_GB2312" w:hAnsi="方正楷体_GB2312" w:eastAsia="方正楷体_GB2312" w:cs="方正楷体_GB2312"/>
          <w:b/>
          <w:bCs/>
          <w:color w:val="auto"/>
          <w:sz w:val="33"/>
          <w:szCs w:val="33"/>
        </w:rPr>
        <w:t>一是抢做群众最“盼”的事。</w:t>
      </w:r>
      <w:r>
        <w:rPr>
          <w:rFonts w:hint="eastAsia" w:ascii="仿宋_GB2312" w:hAnsi="仿宋_GB2312" w:eastAsia="仿宋_GB2312" w:cs="仿宋_GB2312"/>
          <w:i w:val="0"/>
          <w:iCs w:val="0"/>
          <w:caps w:val="0"/>
          <w:color w:val="000000"/>
          <w:spacing w:val="0"/>
          <w:kern w:val="0"/>
          <w:sz w:val="32"/>
          <w:szCs w:val="32"/>
          <w:lang w:val="en-US" w:eastAsia="zh-CN" w:bidi="ar"/>
        </w:rPr>
        <w:t>从群众普遍关心的实际问题入手，通过坝坝会等形式收集群众诉求，细化举措，全力执行，聚焦“小切口”，推动“大变化”，把好事实事做到群众心坎上，切实提高群众获得感、幸福感。</w:t>
      </w:r>
    </w:p>
    <w:p w14:paraId="6D950E45">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rPr>
      </w:pPr>
      <w:r>
        <w:rPr>
          <w:rFonts w:hint="eastAsia" w:ascii="方正楷体_GB2312" w:hAnsi="方正楷体_GB2312" w:eastAsia="方正楷体_GB2312" w:cs="方正楷体_GB2312"/>
          <w:b/>
          <w:bCs/>
          <w:color w:val="auto"/>
          <w:sz w:val="33"/>
          <w:szCs w:val="33"/>
        </w:rPr>
        <w:t>二是善做群众最“怨”的事。</w:t>
      </w:r>
      <w:r>
        <w:rPr>
          <w:rFonts w:hint="eastAsia" w:ascii="仿宋_GB2312" w:hAnsi="仿宋_GB2312" w:eastAsia="仿宋_GB2312" w:cs="仿宋_GB2312"/>
          <w:i w:val="0"/>
          <w:iCs w:val="0"/>
          <w:caps w:val="0"/>
          <w:color w:val="000000"/>
          <w:spacing w:val="0"/>
          <w:kern w:val="0"/>
          <w:sz w:val="32"/>
          <w:szCs w:val="32"/>
          <w:lang w:val="en-US" w:eastAsia="zh-CN" w:bidi="ar"/>
        </w:rPr>
        <w:t>围绕群众办事高频事项，推动便民服务建设，提升便民服务质效，推进帮代办制度，不断扩大服务范围，让群众少跑路快办事，持续推广线上办事服务平台，持续提升便民服务便捷化、标准化水平。</w:t>
      </w:r>
    </w:p>
    <w:p w14:paraId="114C07CC">
      <w:pPr>
        <w:keepNext w:val="0"/>
        <w:keepLines w:val="0"/>
        <w:pageBreakBefore w:val="0"/>
        <w:numPr>
          <w:ilvl w:val="0"/>
          <w:numId w:val="0"/>
        </w:numPr>
        <w:kinsoku/>
        <w:wordWrap/>
        <w:overflowPunct/>
        <w:topLinePunct w:val="0"/>
        <w:autoSpaceDE/>
        <w:autoSpaceDN/>
        <w:bidi w:val="0"/>
        <w:spacing w:line="560" w:lineRule="exact"/>
        <w:jc w:val="left"/>
        <w:textAlignment w:val="auto"/>
        <w:rPr>
          <w:rFonts w:hint="eastAsia" w:ascii="Times New Roman" w:hAnsi="Times New Roman" w:eastAsia="方正仿宋_GB2312" w:cs="Times New Roman"/>
          <w:color w:val="auto"/>
          <w:sz w:val="33"/>
          <w:szCs w:val="33"/>
        </w:rPr>
      </w:pPr>
      <w:r>
        <w:rPr>
          <w:rFonts w:hint="eastAsia" w:ascii="仿宋_GB2312" w:hAnsi="仿宋_GB2312" w:eastAsia="仿宋_GB2312" w:cs="仿宋_GB2312"/>
          <w:color w:val="auto"/>
          <w:sz w:val="33"/>
          <w:szCs w:val="33"/>
          <w:lang w:val="en-US" w:eastAsia="zh-CN"/>
        </w:rPr>
        <w:t xml:space="preserve">   </w:t>
      </w:r>
      <w:r>
        <w:rPr>
          <w:rFonts w:hint="eastAsia" w:ascii="方正楷体_GB2312" w:hAnsi="方正楷体_GB2312" w:eastAsia="方正楷体_GB2312" w:cs="方正楷体_GB2312"/>
          <w:b/>
          <w:bCs/>
          <w:color w:val="auto"/>
          <w:sz w:val="33"/>
          <w:szCs w:val="33"/>
        </w:rPr>
        <w:t>三是勇做群众最“难”的事。</w:t>
      </w:r>
      <w:r>
        <w:rPr>
          <w:rFonts w:hint="eastAsia" w:ascii="仿宋_GB2312" w:hAnsi="仿宋_GB2312" w:eastAsia="仿宋_GB2312" w:cs="仿宋_GB2312"/>
          <w:i w:val="0"/>
          <w:iCs w:val="0"/>
          <w:caps w:val="0"/>
          <w:color w:val="000000"/>
          <w:spacing w:val="0"/>
          <w:kern w:val="0"/>
          <w:sz w:val="32"/>
          <w:szCs w:val="32"/>
          <w:lang w:val="en-US" w:eastAsia="zh-CN" w:bidi="ar"/>
        </w:rPr>
        <w:t>把群众的急难事办成暖心事，最能体现作风和能力，继续深化公务公开工作，接受社会监督，保障群众知情权，持续深化开展“领导干部接访”活动，切实解决群众诉求，努力推进老难信访化解，及时办结办好群众来电来访诉求事项。</w:t>
      </w:r>
    </w:p>
    <w:p w14:paraId="2012A1EC">
      <w:pPr>
        <w:keepNext w:val="0"/>
        <w:keepLines w:val="0"/>
        <w:pageBreakBefore w:val="0"/>
        <w:numPr>
          <w:ilvl w:val="0"/>
          <w:numId w:val="1"/>
        </w:numPr>
        <w:kinsoku/>
        <w:wordWrap/>
        <w:overflowPunct/>
        <w:topLinePunct w:val="0"/>
        <w:autoSpaceDE/>
        <w:autoSpaceDN/>
        <w:bidi w:val="0"/>
        <w:spacing w:line="560" w:lineRule="exact"/>
        <w:ind w:left="0" w:leftChars="0" w:firstLine="660" w:firstLineChars="200"/>
        <w:jc w:val="left"/>
        <w:textAlignment w:val="auto"/>
        <w:rPr>
          <w:rFonts w:hint="eastAsia" w:ascii="方正黑体_GBK" w:hAnsi="方正黑体_GBK" w:eastAsia="方正黑体_GBK" w:cs="方正黑体_GBK"/>
          <w:b w:val="0"/>
          <w:bCs w:val="0"/>
          <w:color w:val="auto"/>
          <w:sz w:val="33"/>
          <w:szCs w:val="33"/>
        </w:rPr>
      </w:pPr>
      <w:r>
        <w:rPr>
          <w:rFonts w:hint="eastAsia" w:ascii="方正黑体_GBK" w:hAnsi="方正黑体_GBK" w:eastAsia="方正黑体_GBK" w:cs="方正黑体_GBK"/>
          <w:b w:val="0"/>
          <w:bCs w:val="0"/>
          <w:color w:val="auto"/>
          <w:sz w:val="33"/>
          <w:szCs w:val="33"/>
        </w:rPr>
        <w:t>坚守初心把保安全作为底线要求。</w:t>
      </w:r>
    </w:p>
    <w:p w14:paraId="598E967B">
      <w:pPr>
        <w:keepNext w:val="0"/>
        <w:keepLines w:val="0"/>
        <w:pageBreakBefore w:val="0"/>
        <w:numPr>
          <w:ilvl w:val="0"/>
          <w:numId w:val="0"/>
        </w:numPr>
        <w:kinsoku/>
        <w:wordWrap/>
        <w:overflowPunct/>
        <w:topLinePunct w:val="0"/>
        <w:autoSpaceDE/>
        <w:autoSpaceDN/>
        <w:bidi w:val="0"/>
        <w:spacing w:line="560" w:lineRule="exact"/>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坚持人民至上、生命至上，更好统筹发展和安全，持续推进生态文明建设。</w:t>
      </w:r>
    </w:p>
    <w:p w14:paraId="65762DE2">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color w:val="auto"/>
          <w:sz w:val="33"/>
          <w:szCs w:val="33"/>
        </w:rPr>
      </w:pPr>
      <w:r>
        <w:rPr>
          <w:rFonts w:hint="eastAsia" w:ascii="方正楷体_GB2312" w:hAnsi="方正楷体_GB2312" w:eastAsia="方正楷体_GB2312" w:cs="方正楷体_GB2312"/>
          <w:b/>
          <w:bCs/>
          <w:color w:val="auto"/>
          <w:sz w:val="33"/>
          <w:szCs w:val="33"/>
        </w:rPr>
        <w:t>一是坚守安全生产“生命线”。</w:t>
      </w:r>
      <w:r>
        <w:rPr>
          <w:rFonts w:hint="eastAsia" w:ascii="仿宋_GB2312" w:hAnsi="仿宋_GB2312" w:eastAsia="仿宋_GB2312" w:cs="仿宋_GB2312"/>
          <w:i w:val="0"/>
          <w:iCs w:val="0"/>
          <w:caps w:val="0"/>
          <w:color w:val="000000"/>
          <w:spacing w:val="0"/>
          <w:kern w:val="0"/>
          <w:sz w:val="32"/>
          <w:szCs w:val="32"/>
          <w:lang w:val="en-US" w:eastAsia="zh-CN" w:bidi="ar"/>
        </w:rPr>
        <w:t>提高政治站位，充分认清严峻复杂的安全生产形势，时刻保持清醒认识、高度警觉和临战状态，以“万无一失”的严密工作，防止“一失万无”的严重后果，坚决守住安全生产底线。聚焦道路交通、自建房、烤火取暖、燃气、森林防灭火等重点领域的安全管理，深入开展安全生产排查整治，抓好全过程风险管控，确保安全管理到位、隐患问题清零。</w:t>
      </w:r>
    </w:p>
    <w:p w14:paraId="7EBF4E1F">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Times New Roman" w:hAnsi="Times New Roman" w:eastAsia="方正仿宋_GB2312" w:cs="Times New Roman"/>
          <w:color w:val="auto"/>
          <w:sz w:val="33"/>
          <w:szCs w:val="33"/>
        </w:rPr>
      </w:pPr>
      <w:r>
        <w:rPr>
          <w:rFonts w:hint="eastAsia" w:ascii="方正楷体_GB2312" w:hAnsi="方正楷体_GB2312" w:eastAsia="方正楷体_GB2312" w:cs="方正楷体_GB2312"/>
          <w:b/>
          <w:bCs/>
          <w:color w:val="auto"/>
          <w:sz w:val="33"/>
          <w:szCs w:val="33"/>
        </w:rPr>
        <w:t>二是坚守社会稳定“底线”。</w:t>
      </w:r>
      <w:r>
        <w:rPr>
          <w:rFonts w:hint="eastAsia" w:ascii="仿宋_GB2312" w:hAnsi="仿宋_GB2312" w:eastAsia="仿宋_GB2312" w:cs="仿宋_GB2312"/>
          <w:i w:val="0"/>
          <w:iCs w:val="0"/>
          <w:caps w:val="0"/>
          <w:color w:val="000000"/>
          <w:spacing w:val="0"/>
          <w:kern w:val="0"/>
          <w:sz w:val="32"/>
          <w:szCs w:val="32"/>
          <w:lang w:val="en-US" w:eastAsia="zh-CN" w:bidi="ar"/>
        </w:rPr>
        <w:t>不断完善政府负责、社会协同、公众参与、法治保障的社会治理体制，加大基层矛盾纠纷排查化解力度，按偿还计划有力有序推进债务信访化解，推动信访案件办理提质增效。加强治安防控体系建设，强化不稳定因素管控，提升违法打击效能，坚决纠治“谁闹谁有理、越闹越有理”现象，维护社会公平正义和法律威严。</w:t>
      </w:r>
    </w:p>
    <w:p w14:paraId="28F59CF6">
      <w:pPr>
        <w:keepNext w:val="0"/>
        <w:keepLines w:val="0"/>
        <w:pageBreakBefore w:val="0"/>
        <w:numPr>
          <w:ilvl w:val="0"/>
          <w:numId w:val="0"/>
        </w:numPr>
        <w:kinsoku/>
        <w:wordWrap/>
        <w:overflowPunct/>
        <w:topLinePunct w:val="0"/>
        <w:autoSpaceDE/>
        <w:autoSpaceDN/>
        <w:bidi w:val="0"/>
        <w:spacing w:line="560" w:lineRule="exact"/>
        <w:ind w:firstLine="663"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方正楷体_GB2312" w:hAnsi="方正楷体_GB2312" w:eastAsia="方正楷体_GB2312" w:cs="方正楷体_GB2312"/>
          <w:b/>
          <w:bCs/>
          <w:color w:val="auto"/>
          <w:sz w:val="33"/>
          <w:szCs w:val="33"/>
        </w:rPr>
        <w:t>三是守住生态环保“红线”。</w:t>
      </w:r>
      <w:r>
        <w:rPr>
          <w:rFonts w:hint="eastAsia" w:ascii="仿宋_GB2312" w:hAnsi="仿宋_GB2312" w:eastAsia="仿宋_GB2312" w:cs="仿宋_GB2312"/>
          <w:i w:val="0"/>
          <w:iCs w:val="0"/>
          <w:caps w:val="0"/>
          <w:color w:val="000000"/>
          <w:spacing w:val="0"/>
          <w:kern w:val="0"/>
          <w:sz w:val="32"/>
          <w:szCs w:val="32"/>
          <w:lang w:val="en-US" w:eastAsia="zh-CN" w:bidi="ar"/>
        </w:rPr>
        <w:t>严格落实河湖长制、林长制、田长制等制度，抓好环保问题整改，加大蓝天、碧水、净土三大保卫战攻坚力度，常态化开展秸秆禁烧和农业面源污染治理，切实维护区域生态安全，守护和利用好优渥的自然环境，着力推动绿色低碳发展，让绿色成为麻陇发展最动人的色彩。</w:t>
      </w:r>
    </w:p>
    <w:p w14:paraId="2FF7521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万里征程风正劲，千钧重任再扬帆。让我们更加紧密地团结在以习近平同志为核心的党中央周围，在县委、县政府和乡党委的坚强领导下，紧紧依靠全乡人民，凝心聚力、砥砺奋进、创优争先，为建设“团结、创新、生态、富裕”的美丽麻陇而努力奋斗！</w:t>
      </w:r>
    </w:p>
    <w:p w14:paraId="0F8330FF">
      <w:pPr>
        <w:pStyle w:val="2"/>
        <w:bidi w:val="0"/>
      </w:pPr>
      <w:bookmarkStart w:id="10" w:name="_Toc582"/>
      <w:bookmarkStart w:id="11" w:name="_Toc6186"/>
      <w:bookmarkStart w:id="12" w:name="_Toc18529"/>
      <w:bookmarkStart w:id="13" w:name="_Toc10048"/>
      <w:r>
        <w:rPr>
          <w:rFonts w:hint="eastAsia"/>
          <w:lang w:val="en-US" w:eastAsia="zh-CN"/>
        </w:rPr>
        <w:t>二、</w:t>
      </w:r>
      <w:r>
        <w:rPr>
          <w:rFonts w:hint="default"/>
        </w:rPr>
        <w:t>机构设置情况</w:t>
      </w:r>
      <w:bookmarkEnd w:id="10"/>
      <w:bookmarkEnd w:id="11"/>
      <w:bookmarkEnd w:id="12"/>
      <w:bookmarkEnd w:id="13"/>
    </w:p>
    <w:p w14:paraId="63297ABC">
      <w:pPr>
        <w:pStyle w:val="7"/>
        <w:keepNext w:val="0"/>
        <w:keepLines w:val="0"/>
        <w:pageBreakBefore w:val="0"/>
        <w:kinsoku/>
        <w:wordWrap/>
        <w:overflowPunct/>
        <w:topLinePunct w:val="0"/>
        <w:autoSpaceDE/>
        <w:autoSpaceDN/>
        <w:bidi w:val="0"/>
        <w:adjustRightInd w:val="0"/>
        <w:snapToGrid/>
        <w:spacing w:before="130" w:beforeLines="0" w:line="520" w:lineRule="exact"/>
        <w:ind w:firstLine="672" w:firstLineChars="210"/>
        <w:textAlignment w:val="auto"/>
        <w:rPr>
          <w:rFonts w:ascii="Times New Roman"/>
          <w:sz w:val="32"/>
        </w:rPr>
      </w:pPr>
      <w:r>
        <w:rPr>
          <w:rFonts w:hint="eastAsia" w:ascii="Times New Roman"/>
          <w:sz w:val="32"/>
          <w:lang w:val="en-US" w:eastAsia="zh-CN"/>
        </w:rPr>
        <w:t>麻陇彝族乡</w:t>
      </w:r>
      <w:r>
        <w:rPr>
          <w:rFonts w:hint="eastAsia" w:ascii="Times New Roman"/>
          <w:sz w:val="32"/>
          <w:lang w:eastAsia="zh-CN"/>
        </w:rPr>
        <w:t>政府</w:t>
      </w:r>
      <w:r>
        <w:rPr>
          <w:rFonts w:ascii="Times New Roman"/>
          <w:sz w:val="32"/>
        </w:rPr>
        <w:t>下属二级预算单位</w:t>
      </w:r>
      <w:r>
        <w:rPr>
          <w:rFonts w:hint="eastAsia" w:ascii="Times New Roman"/>
          <w:sz w:val="32"/>
          <w:lang w:val="en-US" w:eastAsia="zh-CN"/>
        </w:rPr>
        <w:t>1</w:t>
      </w:r>
      <w:r>
        <w:rPr>
          <w:rFonts w:ascii="Times New Roman"/>
          <w:sz w:val="32"/>
        </w:rPr>
        <w:t>个，其中行政单位</w:t>
      </w:r>
      <w:r>
        <w:rPr>
          <w:rFonts w:hint="eastAsia" w:ascii="Times New Roman"/>
          <w:sz w:val="32"/>
          <w:lang w:val="en-US" w:eastAsia="zh-CN"/>
        </w:rPr>
        <w:t>1</w:t>
      </w:r>
      <w:r>
        <w:rPr>
          <w:rFonts w:ascii="Times New Roman"/>
          <w:sz w:val="32"/>
        </w:rPr>
        <w:t>个，参照公务员法管理的事业单位</w:t>
      </w:r>
      <w:r>
        <w:rPr>
          <w:rFonts w:hint="eastAsia" w:ascii="Times New Roman"/>
          <w:sz w:val="32"/>
          <w:lang w:val="en-US" w:eastAsia="zh-CN"/>
        </w:rPr>
        <w:t>0</w:t>
      </w:r>
      <w:r>
        <w:rPr>
          <w:rFonts w:ascii="Times New Roman"/>
          <w:sz w:val="32"/>
        </w:rPr>
        <w:t>个，其他事业单位</w:t>
      </w:r>
      <w:r>
        <w:rPr>
          <w:rFonts w:hint="eastAsia" w:ascii="Times New Roman"/>
          <w:sz w:val="32"/>
          <w:lang w:val="en-US" w:eastAsia="zh-CN"/>
        </w:rPr>
        <w:t>0</w:t>
      </w:r>
      <w:r>
        <w:rPr>
          <w:rFonts w:ascii="Times New Roman"/>
          <w:sz w:val="32"/>
        </w:rPr>
        <w:t>个。主要包括：</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6282"/>
      </w:tblGrid>
      <w:tr w14:paraId="6198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05" w:type="dxa"/>
            <w:noWrap w:val="0"/>
            <w:vAlign w:val="top"/>
          </w:tcPr>
          <w:p w14:paraId="5A1E718D">
            <w:pPr>
              <w:pStyle w:val="3"/>
              <w:keepNext w:val="0"/>
              <w:keepLines w:val="0"/>
              <w:pageBreakBefore w:val="0"/>
              <w:widowControl/>
              <w:kinsoku/>
              <w:wordWrap/>
              <w:overflowPunct/>
              <w:topLinePunct w:val="0"/>
              <w:autoSpaceDE/>
              <w:autoSpaceDN/>
              <w:bidi w:val="0"/>
              <w:snapToGrid/>
              <w:spacing w:before="0" w:beforeAutospacing="0" w:after="0" w:afterAutospacing="0" w:line="520" w:lineRule="exact"/>
              <w:ind w:firstLine="640" w:firstLineChars="200"/>
              <w:jc w:val="both"/>
              <w:textAlignment w:val="auto"/>
              <w:rPr>
                <w:rFonts w:cs="仿宋_GB2312"/>
                <w:color w:val="333333"/>
                <w:sz w:val="32"/>
              </w:rPr>
            </w:pPr>
            <w:r>
              <w:rPr>
                <w:rFonts w:hint="eastAsia" w:cs="仿宋_GB2312"/>
                <w:color w:val="333333"/>
                <w:sz w:val="32"/>
              </w:rPr>
              <w:t>序号</w:t>
            </w:r>
          </w:p>
        </w:tc>
        <w:tc>
          <w:tcPr>
            <w:tcW w:w="6282" w:type="dxa"/>
            <w:noWrap w:val="0"/>
            <w:vAlign w:val="center"/>
          </w:tcPr>
          <w:p w14:paraId="688C6BBB">
            <w:pPr>
              <w:pStyle w:val="3"/>
              <w:keepNext w:val="0"/>
              <w:keepLines w:val="0"/>
              <w:pageBreakBefore w:val="0"/>
              <w:widowControl/>
              <w:kinsoku/>
              <w:wordWrap/>
              <w:overflowPunct/>
              <w:topLinePunct w:val="0"/>
              <w:autoSpaceDE/>
              <w:autoSpaceDN/>
              <w:bidi w:val="0"/>
              <w:snapToGrid/>
              <w:spacing w:before="0" w:beforeAutospacing="0" w:after="0" w:afterAutospacing="0" w:line="520" w:lineRule="exact"/>
              <w:ind w:firstLine="640" w:firstLineChars="200"/>
              <w:jc w:val="center"/>
              <w:textAlignment w:val="auto"/>
              <w:rPr>
                <w:rFonts w:cs="仿宋_GB2312"/>
                <w:color w:val="333333"/>
                <w:sz w:val="32"/>
              </w:rPr>
            </w:pPr>
            <w:r>
              <w:rPr>
                <w:rFonts w:hint="eastAsia" w:cs="仿宋_GB2312"/>
                <w:color w:val="333333"/>
                <w:sz w:val="32"/>
              </w:rPr>
              <w:t>预算单位名称</w:t>
            </w:r>
          </w:p>
        </w:tc>
      </w:tr>
      <w:tr w14:paraId="151D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005" w:type="dxa"/>
            <w:noWrap w:val="0"/>
            <w:vAlign w:val="top"/>
          </w:tcPr>
          <w:p w14:paraId="0AA0BF4A">
            <w:pPr>
              <w:pStyle w:val="3"/>
              <w:keepNext w:val="0"/>
              <w:keepLines w:val="0"/>
              <w:pageBreakBefore w:val="0"/>
              <w:widowControl/>
              <w:kinsoku/>
              <w:wordWrap/>
              <w:overflowPunct/>
              <w:topLinePunct w:val="0"/>
              <w:autoSpaceDE/>
              <w:autoSpaceDN/>
              <w:bidi w:val="0"/>
              <w:snapToGrid/>
              <w:spacing w:before="0" w:beforeAutospacing="0" w:after="0" w:afterAutospacing="0" w:line="520" w:lineRule="exact"/>
              <w:ind w:firstLine="640" w:firstLineChars="200"/>
              <w:jc w:val="both"/>
              <w:textAlignment w:val="auto"/>
              <w:rPr>
                <w:rFonts w:cs="仿宋_GB2312"/>
                <w:color w:val="333333"/>
                <w:sz w:val="32"/>
              </w:rPr>
            </w:pPr>
            <w:r>
              <w:rPr>
                <w:rFonts w:hint="eastAsia" w:cs="仿宋_GB2312"/>
                <w:color w:val="333333"/>
                <w:sz w:val="32"/>
              </w:rPr>
              <w:t>1</w:t>
            </w:r>
          </w:p>
        </w:tc>
        <w:tc>
          <w:tcPr>
            <w:tcW w:w="6282" w:type="dxa"/>
            <w:noWrap w:val="0"/>
            <w:vAlign w:val="top"/>
          </w:tcPr>
          <w:p w14:paraId="4B73490C">
            <w:pPr>
              <w:pStyle w:val="3"/>
              <w:keepNext w:val="0"/>
              <w:keepLines w:val="0"/>
              <w:pageBreakBefore w:val="0"/>
              <w:widowControl/>
              <w:kinsoku/>
              <w:wordWrap/>
              <w:overflowPunct/>
              <w:topLinePunct w:val="0"/>
              <w:autoSpaceDE/>
              <w:autoSpaceDN/>
              <w:bidi w:val="0"/>
              <w:snapToGrid/>
              <w:spacing w:before="0" w:beforeAutospacing="0" w:after="0" w:afterAutospacing="0" w:line="520" w:lineRule="exact"/>
              <w:ind w:firstLine="560" w:firstLineChars="200"/>
              <w:jc w:val="both"/>
              <w:textAlignment w:val="auto"/>
              <w:rPr>
                <w:rFonts w:hint="eastAsia" w:eastAsia="仿宋_GB2312" w:cs="仿宋_GB2312"/>
                <w:color w:val="333333"/>
                <w:sz w:val="32"/>
                <w:lang w:eastAsia="zh-CN"/>
              </w:rPr>
            </w:pPr>
            <w:r>
              <w:rPr>
                <w:rFonts w:hint="eastAsia" w:cs="仿宋_GB2312"/>
                <w:color w:val="333333"/>
                <w:sz w:val="28"/>
                <w:szCs w:val="28"/>
                <w:lang w:eastAsia="zh-CN"/>
              </w:rPr>
              <w:t>米易县</w:t>
            </w:r>
            <w:r>
              <w:rPr>
                <w:rFonts w:hint="eastAsia" w:cs="仿宋_GB2312"/>
                <w:color w:val="333333"/>
                <w:sz w:val="28"/>
                <w:szCs w:val="28"/>
                <w:lang w:val="en-US" w:eastAsia="zh-CN"/>
              </w:rPr>
              <w:t>麻陇彝族乡</w:t>
            </w:r>
            <w:r>
              <w:rPr>
                <w:rFonts w:hint="eastAsia" w:cs="仿宋_GB2312"/>
                <w:color w:val="333333"/>
                <w:sz w:val="28"/>
                <w:szCs w:val="28"/>
                <w:lang w:eastAsia="zh-CN"/>
              </w:rPr>
              <w:t>人民政府</w:t>
            </w:r>
            <w:r>
              <w:rPr>
                <w:rFonts w:hint="eastAsia" w:cs="仿宋_GB2312"/>
                <w:color w:val="333333"/>
                <w:sz w:val="28"/>
                <w:szCs w:val="28"/>
              </w:rPr>
              <w:t>机关</w:t>
            </w:r>
            <w:r>
              <w:rPr>
                <w:rFonts w:hint="eastAsia" w:cs="仿宋_GB2312"/>
                <w:color w:val="333333"/>
                <w:sz w:val="28"/>
                <w:szCs w:val="28"/>
                <w:lang w:eastAsia="zh-CN"/>
              </w:rPr>
              <w:t>（本级）</w:t>
            </w:r>
          </w:p>
        </w:tc>
      </w:tr>
    </w:tbl>
    <w:p w14:paraId="2848CA71">
      <w:pPr>
        <w:pStyle w:val="2"/>
        <w:bidi w:val="0"/>
      </w:pPr>
      <w:bookmarkStart w:id="14" w:name="_Toc21413"/>
      <w:bookmarkStart w:id="15" w:name="_Toc4791"/>
      <w:bookmarkStart w:id="16" w:name="_Toc14577"/>
      <w:bookmarkStart w:id="17" w:name="_Toc19157"/>
      <w:r>
        <w:rPr>
          <w:rFonts w:hint="default"/>
        </w:rPr>
        <w:t>三、收支预算情况说明</w:t>
      </w:r>
      <w:bookmarkEnd w:id="14"/>
      <w:bookmarkEnd w:id="15"/>
      <w:bookmarkEnd w:id="16"/>
      <w:bookmarkEnd w:id="17"/>
    </w:p>
    <w:p w14:paraId="158927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eastAsia" w:ascii="Times New Roman" w:hAnsi="Times New Roman" w:eastAsia="方正仿宋_GB2312" w:cs="Times New Roman"/>
          <w:color w:val="auto"/>
          <w:kern w:val="2"/>
          <w:sz w:val="33"/>
          <w:szCs w:val="33"/>
          <w:lang w:val="en-US" w:eastAsia="zh-CN" w:bidi="ar-SA"/>
        </w:rPr>
      </w:pPr>
      <w:r>
        <w:rPr>
          <w:rFonts w:hint="default" w:ascii="仿宋_GB2312" w:hAnsi="仿宋_GB2312" w:eastAsia="仿宋_GB2312" w:cs="仿宋_GB2312"/>
          <w:i w:val="0"/>
          <w:iCs w:val="0"/>
          <w:caps w:val="0"/>
          <w:color w:val="000000"/>
          <w:spacing w:val="0"/>
          <w:sz w:val="32"/>
          <w:szCs w:val="32"/>
          <w:lang w:val="en-US" w:eastAsia="zh-CN"/>
        </w:rPr>
        <w:t>按照综合预算的原则，</w:t>
      </w:r>
      <w:r>
        <w:rPr>
          <w:rFonts w:hint="eastAsia" w:ascii="仿宋_GB2312" w:hAnsi="仿宋_GB2312" w:eastAsia="仿宋_GB2312" w:cs="仿宋_GB2312"/>
          <w:i w:val="0"/>
          <w:iCs w:val="0"/>
          <w:caps w:val="0"/>
          <w:color w:val="000000"/>
          <w:spacing w:val="0"/>
          <w:sz w:val="32"/>
          <w:szCs w:val="32"/>
          <w:lang w:val="en-US" w:eastAsia="zh-CN"/>
        </w:rPr>
        <w:t>麻陇彝族乡人民政府</w:t>
      </w:r>
      <w:r>
        <w:rPr>
          <w:rFonts w:hint="default" w:ascii="仿宋_GB2312" w:hAnsi="仿宋_GB2312" w:eastAsia="仿宋_GB2312" w:cs="仿宋_GB2312"/>
          <w:i w:val="0"/>
          <w:iCs w:val="0"/>
          <w:caps w:val="0"/>
          <w:color w:val="000000"/>
          <w:spacing w:val="0"/>
          <w:sz w:val="32"/>
          <w:szCs w:val="32"/>
          <w:lang w:val="en-US" w:eastAsia="zh-CN"/>
        </w:rPr>
        <w:t>所有收入和支出均纳入部门预算管理。收入包括：一般公共预算拨款收入；支出包括：一般公共服务支出、社会保障和就业支出、卫生健康支出、</w:t>
      </w:r>
      <w:r>
        <w:rPr>
          <w:rFonts w:hint="eastAsia" w:ascii="仿宋_GB2312" w:hAnsi="仿宋_GB2312" w:eastAsia="仿宋_GB2312" w:cs="仿宋_GB2312"/>
          <w:i w:val="0"/>
          <w:iCs w:val="0"/>
          <w:caps w:val="0"/>
          <w:color w:val="000000"/>
          <w:spacing w:val="0"/>
          <w:sz w:val="32"/>
          <w:szCs w:val="32"/>
          <w:lang w:val="en-US" w:eastAsia="zh-CN"/>
        </w:rPr>
        <w:t>农林水支出、</w:t>
      </w:r>
      <w:r>
        <w:rPr>
          <w:rFonts w:hint="default" w:ascii="仿宋_GB2312" w:hAnsi="仿宋_GB2312" w:eastAsia="仿宋_GB2312" w:cs="仿宋_GB2312"/>
          <w:i w:val="0"/>
          <w:iCs w:val="0"/>
          <w:caps w:val="0"/>
          <w:color w:val="000000"/>
          <w:spacing w:val="0"/>
          <w:sz w:val="32"/>
          <w:szCs w:val="32"/>
          <w:lang w:val="en-US" w:eastAsia="zh-CN"/>
        </w:rPr>
        <w:t>住房保障支出。</w:t>
      </w:r>
      <w:r>
        <w:rPr>
          <w:rFonts w:hint="eastAsia" w:ascii="仿宋_GB2312" w:hAnsi="仿宋_GB2312" w:eastAsia="仿宋_GB2312" w:cs="仿宋_GB2312"/>
          <w:i w:val="0"/>
          <w:iCs w:val="0"/>
          <w:caps w:val="0"/>
          <w:color w:val="000000"/>
          <w:spacing w:val="0"/>
          <w:sz w:val="32"/>
          <w:szCs w:val="32"/>
          <w:lang w:val="en-US" w:eastAsia="zh-CN"/>
        </w:rPr>
        <w:t>麻陇彝族乡人民政府</w:t>
      </w:r>
      <w:r>
        <w:rPr>
          <w:rFonts w:hint="default" w:ascii="Times New Roman" w:hAnsi="Times New Roman" w:eastAsia="微软雅黑"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lang w:val="en-US" w:eastAsia="zh-CN"/>
        </w:rPr>
        <w:t>年收支总预算</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lang w:val="en-US" w:eastAsia="zh-CN"/>
        </w:rPr>
        <w:t>元。比</w:t>
      </w:r>
      <w:r>
        <w:rPr>
          <w:rFonts w:hint="default" w:ascii="Times New Roman" w:hAnsi="Times New Roman" w:eastAsia="微软雅黑"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仿宋_GB2312" w:hAnsi="仿宋_GB2312" w:eastAsia="仿宋_GB2312" w:cs="仿宋_GB2312"/>
          <w:i w:val="0"/>
          <w:iCs w:val="0"/>
          <w:caps w:val="0"/>
          <w:color w:val="000000"/>
          <w:spacing w:val="0"/>
          <w:sz w:val="32"/>
          <w:szCs w:val="32"/>
          <w:lang w:val="en-US" w:eastAsia="zh-CN"/>
        </w:rPr>
        <w:t>年预算数</w:t>
      </w:r>
      <w:r>
        <w:rPr>
          <w:rFonts w:hint="eastAsia" w:ascii="仿宋_GB2312" w:hAnsi="仿宋_GB2312" w:eastAsia="仿宋_GB2312" w:cs="仿宋_GB2312"/>
          <w:i w:val="0"/>
          <w:iCs w:val="0"/>
          <w:caps w:val="0"/>
          <w:color w:val="000000"/>
          <w:spacing w:val="0"/>
          <w:sz w:val="32"/>
          <w:szCs w:val="32"/>
          <w:lang w:val="en-US" w:eastAsia="zh-CN"/>
        </w:rPr>
        <w:t>增加</w:t>
      </w:r>
      <w:r>
        <w:rPr>
          <w:rFonts w:hint="eastAsia" w:ascii="Times New Roman" w:hAnsi="Times New Roman" w:eastAsia="仿宋_GB2312" w:cs="Times New Roman"/>
          <w:i w:val="0"/>
          <w:iCs w:val="0"/>
          <w:caps w:val="0"/>
          <w:color w:val="auto"/>
          <w:spacing w:val="0"/>
          <w:sz w:val="32"/>
          <w:szCs w:val="32"/>
          <w:lang w:val="en-US" w:eastAsia="zh-CN"/>
        </w:rPr>
        <w:t>14328.98</w:t>
      </w:r>
      <w:r>
        <w:rPr>
          <w:rFonts w:hint="default" w:ascii="仿宋_GB2312" w:hAnsi="仿宋_GB2312" w:eastAsia="仿宋_GB2312" w:cs="仿宋_GB2312"/>
          <w:i w:val="0"/>
          <w:iCs w:val="0"/>
          <w:caps w:val="0"/>
          <w:color w:val="000000"/>
          <w:spacing w:val="0"/>
          <w:sz w:val="32"/>
          <w:szCs w:val="32"/>
          <w:lang w:val="en-US" w:eastAsia="zh-CN"/>
        </w:rPr>
        <w:t>元，</w:t>
      </w:r>
      <w:r>
        <w:rPr>
          <w:rFonts w:hint="eastAsia" w:ascii="仿宋_GB2312" w:hAnsi="仿宋_GB2312" w:eastAsia="仿宋_GB2312" w:cs="仿宋_GB2312"/>
          <w:i w:val="0"/>
          <w:iCs w:val="0"/>
          <w:caps w:val="0"/>
          <w:color w:val="000000"/>
          <w:spacing w:val="0"/>
          <w:sz w:val="32"/>
          <w:szCs w:val="32"/>
          <w:lang w:val="en-US" w:eastAsia="zh-CN"/>
        </w:rPr>
        <w:t>增加</w:t>
      </w:r>
      <w:r>
        <w:rPr>
          <w:rFonts w:hint="eastAsia" w:ascii="Times New Roman" w:hAnsi="Times New Roman" w:eastAsia="仿宋_GB2312" w:cs="Times New Roman"/>
          <w:i w:val="0"/>
          <w:iCs w:val="0"/>
          <w:caps w:val="0"/>
          <w:color w:val="auto"/>
          <w:spacing w:val="0"/>
          <w:sz w:val="32"/>
          <w:szCs w:val="32"/>
          <w:lang w:val="en-US" w:eastAsia="zh-CN"/>
        </w:rPr>
        <w:t>0.15%</w:t>
      </w:r>
      <w:r>
        <w:rPr>
          <w:rFonts w:hint="eastAsia" w:ascii="仿宋_GB2312" w:hAnsi="仿宋_GB2312" w:eastAsia="仿宋_GB2312" w:cs="仿宋_GB2312"/>
          <w:i w:val="0"/>
          <w:iCs w:val="0"/>
          <w:caps w:val="0"/>
          <w:color w:val="000000"/>
          <w:spacing w:val="0"/>
          <w:sz w:val="32"/>
          <w:szCs w:val="32"/>
          <w:lang w:val="en-US" w:eastAsia="zh-CN"/>
        </w:rPr>
        <w:t>，</w:t>
      </w:r>
      <w:r>
        <w:rPr>
          <w:rFonts w:hint="default" w:ascii="仿宋_GB2312" w:hAnsi="仿宋_GB2312" w:eastAsia="仿宋_GB2312" w:cs="仿宋_GB2312"/>
          <w:i w:val="0"/>
          <w:iCs w:val="0"/>
          <w:caps w:val="0"/>
          <w:color w:val="000000"/>
          <w:spacing w:val="0"/>
          <w:sz w:val="32"/>
          <w:szCs w:val="32"/>
          <w:lang w:val="en-US" w:eastAsia="zh-CN"/>
        </w:rPr>
        <w:t>主要是</w:t>
      </w:r>
      <w:r>
        <w:rPr>
          <w:rFonts w:hint="default" w:ascii="Times New Roman" w:hAnsi="Times New Roman" w:eastAsia="方正仿宋_GB2312" w:cs="Times New Roman"/>
          <w:color w:val="auto"/>
          <w:kern w:val="2"/>
          <w:sz w:val="33"/>
          <w:szCs w:val="33"/>
          <w:lang w:val="en-US" w:eastAsia="zh-CN" w:bidi="ar-SA"/>
        </w:rPr>
        <w:t>202</w:t>
      </w:r>
      <w:r>
        <w:rPr>
          <w:rFonts w:hint="eastAsia" w:ascii="Times New Roman" w:hAnsi="Times New Roman" w:eastAsia="方正仿宋_GB2312" w:cs="Times New Roman"/>
          <w:color w:val="auto"/>
          <w:kern w:val="2"/>
          <w:sz w:val="33"/>
          <w:szCs w:val="33"/>
          <w:lang w:val="en-US" w:eastAsia="zh-CN" w:bidi="ar-SA"/>
        </w:rPr>
        <w:t>6</w:t>
      </w:r>
      <w:r>
        <w:rPr>
          <w:rFonts w:hint="default" w:ascii="仿宋_GB2312" w:hAnsi="仿宋_GB2312" w:eastAsia="仿宋_GB2312" w:cs="仿宋_GB2312"/>
          <w:i w:val="0"/>
          <w:iCs w:val="0"/>
          <w:caps w:val="0"/>
          <w:color w:val="000000"/>
          <w:spacing w:val="0"/>
          <w:sz w:val="32"/>
          <w:szCs w:val="32"/>
          <w:lang w:val="en-US" w:eastAsia="zh-CN"/>
        </w:rPr>
        <w:t>年</w:t>
      </w:r>
      <w:r>
        <w:rPr>
          <w:rFonts w:hint="eastAsia" w:ascii="仿宋_GB2312" w:hAnsi="仿宋_GB2312" w:eastAsia="仿宋_GB2312" w:cs="仿宋_GB2312"/>
          <w:i w:val="0"/>
          <w:iCs w:val="0"/>
          <w:caps w:val="0"/>
          <w:color w:val="000000"/>
          <w:spacing w:val="0"/>
          <w:sz w:val="32"/>
          <w:szCs w:val="32"/>
          <w:lang w:val="en-US" w:eastAsia="zh-CN"/>
        </w:rPr>
        <w:t>项目支出增加</w:t>
      </w:r>
      <w:r>
        <w:rPr>
          <w:rFonts w:hint="default" w:ascii="仿宋_GB2312" w:hAnsi="仿宋_GB2312" w:eastAsia="仿宋_GB2312" w:cs="仿宋_GB2312"/>
          <w:i w:val="0"/>
          <w:iCs w:val="0"/>
          <w:caps w:val="0"/>
          <w:color w:val="000000"/>
          <w:spacing w:val="0"/>
          <w:sz w:val="32"/>
          <w:szCs w:val="32"/>
          <w:lang w:val="en-US" w:eastAsia="zh-CN"/>
        </w:rPr>
        <w:t>。</w:t>
      </w:r>
    </w:p>
    <w:p w14:paraId="6D7EE0DB">
      <w:pPr>
        <w:pStyle w:val="4"/>
        <w:bidi w:val="0"/>
        <w:rPr>
          <w:rFonts w:hint="eastAsia"/>
          <w:lang w:val="en-US" w:eastAsia="zh-CN"/>
        </w:rPr>
      </w:pPr>
      <w:bookmarkStart w:id="18" w:name="_Toc8336"/>
      <w:bookmarkStart w:id="19" w:name="_Toc32207"/>
      <w:bookmarkStart w:id="20" w:name="_Toc32309"/>
      <w:r>
        <w:rPr>
          <w:rFonts w:hint="default"/>
          <w:lang w:val="en-US" w:eastAsia="zh-CN"/>
        </w:rPr>
        <w:t>（一）收入预算情况。</w:t>
      </w:r>
      <w:bookmarkEnd w:id="18"/>
      <w:bookmarkEnd w:id="19"/>
      <w:bookmarkEnd w:id="20"/>
    </w:p>
    <w:p w14:paraId="3863C8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default" w:ascii="Times New Roman" w:hAnsi="Times New Roman" w:cs="Times New Roman"/>
        </w:rPr>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微软雅黑"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年收入预算</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元，其中：一般公共预算拨款收入</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100</w:t>
      </w:r>
      <w:r>
        <w:rPr>
          <w:rFonts w:hint="default" w:ascii="Times New Roman" w:hAnsi="Times New Roman" w:eastAsia="微软雅黑" w:cs="Times New Roman"/>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w:t>
      </w:r>
    </w:p>
    <w:p w14:paraId="653DDB59">
      <w:pPr>
        <w:pStyle w:val="4"/>
        <w:bidi w:val="0"/>
      </w:pPr>
      <w:bookmarkStart w:id="21" w:name="_Toc25201"/>
      <w:bookmarkStart w:id="22" w:name="_Toc5754"/>
      <w:bookmarkStart w:id="23" w:name="_Toc11819"/>
      <w:r>
        <w:rPr>
          <w:rFonts w:hint="default"/>
        </w:rPr>
        <w:t>（二）支出预算情况。</w:t>
      </w:r>
      <w:bookmarkEnd w:id="21"/>
      <w:bookmarkEnd w:id="22"/>
      <w:bookmarkEnd w:id="23"/>
    </w:p>
    <w:p w14:paraId="196310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年支出预算</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元，其中：基本支出</w:t>
      </w:r>
      <w:r>
        <w:rPr>
          <w:rFonts w:hint="eastAsia" w:ascii="Times New Roman" w:hAnsi="Times New Roman" w:eastAsia="仿宋_GB2312" w:cs="Times New Roman"/>
          <w:i w:val="0"/>
          <w:iCs w:val="0"/>
          <w:caps w:val="0"/>
          <w:color w:val="000000"/>
          <w:spacing w:val="0"/>
          <w:sz w:val="32"/>
          <w:szCs w:val="32"/>
          <w:lang w:val="en-US" w:eastAsia="zh-CN"/>
        </w:rPr>
        <w:t>7615024.64</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79.03</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；项目支出</w:t>
      </w:r>
      <w:r>
        <w:rPr>
          <w:rFonts w:hint="eastAsia" w:ascii="Times New Roman" w:hAnsi="Times New Roman" w:eastAsia="仿宋_GB2312" w:cs="Times New Roman"/>
          <w:i w:val="0"/>
          <w:iCs w:val="0"/>
          <w:caps w:val="0"/>
          <w:color w:val="000000"/>
          <w:spacing w:val="0"/>
          <w:sz w:val="32"/>
          <w:szCs w:val="32"/>
          <w:lang w:val="en-US" w:eastAsia="zh-CN"/>
        </w:rPr>
        <w:t>2021043</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20.97</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w:t>
      </w:r>
    </w:p>
    <w:p w14:paraId="72FFEBFE">
      <w:pPr>
        <w:pStyle w:val="2"/>
        <w:bidi w:val="0"/>
        <w:rPr>
          <w:rFonts w:hint="default"/>
        </w:rPr>
      </w:pPr>
      <w:bookmarkStart w:id="24" w:name="_Toc28374"/>
      <w:bookmarkStart w:id="25" w:name="_Toc18857"/>
      <w:bookmarkStart w:id="26" w:name="_Toc21973"/>
      <w:bookmarkStart w:id="27" w:name="_Toc4795"/>
      <w:r>
        <w:rPr>
          <w:rFonts w:hint="eastAsia"/>
          <w:lang w:val="en-US" w:eastAsia="zh-CN"/>
        </w:rPr>
        <w:t>四、</w:t>
      </w:r>
      <w:r>
        <w:rPr>
          <w:rFonts w:hint="default"/>
        </w:rPr>
        <w:t>财政拨款收支预算情况说明</w:t>
      </w:r>
      <w:bookmarkEnd w:id="24"/>
      <w:bookmarkEnd w:id="25"/>
      <w:bookmarkEnd w:id="26"/>
      <w:bookmarkEnd w:id="27"/>
    </w:p>
    <w:p w14:paraId="1EBE93BF">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Chars="0" w:right="0" w:rightChars="0" w:firstLine="640" w:firstLineChars="20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年财政拨款收支总预算</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元。收入包括：本年一般公共预算拨款收入</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Times New Roman" w:hAnsi="Times New Roman" w:eastAsia="仿宋_GB2312" w:cs="Times New Roman"/>
          <w:i w:val="0"/>
          <w:iCs w:val="0"/>
          <w:caps w:val="0"/>
          <w:color w:val="000000"/>
          <w:spacing w:val="0"/>
          <w:sz w:val="32"/>
          <w:szCs w:val="32"/>
        </w:rPr>
        <w:t>元</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val="en-US" w:eastAsia="zh-CN"/>
        </w:rPr>
        <w:t>政府性基金预算收入0元，上年结转安排</w:t>
      </w:r>
      <w:r>
        <w:rPr>
          <w:rFonts w:hint="eastAsia" w:ascii="Times New Roman" w:hAnsi="Times New Roman" w:eastAsia="仿宋_GB2312" w:cs="Times New Roman"/>
          <w:i w:val="0"/>
          <w:iCs w:val="0"/>
          <w:caps w:val="0"/>
          <w:color w:val="000000"/>
          <w:spacing w:val="0"/>
          <w:sz w:val="32"/>
          <w:szCs w:val="32"/>
          <w:lang w:val="en-US" w:eastAsia="zh-CN"/>
        </w:rPr>
        <w:t>0</w:t>
      </w:r>
      <w:r>
        <w:rPr>
          <w:rFonts w:hint="default" w:ascii="Times New Roman" w:hAnsi="Times New Roman" w:eastAsia="仿宋_GB2312" w:cs="Times New Roman"/>
          <w:i w:val="0"/>
          <w:iCs w:val="0"/>
          <w:caps w:val="0"/>
          <w:color w:val="000000"/>
          <w:spacing w:val="0"/>
          <w:sz w:val="32"/>
          <w:szCs w:val="32"/>
          <w:lang w:val="en-US" w:eastAsia="zh-CN"/>
        </w:rPr>
        <w:t>元</w:t>
      </w:r>
      <w:r>
        <w:rPr>
          <w:rFonts w:hint="default" w:ascii="仿宋_GB2312" w:hAnsi="仿宋_GB2312" w:eastAsia="仿宋_GB2312" w:cs="仿宋_GB2312"/>
          <w:i w:val="0"/>
          <w:iCs w:val="0"/>
          <w:caps w:val="0"/>
          <w:color w:val="000000"/>
          <w:spacing w:val="0"/>
          <w:sz w:val="32"/>
          <w:szCs w:val="32"/>
        </w:rPr>
        <w:t>；支出包括：一般公共服务支出</w:t>
      </w:r>
      <w:r>
        <w:rPr>
          <w:rFonts w:hint="default" w:ascii="Times New Roman" w:hAnsi="Times New Roman" w:eastAsia="仿宋_GB2312" w:cs="Times New Roman"/>
          <w:i w:val="0"/>
          <w:iCs w:val="0"/>
          <w:caps w:val="0"/>
          <w:color w:val="000000"/>
          <w:spacing w:val="0"/>
          <w:sz w:val="32"/>
          <w:szCs w:val="32"/>
          <w:lang w:val="en-US" w:eastAsia="zh-CN"/>
        </w:rPr>
        <w:t>5886525.44</w:t>
      </w:r>
      <w:r>
        <w:rPr>
          <w:rFonts w:hint="default" w:ascii="仿宋_GB2312" w:hAnsi="仿宋_GB2312" w:eastAsia="仿宋_GB2312" w:cs="仿宋_GB2312"/>
          <w:i w:val="0"/>
          <w:iCs w:val="0"/>
          <w:caps w:val="0"/>
          <w:color w:val="000000"/>
          <w:spacing w:val="0"/>
          <w:sz w:val="32"/>
          <w:szCs w:val="32"/>
        </w:rPr>
        <w:t>元、社会保障和就业支出</w:t>
      </w:r>
      <w:r>
        <w:rPr>
          <w:rFonts w:hint="eastAsia" w:ascii="Times New Roman" w:hAnsi="Times New Roman" w:eastAsia="仿宋_GB2312" w:cs="Times New Roman"/>
          <w:i w:val="0"/>
          <w:iCs w:val="0"/>
          <w:caps w:val="0"/>
          <w:color w:val="000000"/>
          <w:spacing w:val="0"/>
          <w:sz w:val="32"/>
          <w:szCs w:val="32"/>
          <w:lang w:val="en-US" w:eastAsia="zh-CN"/>
        </w:rPr>
        <w:t>600155.6</w:t>
      </w:r>
      <w:r>
        <w:rPr>
          <w:rFonts w:hint="default" w:ascii="仿宋_GB2312" w:hAnsi="仿宋_GB2312" w:eastAsia="仿宋_GB2312" w:cs="仿宋_GB2312"/>
          <w:i w:val="0"/>
          <w:iCs w:val="0"/>
          <w:caps w:val="0"/>
          <w:color w:val="000000"/>
          <w:spacing w:val="0"/>
          <w:sz w:val="32"/>
          <w:szCs w:val="32"/>
        </w:rPr>
        <w:t>元、卫生健康支出</w:t>
      </w:r>
      <w:r>
        <w:rPr>
          <w:rFonts w:hint="eastAsia" w:ascii="Times New Roman" w:hAnsi="Times New Roman" w:eastAsia="仿宋_GB2312" w:cs="Times New Roman"/>
          <w:i w:val="0"/>
          <w:iCs w:val="0"/>
          <w:caps w:val="0"/>
          <w:color w:val="000000"/>
          <w:spacing w:val="0"/>
          <w:sz w:val="32"/>
          <w:szCs w:val="32"/>
          <w:lang w:val="en-US" w:eastAsia="zh-CN"/>
        </w:rPr>
        <w:t>448226.16</w:t>
      </w:r>
      <w:r>
        <w:rPr>
          <w:rFonts w:hint="default" w:ascii="仿宋_GB2312" w:hAnsi="仿宋_GB2312" w:eastAsia="仿宋_GB2312" w:cs="仿宋_GB2312"/>
          <w:i w:val="0"/>
          <w:iCs w:val="0"/>
          <w:caps w:val="0"/>
          <w:color w:val="000000"/>
          <w:spacing w:val="0"/>
          <w:sz w:val="32"/>
          <w:szCs w:val="32"/>
        </w:rPr>
        <w:t>元</w:t>
      </w:r>
      <w:r>
        <w:rPr>
          <w:rFonts w:hint="eastAsia" w:ascii="仿宋_GB2312" w:hAnsi="仿宋_GB2312" w:eastAsia="仿宋_GB2312" w:cs="仿宋_GB2312"/>
          <w:i w:val="0"/>
          <w:iCs w:val="0"/>
          <w:caps w:val="0"/>
          <w:color w:val="000000"/>
          <w:spacing w:val="0"/>
          <w:sz w:val="32"/>
          <w:szCs w:val="32"/>
          <w:lang w:eastAsia="zh-CN"/>
        </w:rPr>
        <w:t>、农林水支出</w:t>
      </w:r>
      <w:r>
        <w:rPr>
          <w:rFonts w:hint="eastAsia" w:ascii="Times New Roman" w:hAnsi="Times New Roman" w:eastAsia="仿宋_GB2312" w:cs="Times New Roman"/>
          <w:i w:val="0"/>
          <w:iCs w:val="0"/>
          <w:caps w:val="0"/>
          <w:color w:val="000000"/>
          <w:spacing w:val="0"/>
          <w:sz w:val="32"/>
          <w:szCs w:val="32"/>
          <w:lang w:val="en-US" w:eastAsia="zh-CN"/>
        </w:rPr>
        <w:t>2248112.44</w:t>
      </w:r>
      <w:r>
        <w:rPr>
          <w:rFonts w:hint="eastAsia" w:ascii="仿宋_GB2312" w:hAnsi="仿宋_GB2312" w:eastAsia="仿宋_GB2312" w:cs="仿宋_GB2312"/>
          <w:i w:val="0"/>
          <w:iCs w:val="0"/>
          <w:caps w:val="0"/>
          <w:color w:val="000000"/>
          <w:spacing w:val="0"/>
          <w:sz w:val="32"/>
          <w:szCs w:val="32"/>
          <w:lang w:eastAsia="zh-CN"/>
        </w:rPr>
        <w:t>元、</w:t>
      </w:r>
      <w:r>
        <w:rPr>
          <w:rFonts w:hint="default" w:ascii="仿宋_GB2312" w:hAnsi="仿宋_GB2312" w:eastAsia="仿宋_GB2312" w:cs="仿宋_GB2312"/>
          <w:i w:val="0"/>
          <w:iCs w:val="0"/>
          <w:caps w:val="0"/>
          <w:color w:val="000000"/>
          <w:spacing w:val="0"/>
          <w:sz w:val="32"/>
          <w:szCs w:val="32"/>
        </w:rPr>
        <w:t>住房保障支出</w:t>
      </w:r>
      <w:r>
        <w:rPr>
          <w:rFonts w:hint="eastAsia" w:ascii="Times New Roman" w:hAnsi="Times New Roman" w:eastAsia="仿宋_GB2312" w:cs="Times New Roman"/>
          <w:i w:val="0"/>
          <w:iCs w:val="0"/>
          <w:caps w:val="0"/>
          <w:color w:val="000000"/>
          <w:spacing w:val="0"/>
          <w:sz w:val="32"/>
          <w:szCs w:val="32"/>
          <w:lang w:val="en-US" w:eastAsia="zh-CN"/>
        </w:rPr>
        <w:t>453048</w:t>
      </w:r>
      <w:r>
        <w:rPr>
          <w:rFonts w:hint="default" w:ascii="仿宋_GB2312" w:hAnsi="仿宋_GB2312" w:eastAsia="仿宋_GB2312" w:cs="仿宋_GB2312"/>
          <w:i w:val="0"/>
          <w:iCs w:val="0"/>
          <w:caps w:val="0"/>
          <w:color w:val="000000"/>
          <w:spacing w:val="0"/>
          <w:sz w:val="32"/>
          <w:szCs w:val="32"/>
        </w:rPr>
        <w:t>元。</w:t>
      </w:r>
    </w:p>
    <w:p w14:paraId="5474685C">
      <w:pPr>
        <w:pStyle w:val="2"/>
        <w:bidi w:val="0"/>
      </w:pPr>
      <w:bookmarkStart w:id="28" w:name="_Toc12219"/>
      <w:bookmarkStart w:id="29" w:name="_Toc6329"/>
      <w:bookmarkStart w:id="30" w:name="_Toc32283"/>
      <w:bookmarkStart w:id="31" w:name="_Toc20390"/>
      <w:r>
        <w:rPr>
          <w:rFonts w:hint="default"/>
        </w:rPr>
        <w:t>五、一般公共预算当年拨款情况说明</w:t>
      </w:r>
      <w:bookmarkEnd w:id="28"/>
      <w:bookmarkEnd w:id="29"/>
      <w:bookmarkEnd w:id="30"/>
      <w:bookmarkEnd w:id="31"/>
    </w:p>
    <w:p w14:paraId="7473C8B8">
      <w:pPr>
        <w:pStyle w:val="4"/>
        <w:bidi w:val="0"/>
      </w:pPr>
      <w:bookmarkStart w:id="32" w:name="_Toc26175"/>
      <w:bookmarkStart w:id="33" w:name="_Toc2807"/>
      <w:bookmarkStart w:id="34" w:name="_Toc16705"/>
      <w:r>
        <w:rPr>
          <w:rFonts w:hint="default"/>
        </w:rPr>
        <w:t>（一）一般公共预算当年拨款规模变化情况。</w:t>
      </w:r>
      <w:bookmarkEnd w:id="32"/>
      <w:bookmarkEnd w:id="33"/>
      <w:bookmarkEnd w:id="34"/>
    </w:p>
    <w:p w14:paraId="5C747C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年一般公共预算当年拨款</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比</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202</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5</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年预算数</w:t>
      </w:r>
      <w:r>
        <w:rPr>
          <w:rFonts w:hint="eastAsia" w:ascii="仿宋_GB2312" w:hAnsi="仿宋_GB2312" w:eastAsia="仿宋_GB2312" w:cs="仿宋_GB2312"/>
          <w:i w:val="0"/>
          <w:iCs w:val="0"/>
          <w:caps w:val="0"/>
          <w:color w:val="000000"/>
          <w:spacing w:val="0"/>
          <w:sz w:val="32"/>
          <w:szCs w:val="32"/>
          <w:lang w:val="en-US" w:eastAsia="zh-CN"/>
        </w:rPr>
        <w:t>增加</w:t>
      </w:r>
      <w:r>
        <w:rPr>
          <w:rFonts w:hint="eastAsia" w:ascii="Times New Roman" w:hAnsi="Times New Roman" w:eastAsia="仿宋_GB2312" w:cs="Times New Roman"/>
          <w:i w:val="0"/>
          <w:iCs w:val="0"/>
          <w:caps w:val="0"/>
          <w:color w:val="auto"/>
          <w:spacing w:val="0"/>
          <w:sz w:val="32"/>
          <w:szCs w:val="32"/>
          <w:lang w:val="en-US" w:eastAsia="zh-CN"/>
        </w:rPr>
        <w:t>14328.98</w:t>
      </w:r>
      <w:r>
        <w:rPr>
          <w:rFonts w:hint="default" w:ascii="仿宋_GB2312" w:hAnsi="仿宋_GB2312" w:eastAsia="仿宋_GB2312" w:cs="仿宋_GB2312"/>
          <w:i w:val="0"/>
          <w:iCs w:val="0"/>
          <w:caps w:val="0"/>
          <w:color w:val="000000"/>
          <w:spacing w:val="0"/>
          <w:sz w:val="32"/>
          <w:szCs w:val="32"/>
          <w:lang w:val="en-US" w:eastAsia="zh-CN"/>
        </w:rPr>
        <w:t>元</w:t>
      </w:r>
      <w:r>
        <w:rPr>
          <w:rFonts w:hint="default"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i w:val="0"/>
          <w:iCs w:val="0"/>
          <w:caps w:val="0"/>
          <w:color w:val="000000"/>
          <w:spacing w:val="0"/>
          <w:sz w:val="32"/>
          <w:szCs w:val="32"/>
          <w:lang w:val="en-US" w:eastAsia="zh-CN"/>
        </w:rPr>
        <w:t>增加</w:t>
      </w:r>
      <w:r>
        <w:rPr>
          <w:rFonts w:hint="eastAsia" w:ascii="Times New Roman" w:hAnsi="Times New Roman" w:eastAsia="仿宋_GB2312" w:cs="Times New Roman"/>
          <w:i w:val="0"/>
          <w:iCs w:val="0"/>
          <w:caps w:val="0"/>
          <w:color w:val="auto"/>
          <w:spacing w:val="0"/>
          <w:sz w:val="32"/>
          <w:szCs w:val="32"/>
          <w:lang w:val="en-US" w:eastAsia="zh-CN"/>
        </w:rPr>
        <w:t>0.15%</w:t>
      </w:r>
      <w:r>
        <w:rPr>
          <w:rFonts w:hint="eastAsia" w:ascii="仿宋_GB2312" w:hAnsi="仿宋_GB2312" w:eastAsia="仿宋_GB2312" w:cs="仿宋_GB2312"/>
          <w:i w:val="0"/>
          <w:iCs w:val="0"/>
          <w:caps w:val="0"/>
          <w:color w:val="000000"/>
          <w:spacing w:val="0"/>
          <w:sz w:val="32"/>
          <w:szCs w:val="32"/>
          <w:lang w:val="en-US" w:eastAsia="zh-CN"/>
        </w:rPr>
        <w:t>，</w:t>
      </w:r>
      <w:r>
        <w:rPr>
          <w:rFonts w:hint="default" w:ascii="仿宋_GB2312" w:hAnsi="仿宋_GB2312" w:eastAsia="仿宋_GB2312" w:cs="仿宋_GB2312"/>
          <w:i w:val="0"/>
          <w:iCs w:val="0"/>
          <w:caps w:val="0"/>
          <w:color w:val="000000"/>
          <w:spacing w:val="0"/>
          <w:sz w:val="32"/>
          <w:szCs w:val="32"/>
          <w:lang w:val="en-US" w:eastAsia="zh-CN"/>
        </w:rPr>
        <w:t>主要是</w:t>
      </w:r>
      <w:r>
        <w:rPr>
          <w:rFonts w:hint="default" w:ascii="Times New Roman" w:hAnsi="Times New Roman" w:eastAsia="方正仿宋_GB2312" w:cs="Times New Roman"/>
          <w:color w:val="auto"/>
          <w:kern w:val="2"/>
          <w:sz w:val="33"/>
          <w:szCs w:val="33"/>
          <w:lang w:val="en-US" w:eastAsia="zh-CN" w:bidi="ar-SA"/>
        </w:rPr>
        <w:t>202</w:t>
      </w:r>
      <w:r>
        <w:rPr>
          <w:rFonts w:hint="eastAsia" w:ascii="Times New Roman" w:hAnsi="Times New Roman" w:eastAsia="方正仿宋_GB2312" w:cs="Times New Roman"/>
          <w:color w:val="auto"/>
          <w:kern w:val="2"/>
          <w:sz w:val="33"/>
          <w:szCs w:val="33"/>
          <w:lang w:val="en-US" w:eastAsia="zh-CN" w:bidi="ar-SA"/>
        </w:rPr>
        <w:t>6</w:t>
      </w:r>
      <w:r>
        <w:rPr>
          <w:rFonts w:hint="default" w:ascii="仿宋_GB2312" w:hAnsi="仿宋_GB2312" w:eastAsia="仿宋_GB2312" w:cs="仿宋_GB2312"/>
          <w:i w:val="0"/>
          <w:iCs w:val="0"/>
          <w:caps w:val="0"/>
          <w:color w:val="000000"/>
          <w:spacing w:val="0"/>
          <w:sz w:val="32"/>
          <w:szCs w:val="32"/>
          <w:lang w:val="en-US" w:eastAsia="zh-CN"/>
        </w:rPr>
        <w:t>年</w:t>
      </w:r>
      <w:r>
        <w:rPr>
          <w:rFonts w:hint="eastAsia" w:ascii="仿宋_GB2312" w:hAnsi="仿宋_GB2312" w:eastAsia="仿宋_GB2312" w:cs="仿宋_GB2312"/>
          <w:i w:val="0"/>
          <w:iCs w:val="0"/>
          <w:caps w:val="0"/>
          <w:color w:val="000000"/>
          <w:spacing w:val="0"/>
          <w:sz w:val="32"/>
          <w:szCs w:val="32"/>
          <w:lang w:val="en-US" w:eastAsia="zh-CN"/>
        </w:rPr>
        <w:t>项目支出增加</w:t>
      </w:r>
      <w:r>
        <w:rPr>
          <w:rFonts w:hint="default" w:ascii="仿宋_GB2312" w:hAnsi="仿宋_GB2312" w:eastAsia="仿宋_GB2312" w:cs="仿宋_GB2312"/>
          <w:i w:val="0"/>
          <w:iCs w:val="0"/>
          <w:caps w:val="0"/>
          <w:color w:val="000000"/>
          <w:spacing w:val="0"/>
          <w:sz w:val="32"/>
          <w:szCs w:val="32"/>
        </w:rPr>
        <w:t>。</w:t>
      </w:r>
    </w:p>
    <w:p w14:paraId="631E20E0">
      <w:pPr>
        <w:pStyle w:val="4"/>
        <w:bidi w:val="0"/>
      </w:pPr>
      <w:bookmarkStart w:id="35" w:name="_Toc5322"/>
      <w:bookmarkStart w:id="36" w:name="_Toc26957"/>
      <w:bookmarkStart w:id="37" w:name="_Toc31439"/>
      <w:r>
        <w:rPr>
          <w:rFonts w:hint="default"/>
        </w:rPr>
        <w:t>（二）一般公共预算当年拨款结构情况。</w:t>
      </w:r>
      <w:bookmarkEnd w:id="35"/>
      <w:bookmarkEnd w:id="36"/>
      <w:bookmarkEnd w:id="37"/>
    </w:p>
    <w:p w14:paraId="28B0B4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仿宋_GB2312" w:hAnsi="仿宋_GB2312" w:eastAsia="仿宋_GB2312" w:cs="仿宋_GB2312"/>
          <w:i w:val="0"/>
          <w:iCs w:val="0"/>
          <w:caps w:val="0"/>
          <w:color w:val="000000"/>
          <w:spacing w:val="0"/>
          <w:sz w:val="32"/>
          <w:szCs w:val="32"/>
        </w:rPr>
        <w:t>一般公共服务支出</w:t>
      </w:r>
      <w:r>
        <w:rPr>
          <w:rFonts w:hint="default" w:ascii="Times New Roman" w:hAnsi="Times New Roman" w:eastAsia="仿宋_GB2312" w:cs="Times New Roman"/>
          <w:i w:val="0"/>
          <w:iCs w:val="0"/>
          <w:caps w:val="0"/>
          <w:color w:val="000000"/>
          <w:spacing w:val="0"/>
          <w:sz w:val="32"/>
          <w:szCs w:val="32"/>
          <w:lang w:val="en-US" w:eastAsia="zh-CN"/>
        </w:rPr>
        <w:t>5886525.44</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61.09</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；社会保障和就业支出</w:t>
      </w:r>
      <w:r>
        <w:rPr>
          <w:rFonts w:hint="eastAsia" w:ascii="Times New Roman" w:hAnsi="Times New Roman" w:eastAsia="仿宋_GB2312" w:cs="Times New Roman"/>
          <w:i w:val="0"/>
          <w:iCs w:val="0"/>
          <w:caps w:val="0"/>
          <w:color w:val="000000"/>
          <w:spacing w:val="0"/>
          <w:sz w:val="32"/>
          <w:szCs w:val="32"/>
          <w:lang w:val="en-US" w:eastAsia="zh-CN"/>
        </w:rPr>
        <w:t>600155.6</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6.23</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；卫生健康支出</w:t>
      </w:r>
      <w:r>
        <w:rPr>
          <w:rFonts w:hint="eastAsia" w:ascii="Times New Roman" w:hAnsi="Times New Roman" w:eastAsia="仿宋_GB2312" w:cs="Times New Roman"/>
          <w:i w:val="0"/>
          <w:iCs w:val="0"/>
          <w:caps w:val="0"/>
          <w:color w:val="000000"/>
          <w:spacing w:val="0"/>
          <w:sz w:val="32"/>
          <w:szCs w:val="32"/>
          <w:lang w:val="en-US" w:eastAsia="zh-CN"/>
        </w:rPr>
        <w:t>448226.16</w:t>
      </w:r>
      <w:r>
        <w:rPr>
          <w:rFonts w:hint="default" w:ascii="仿宋_GB2312" w:hAnsi="仿宋_GB2312" w:eastAsia="仿宋_GB2312" w:cs="仿宋_GB2312"/>
          <w:i w:val="0"/>
          <w:iCs w:val="0"/>
          <w:caps w:val="0"/>
          <w:color w:val="000000"/>
          <w:spacing w:val="0"/>
          <w:sz w:val="32"/>
          <w:szCs w:val="32"/>
        </w:rPr>
        <w:t>元，占</w:t>
      </w:r>
      <w:r>
        <w:rPr>
          <w:rFonts w:hint="default" w:ascii="Times New Roman" w:hAnsi="Times New Roman" w:eastAsia="仿宋_GB2312" w:cs="Times New Roman"/>
          <w:i w:val="0"/>
          <w:iCs w:val="0"/>
          <w:caps w:val="0"/>
          <w:color w:val="000000"/>
          <w:spacing w:val="0"/>
          <w:sz w:val="32"/>
          <w:szCs w:val="32"/>
          <w:lang w:val="en-US" w:eastAsia="zh-CN"/>
        </w:rPr>
        <w:t>4</w:t>
      </w:r>
      <w:r>
        <w:rPr>
          <w:rFonts w:hint="eastAsia" w:ascii="Times New Roman" w:hAnsi="Times New Roman" w:eastAsia="仿宋_GB2312" w:cs="Times New Roman"/>
          <w:i w:val="0"/>
          <w:iCs w:val="0"/>
          <w:caps w:val="0"/>
          <w:color w:val="000000"/>
          <w:spacing w:val="0"/>
          <w:sz w:val="32"/>
          <w:szCs w:val="32"/>
          <w:lang w:val="en-US" w:eastAsia="zh-CN"/>
        </w:rPr>
        <w:t>.65</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i w:val="0"/>
          <w:iCs w:val="0"/>
          <w:caps w:val="0"/>
          <w:color w:val="000000"/>
          <w:spacing w:val="0"/>
          <w:sz w:val="32"/>
          <w:szCs w:val="32"/>
          <w:lang w:eastAsia="zh-CN"/>
        </w:rPr>
        <w:t>农林水支出</w:t>
      </w:r>
      <w:r>
        <w:rPr>
          <w:rFonts w:hint="eastAsia" w:ascii="Times New Roman" w:hAnsi="Times New Roman" w:eastAsia="仿宋_GB2312" w:cs="Times New Roman"/>
          <w:i w:val="0"/>
          <w:iCs w:val="0"/>
          <w:caps w:val="0"/>
          <w:color w:val="000000"/>
          <w:spacing w:val="0"/>
          <w:sz w:val="32"/>
          <w:szCs w:val="32"/>
          <w:lang w:val="en-US" w:eastAsia="zh-CN"/>
        </w:rPr>
        <w:t>2248112.44</w:t>
      </w:r>
      <w:r>
        <w:rPr>
          <w:rFonts w:hint="eastAsia" w:ascii="仿宋_GB2312" w:hAnsi="仿宋_GB2312" w:eastAsia="仿宋_GB2312" w:cs="仿宋_GB2312"/>
          <w:i w:val="0"/>
          <w:iCs w:val="0"/>
          <w:caps w:val="0"/>
          <w:color w:val="000000"/>
          <w:spacing w:val="0"/>
          <w:sz w:val="32"/>
          <w:szCs w:val="32"/>
          <w:lang w:eastAsia="zh-CN"/>
        </w:rPr>
        <w:t>元、</w:t>
      </w:r>
      <w:r>
        <w:rPr>
          <w:rFonts w:hint="default" w:ascii="仿宋_GB2312" w:hAnsi="仿宋_GB2312" w:eastAsia="仿宋_GB2312" w:cs="仿宋_GB2312"/>
          <w:i w:val="0"/>
          <w:iCs w:val="0"/>
          <w:caps w:val="0"/>
          <w:color w:val="000000"/>
          <w:spacing w:val="0"/>
          <w:sz w:val="32"/>
          <w:szCs w:val="32"/>
        </w:rPr>
        <w:t>占</w:t>
      </w:r>
      <w:r>
        <w:rPr>
          <w:rFonts w:hint="eastAsia" w:ascii="Times New Roman" w:hAnsi="Times New Roman" w:eastAsia="仿宋_GB2312" w:cs="Times New Roman"/>
          <w:i w:val="0"/>
          <w:iCs w:val="0"/>
          <w:caps w:val="0"/>
          <w:color w:val="000000"/>
          <w:spacing w:val="0"/>
          <w:sz w:val="32"/>
          <w:szCs w:val="32"/>
          <w:lang w:val="en-US" w:eastAsia="zh-CN"/>
        </w:rPr>
        <w:t>23.33</w:t>
      </w:r>
      <w:r>
        <w:rPr>
          <w:rFonts w:hint="default" w:ascii="Times New Roman" w:hAnsi="Times New Roman" w:eastAsia="微软雅黑" w:cs="Times New Roman"/>
          <w:i w:val="0"/>
          <w:iCs w:val="0"/>
          <w:caps w:val="0"/>
          <w:color w:val="000000"/>
          <w:spacing w:val="0"/>
          <w:sz w:val="32"/>
          <w:szCs w:val="32"/>
        </w:rPr>
        <w:t>%</w:t>
      </w:r>
      <w:r>
        <w:rPr>
          <w:rFonts w:hint="eastAsia" w:ascii="Times New Roman" w:hAnsi="Times New Roman" w:eastAsia="微软雅黑" w:cs="Times New Roman"/>
          <w:i w:val="0"/>
          <w:iCs w:val="0"/>
          <w:caps w:val="0"/>
          <w:color w:val="000000"/>
          <w:spacing w:val="0"/>
          <w:sz w:val="32"/>
          <w:szCs w:val="32"/>
          <w:lang w:val="en-US" w:eastAsia="zh-CN"/>
        </w:rPr>
        <w:t>;</w:t>
      </w:r>
      <w:r>
        <w:rPr>
          <w:rFonts w:hint="default" w:ascii="仿宋_GB2312" w:hAnsi="仿宋_GB2312" w:eastAsia="仿宋_GB2312" w:cs="仿宋_GB2312"/>
          <w:i w:val="0"/>
          <w:iCs w:val="0"/>
          <w:caps w:val="0"/>
          <w:color w:val="000000"/>
          <w:spacing w:val="0"/>
          <w:sz w:val="32"/>
          <w:szCs w:val="32"/>
        </w:rPr>
        <w:t>住房保障支出</w:t>
      </w:r>
      <w:r>
        <w:rPr>
          <w:rFonts w:hint="eastAsia" w:ascii="Times New Roman" w:hAnsi="Times New Roman" w:eastAsia="仿宋_GB2312" w:cs="Times New Roman"/>
          <w:i w:val="0"/>
          <w:iCs w:val="0"/>
          <w:caps w:val="0"/>
          <w:color w:val="000000"/>
          <w:spacing w:val="0"/>
          <w:sz w:val="32"/>
          <w:szCs w:val="32"/>
          <w:lang w:val="en-US" w:eastAsia="zh-CN"/>
        </w:rPr>
        <w:t>453048</w:t>
      </w:r>
      <w:r>
        <w:rPr>
          <w:rFonts w:hint="default" w:ascii="仿宋_GB2312" w:hAnsi="仿宋_GB2312" w:eastAsia="仿宋_GB2312" w:cs="仿宋_GB2312"/>
          <w:i w:val="0"/>
          <w:iCs w:val="0"/>
          <w:caps w:val="0"/>
          <w:color w:val="000000"/>
          <w:spacing w:val="0"/>
          <w:sz w:val="32"/>
          <w:szCs w:val="32"/>
        </w:rPr>
        <w:t>元，占</w:t>
      </w:r>
      <w:r>
        <w:rPr>
          <w:rFonts w:hint="eastAsia" w:ascii="Times New Roman" w:hAnsi="Times New Roman" w:eastAsia="仿宋_GB2312" w:cs="Times New Roman"/>
          <w:i w:val="0"/>
          <w:iCs w:val="0"/>
          <w:caps w:val="0"/>
          <w:color w:val="000000"/>
          <w:spacing w:val="0"/>
          <w:sz w:val="32"/>
          <w:szCs w:val="32"/>
          <w:lang w:val="en-US" w:eastAsia="zh-CN"/>
        </w:rPr>
        <w:t>4.70</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w:t>
      </w:r>
    </w:p>
    <w:p w14:paraId="169DDB59">
      <w:pPr>
        <w:pStyle w:val="4"/>
        <w:bidi w:val="0"/>
      </w:pPr>
      <w:bookmarkStart w:id="38" w:name="_Toc15804"/>
      <w:bookmarkStart w:id="39" w:name="_Toc19640"/>
      <w:r>
        <w:rPr>
          <w:rFonts w:hint="default"/>
        </w:rPr>
        <w:t>（三）一般公共预算当年拨款具体使用情况。</w:t>
      </w:r>
      <w:bookmarkEnd w:id="38"/>
      <w:bookmarkEnd w:id="39"/>
    </w:p>
    <w:p w14:paraId="04F10E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default" w:ascii="Times New Roman" w:hAnsi="Times New Roman" w:eastAsia="仿宋_GB2312" w:cs="Times New Roman"/>
          <w:i w:val="0"/>
          <w:iCs w:val="0"/>
          <w:caps w:val="0"/>
          <w:color w:val="000000"/>
          <w:spacing w:val="0"/>
          <w:sz w:val="32"/>
          <w:szCs w:val="32"/>
        </w:rPr>
        <w:t>1.</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一般公共服务（类）</w:t>
      </w:r>
      <w:r>
        <w:rPr>
          <w:rFonts w:hint="eastAsia" w:ascii="仿宋_GB2312" w:hAnsi="仿宋_GB2312" w:eastAsia="仿宋_GB2312" w:cs="仿宋_GB2312"/>
          <w:i w:val="0"/>
          <w:iCs w:val="0"/>
          <w:caps w:val="0"/>
          <w:color w:val="000000"/>
          <w:spacing w:val="0"/>
          <w:sz w:val="32"/>
          <w:szCs w:val="32"/>
          <w:lang w:val="en-US" w:eastAsia="zh-CN"/>
        </w:rPr>
        <w:t>人大事务</w:t>
      </w:r>
      <w:r>
        <w:rPr>
          <w:rFonts w:hint="default" w:ascii="仿宋_GB2312" w:hAnsi="仿宋_GB2312" w:eastAsia="仿宋_GB2312" w:cs="仿宋_GB2312"/>
          <w:i w:val="0"/>
          <w:iCs w:val="0"/>
          <w:caps w:val="0"/>
          <w:color w:val="000000"/>
          <w:spacing w:val="0"/>
          <w:sz w:val="32"/>
          <w:szCs w:val="32"/>
        </w:rPr>
        <w:t>（款）</w:t>
      </w:r>
      <w:r>
        <w:rPr>
          <w:rFonts w:hint="eastAsia" w:ascii="仿宋_GB2312" w:hAnsi="仿宋_GB2312" w:eastAsia="仿宋_GB2312" w:cs="仿宋_GB2312"/>
          <w:i w:val="0"/>
          <w:iCs w:val="0"/>
          <w:caps w:val="0"/>
          <w:color w:val="000000"/>
          <w:spacing w:val="0"/>
          <w:sz w:val="32"/>
          <w:szCs w:val="32"/>
          <w:lang w:val="en-US" w:eastAsia="zh-CN"/>
        </w:rPr>
        <w:t>一般行政管理事务</w:t>
      </w:r>
      <w:r>
        <w:rPr>
          <w:rFonts w:hint="default" w:ascii="仿宋_GB2312" w:hAnsi="仿宋_GB2312" w:eastAsia="仿宋_GB2312" w:cs="仿宋_GB2312"/>
          <w:i w:val="0"/>
          <w:iCs w:val="0"/>
          <w:caps w:val="0"/>
          <w:color w:val="000000"/>
          <w:spacing w:val="0"/>
          <w:sz w:val="32"/>
          <w:szCs w:val="32"/>
        </w:rPr>
        <w:t>（项）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35000</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val="en-US" w:eastAsia="zh-CN"/>
        </w:rPr>
        <w:t>人大活动费用支出</w:t>
      </w:r>
      <w:r>
        <w:rPr>
          <w:rFonts w:hint="default" w:ascii="仿宋_GB2312" w:hAnsi="仿宋_GB2312" w:eastAsia="仿宋_GB2312" w:cs="仿宋_GB2312"/>
          <w:i w:val="0"/>
          <w:iCs w:val="0"/>
          <w:caps w:val="0"/>
          <w:color w:val="000000"/>
          <w:spacing w:val="0"/>
          <w:sz w:val="32"/>
          <w:szCs w:val="32"/>
        </w:rPr>
        <w:t>。</w:t>
      </w:r>
    </w:p>
    <w:p w14:paraId="33A49B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eastAsia"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一般公共服务（类）政府办公厅（室）及相关机构事务（款）行政运行（项）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4180142.30</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eastAsia="zh-CN"/>
        </w:rPr>
        <w:t>行政</w:t>
      </w:r>
      <w:r>
        <w:rPr>
          <w:rFonts w:hint="default" w:ascii="仿宋_GB2312" w:hAnsi="仿宋_GB2312" w:eastAsia="仿宋_GB2312" w:cs="仿宋_GB2312"/>
          <w:i w:val="0"/>
          <w:iCs w:val="0"/>
          <w:caps w:val="0"/>
          <w:color w:val="000000"/>
          <w:spacing w:val="0"/>
          <w:sz w:val="32"/>
          <w:szCs w:val="32"/>
        </w:rPr>
        <w:t>人员经费支出、</w:t>
      </w:r>
      <w:r>
        <w:rPr>
          <w:rFonts w:hint="eastAsia" w:ascii="仿宋_GB2312" w:hAnsi="仿宋_GB2312" w:eastAsia="仿宋_GB2312" w:cs="仿宋_GB2312"/>
          <w:i w:val="0"/>
          <w:iCs w:val="0"/>
          <w:caps w:val="0"/>
          <w:color w:val="000000"/>
          <w:spacing w:val="0"/>
          <w:sz w:val="32"/>
          <w:szCs w:val="32"/>
          <w:lang w:eastAsia="zh-CN"/>
        </w:rPr>
        <w:t>政府</w:t>
      </w:r>
      <w:r>
        <w:rPr>
          <w:rFonts w:hint="default" w:ascii="仿宋_GB2312" w:hAnsi="仿宋_GB2312" w:eastAsia="仿宋_GB2312" w:cs="仿宋_GB2312"/>
          <w:i w:val="0"/>
          <w:iCs w:val="0"/>
          <w:caps w:val="0"/>
          <w:color w:val="000000"/>
          <w:spacing w:val="0"/>
          <w:sz w:val="32"/>
          <w:szCs w:val="32"/>
        </w:rPr>
        <w:t>机关日常运行。</w:t>
      </w:r>
    </w:p>
    <w:p w14:paraId="6BB2F6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80" w:lineRule="atLeast"/>
        <w:ind w:left="0" w:right="0" w:firstLine="640"/>
        <w:rPr>
          <w:rFonts w:hint="eastAsia" w:eastAsia="仿宋_GB2312"/>
          <w:lang w:eastAsia="zh-CN"/>
        </w:rPr>
      </w:pPr>
      <w:r>
        <w:rPr>
          <w:rFonts w:hint="eastAsia"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一般公共服务（类）政府办公厅（室）及相关机构事务（款）事业运行（项）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default" w:ascii="Times New Roman" w:hAnsi="Times New Roman" w:eastAsia="仿宋_GB2312" w:cs="Times New Roman"/>
          <w:i w:val="0"/>
          <w:iCs w:val="0"/>
          <w:caps w:val="0"/>
          <w:color w:val="000000"/>
          <w:spacing w:val="0"/>
          <w:sz w:val="32"/>
          <w:szCs w:val="32"/>
        </w:rPr>
        <w:t>1671383.14</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eastAsia="zh-CN"/>
        </w:rPr>
        <w:t>事业</w:t>
      </w:r>
      <w:r>
        <w:rPr>
          <w:rFonts w:hint="default" w:ascii="仿宋_GB2312" w:hAnsi="仿宋_GB2312" w:eastAsia="仿宋_GB2312" w:cs="仿宋_GB2312"/>
          <w:i w:val="0"/>
          <w:iCs w:val="0"/>
          <w:caps w:val="0"/>
          <w:color w:val="000000"/>
          <w:spacing w:val="0"/>
          <w:sz w:val="32"/>
          <w:szCs w:val="32"/>
        </w:rPr>
        <w:t>经费支出</w:t>
      </w:r>
      <w:r>
        <w:rPr>
          <w:rFonts w:hint="eastAsia" w:ascii="仿宋_GB2312" w:hAnsi="仿宋_GB2312" w:eastAsia="仿宋_GB2312" w:cs="仿宋_GB2312"/>
          <w:i w:val="0"/>
          <w:iCs w:val="0"/>
          <w:caps w:val="0"/>
          <w:color w:val="000000"/>
          <w:spacing w:val="0"/>
          <w:sz w:val="32"/>
          <w:szCs w:val="32"/>
          <w:lang w:eastAsia="zh-CN"/>
        </w:rPr>
        <w:t>。</w:t>
      </w:r>
    </w:p>
    <w:p w14:paraId="1112BB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default" w:ascii="仿宋_GB2312" w:hAnsi="仿宋_GB2312"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社会保障和就业支出（类）行政事业单位养老支出（款）行政单位离退休（项）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49871</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eastAsia="zh-CN"/>
        </w:rPr>
        <w:t>行政单位行政人员退休相关</w:t>
      </w:r>
      <w:r>
        <w:rPr>
          <w:rFonts w:hint="default" w:ascii="仿宋_GB2312" w:hAnsi="仿宋_GB2312" w:eastAsia="仿宋_GB2312" w:cs="仿宋_GB2312"/>
          <w:i w:val="0"/>
          <w:iCs w:val="0"/>
          <w:caps w:val="0"/>
          <w:color w:val="000000"/>
          <w:spacing w:val="0"/>
          <w:sz w:val="32"/>
          <w:szCs w:val="32"/>
        </w:rPr>
        <w:t>费</w:t>
      </w:r>
      <w:r>
        <w:rPr>
          <w:rFonts w:hint="eastAsia" w:ascii="仿宋_GB2312" w:hAnsi="仿宋_GB2312" w:eastAsia="仿宋_GB2312" w:cs="仿宋_GB2312"/>
          <w:i w:val="0"/>
          <w:iCs w:val="0"/>
          <w:caps w:val="0"/>
          <w:color w:val="000000"/>
          <w:spacing w:val="0"/>
          <w:sz w:val="32"/>
          <w:szCs w:val="32"/>
          <w:lang w:eastAsia="zh-CN"/>
        </w:rPr>
        <w:t>用</w:t>
      </w:r>
      <w:r>
        <w:rPr>
          <w:rFonts w:hint="default" w:ascii="仿宋_GB2312" w:hAnsi="仿宋_GB2312" w:eastAsia="仿宋_GB2312" w:cs="仿宋_GB2312"/>
          <w:i w:val="0"/>
          <w:iCs w:val="0"/>
          <w:caps w:val="0"/>
          <w:color w:val="000000"/>
          <w:spacing w:val="0"/>
          <w:sz w:val="32"/>
          <w:szCs w:val="32"/>
        </w:rPr>
        <w:t>。</w:t>
      </w:r>
    </w:p>
    <w:p w14:paraId="447D8D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default" w:ascii="仿宋_GB2312" w:hAnsi="仿宋_GB2312"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社会保障和就业支出（类）行政事业单位养老支出（款）事业单位离退休（项）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37437</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eastAsia="zh-CN"/>
        </w:rPr>
        <w:t>行政单位事业人员退休相关</w:t>
      </w:r>
      <w:r>
        <w:rPr>
          <w:rFonts w:hint="default" w:ascii="仿宋_GB2312" w:hAnsi="仿宋_GB2312" w:eastAsia="仿宋_GB2312" w:cs="仿宋_GB2312"/>
          <w:i w:val="0"/>
          <w:iCs w:val="0"/>
          <w:caps w:val="0"/>
          <w:color w:val="000000"/>
          <w:spacing w:val="0"/>
          <w:sz w:val="32"/>
          <w:szCs w:val="32"/>
        </w:rPr>
        <w:t>费</w:t>
      </w:r>
      <w:r>
        <w:rPr>
          <w:rFonts w:hint="eastAsia" w:ascii="仿宋_GB2312" w:hAnsi="仿宋_GB2312" w:eastAsia="仿宋_GB2312" w:cs="仿宋_GB2312"/>
          <w:i w:val="0"/>
          <w:iCs w:val="0"/>
          <w:caps w:val="0"/>
          <w:color w:val="000000"/>
          <w:spacing w:val="0"/>
          <w:sz w:val="32"/>
          <w:szCs w:val="32"/>
          <w:lang w:eastAsia="zh-CN"/>
        </w:rPr>
        <w:t>用</w:t>
      </w:r>
      <w:r>
        <w:rPr>
          <w:rFonts w:hint="default" w:ascii="仿宋_GB2312" w:hAnsi="仿宋_GB2312" w:eastAsia="仿宋_GB2312" w:cs="仿宋_GB2312"/>
          <w:i w:val="0"/>
          <w:iCs w:val="0"/>
          <w:caps w:val="0"/>
          <w:color w:val="000000"/>
          <w:spacing w:val="0"/>
          <w:sz w:val="32"/>
          <w:szCs w:val="32"/>
        </w:rPr>
        <w:t>。</w:t>
      </w:r>
    </w:p>
    <w:p w14:paraId="49158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社会保障和就业支出（类）行政事业单位养老支出（款）机关事业单位基本养老保险缴费支出（项）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512847.6</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eastAsia="zh-CN"/>
        </w:rPr>
        <w:t>行政单位事业人员</w:t>
      </w:r>
      <w:r>
        <w:rPr>
          <w:rFonts w:hint="default" w:ascii="仿宋_GB2312" w:hAnsi="仿宋_GB2312" w:eastAsia="仿宋_GB2312" w:cs="仿宋_GB2312"/>
          <w:i w:val="0"/>
          <w:iCs w:val="0"/>
          <w:caps w:val="0"/>
          <w:color w:val="000000"/>
          <w:spacing w:val="0"/>
          <w:sz w:val="32"/>
          <w:szCs w:val="32"/>
        </w:rPr>
        <w:t>基本养老保险</w:t>
      </w:r>
      <w:r>
        <w:rPr>
          <w:rFonts w:hint="eastAsia" w:ascii="仿宋_GB2312" w:hAnsi="仿宋_GB2312" w:eastAsia="仿宋_GB2312" w:cs="仿宋_GB2312"/>
          <w:i w:val="0"/>
          <w:iCs w:val="0"/>
          <w:caps w:val="0"/>
          <w:color w:val="000000"/>
          <w:spacing w:val="0"/>
          <w:sz w:val="32"/>
          <w:szCs w:val="32"/>
          <w:lang w:eastAsia="zh-CN"/>
        </w:rPr>
        <w:t>相关</w:t>
      </w:r>
      <w:r>
        <w:rPr>
          <w:rFonts w:hint="default" w:ascii="仿宋_GB2312" w:hAnsi="仿宋_GB2312" w:eastAsia="仿宋_GB2312" w:cs="仿宋_GB2312"/>
          <w:i w:val="0"/>
          <w:iCs w:val="0"/>
          <w:caps w:val="0"/>
          <w:color w:val="000000"/>
          <w:spacing w:val="0"/>
          <w:sz w:val="32"/>
          <w:szCs w:val="32"/>
        </w:rPr>
        <w:t>费</w:t>
      </w:r>
      <w:r>
        <w:rPr>
          <w:rFonts w:hint="eastAsia" w:ascii="仿宋_GB2312" w:hAnsi="仿宋_GB2312" w:eastAsia="仿宋_GB2312" w:cs="仿宋_GB2312"/>
          <w:i w:val="0"/>
          <w:iCs w:val="0"/>
          <w:caps w:val="0"/>
          <w:color w:val="000000"/>
          <w:spacing w:val="0"/>
          <w:sz w:val="32"/>
          <w:szCs w:val="32"/>
          <w:lang w:eastAsia="zh-CN"/>
        </w:rPr>
        <w:t>用</w:t>
      </w:r>
      <w:r>
        <w:rPr>
          <w:rFonts w:hint="default" w:ascii="仿宋_GB2312" w:hAnsi="仿宋_GB2312" w:eastAsia="仿宋_GB2312" w:cs="仿宋_GB2312"/>
          <w:i w:val="0"/>
          <w:iCs w:val="0"/>
          <w:caps w:val="0"/>
          <w:color w:val="000000"/>
          <w:spacing w:val="0"/>
          <w:sz w:val="32"/>
          <w:szCs w:val="32"/>
        </w:rPr>
        <w:t>。</w:t>
      </w:r>
    </w:p>
    <w:p w14:paraId="172873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eastAsia" w:ascii="Times New Roman" w:hAnsi="Times New Roman" w:eastAsia="仿宋_GB2312" w:cs="Times New Roman"/>
          <w:i w:val="0"/>
          <w:iCs w:val="0"/>
          <w:caps w:val="0"/>
          <w:color w:val="000000"/>
          <w:spacing w:val="0"/>
          <w:sz w:val="32"/>
          <w:szCs w:val="32"/>
          <w:lang w:val="en-US" w:eastAsia="zh-CN"/>
        </w:rPr>
        <w:t>7</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卫生健康支出（类）行政事业单位医疗（款）行政单位医</w:t>
      </w:r>
      <w:r>
        <w:rPr>
          <w:rFonts w:hint="default" w:ascii="Times New Roman" w:hAnsi="Times New Roman" w:eastAsia="仿宋_GB2312" w:cs="Times New Roman"/>
          <w:i w:val="0"/>
          <w:iCs w:val="0"/>
          <w:caps w:val="0"/>
          <w:color w:val="000000"/>
          <w:spacing w:val="0"/>
          <w:sz w:val="32"/>
          <w:szCs w:val="32"/>
        </w:rPr>
        <w:t>疗（项）202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年预</w:t>
      </w:r>
      <w:r>
        <w:rPr>
          <w:rFonts w:hint="default" w:ascii="仿宋_GB2312" w:hAnsi="仿宋_GB2312" w:eastAsia="仿宋_GB2312" w:cs="仿宋_GB2312"/>
          <w:i w:val="0"/>
          <w:iCs w:val="0"/>
          <w:caps w:val="0"/>
          <w:color w:val="000000"/>
          <w:spacing w:val="0"/>
          <w:sz w:val="32"/>
          <w:szCs w:val="32"/>
        </w:rPr>
        <w:t>算数为</w:t>
      </w:r>
      <w:r>
        <w:rPr>
          <w:rFonts w:hint="default" w:ascii="Times New Roman" w:hAnsi="Times New Roman" w:eastAsia="仿宋_GB2312" w:cs="Times New Roman"/>
          <w:i w:val="0"/>
          <w:iCs w:val="0"/>
          <w:caps w:val="0"/>
          <w:color w:val="000000"/>
          <w:spacing w:val="0"/>
          <w:sz w:val="32"/>
          <w:szCs w:val="32"/>
        </w:rPr>
        <w:t>144297.96</w:t>
      </w:r>
      <w:r>
        <w:rPr>
          <w:rFonts w:hint="default" w:ascii="仿宋_GB2312" w:hAnsi="仿宋_GB2312" w:eastAsia="仿宋_GB2312" w:cs="仿宋_GB2312"/>
          <w:i w:val="0"/>
          <w:iCs w:val="0"/>
          <w:caps w:val="0"/>
          <w:color w:val="000000"/>
          <w:spacing w:val="0"/>
          <w:sz w:val="32"/>
          <w:szCs w:val="32"/>
        </w:rPr>
        <w:t>元，主要用于：行政人员医疗经费。</w:t>
      </w:r>
    </w:p>
    <w:p w14:paraId="0F48D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eastAsia" w:ascii="Times New Roman" w:hAnsi="Times New Roman" w:eastAsia="仿宋_GB2312" w:cs="Times New Roman"/>
          <w:i w:val="0"/>
          <w:iCs w:val="0"/>
          <w:caps w:val="0"/>
          <w:color w:val="000000"/>
          <w:spacing w:val="0"/>
          <w:sz w:val="32"/>
          <w:szCs w:val="32"/>
          <w:lang w:val="en-US" w:eastAsia="zh-CN"/>
        </w:rPr>
        <w:t>8</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卫生健康支出（类）行政事业单位医疗（款）事业单位</w:t>
      </w:r>
      <w:r>
        <w:rPr>
          <w:rFonts w:hint="default" w:ascii="Times New Roman" w:hAnsi="Times New Roman" w:eastAsia="仿宋_GB2312" w:cs="Times New Roman"/>
          <w:i w:val="0"/>
          <w:iCs w:val="0"/>
          <w:caps w:val="0"/>
          <w:color w:val="000000"/>
          <w:spacing w:val="0"/>
          <w:sz w:val="32"/>
          <w:szCs w:val="32"/>
        </w:rPr>
        <w:t>医疗（项）202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年预算</w:t>
      </w:r>
      <w:r>
        <w:rPr>
          <w:rFonts w:hint="default" w:ascii="仿宋_GB2312" w:hAnsi="仿宋_GB2312" w:eastAsia="仿宋_GB2312" w:cs="仿宋_GB2312"/>
          <w:i w:val="0"/>
          <w:iCs w:val="0"/>
          <w:caps w:val="0"/>
          <w:color w:val="000000"/>
          <w:spacing w:val="0"/>
          <w:sz w:val="32"/>
          <w:szCs w:val="32"/>
        </w:rPr>
        <w:t>数为</w:t>
      </w:r>
      <w:r>
        <w:rPr>
          <w:rFonts w:hint="default" w:ascii="Times New Roman" w:hAnsi="Times New Roman" w:eastAsia="仿宋_GB2312" w:cs="Times New Roman"/>
          <w:i w:val="0"/>
          <w:iCs w:val="0"/>
          <w:caps w:val="0"/>
          <w:color w:val="000000"/>
          <w:spacing w:val="0"/>
          <w:sz w:val="32"/>
          <w:szCs w:val="32"/>
        </w:rPr>
        <w:t>130479.96</w:t>
      </w:r>
      <w:r>
        <w:rPr>
          <w:rFonts w:hint="default" w:ascii="仿宋_GB2312" w:hAnsi="仿宋_GB2312" w:eastAsia="仿宋_GB2312" w:cs="仿宋_GB2312"/>
          <w:i w:val="0"/>
          <w:iCs w:val="0"/>
          <w:caps w:val="0"/>
          <w:color w:val="000000"/>
          <w:spacing w:val="0"/>
          <w:sz w:val="32"/>
          <w:szCs w:val="32"/>
        </w:rPr>
        <w:t>元，主要用于：事业人员医疗经费。</w:t>
      </w:r>
    </w:p>
    <w:p w14:paraId="379108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default" w:ascii="仿宋_GB2312" w:hAnsi="仿宋_GB2312"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9</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卫生健康支出（类）行政事业单位医疗（款）公务员医疗补助（项）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default" w:ascii="Times New Roman" w:hAnsi="Times New Roman" w:eastAsia="仿宋_GB2312" w:cs="Times New Roman"/>
          <w:i w:val="0"/>
          <w:iCs w:val="0"/>
          <w:caps w:val="0"/>
          <w:color w:val="000000"/>
          <w:spacing w:val="0"/>
          <w:sz w:val="32"/>
          <w:szCs w:val="32"/>
        </w:rPr>
        <w:t>34800</w:t>
      </w:r>
      <w:r>
        <w:rPr>
          <w:rFonts w:hint="default" w:ascii="仿宋_GB2312" w:hAnsi="仿宋_GB2312" w:eastAsia="仿宋_GB2312" w:cs="仿宋_GB2312"/>
          <w:i w:val="0"/>
          <w:iCs w:val="0"/>
          <w:caps w:val="0"/>
          <w:color w:val="000000"/>
          <w:spacing w:val="0"/>
          <w:sz w:val="32"/>
          <w:szCs w:val="32"/>
        </w:rPr>
        <w:t>元，主要用于：公务员医疗补助。</w:t>
      </w:r>
    </w:p>
    <w:p w14:paraId="3AFA2F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default" w:ascii="仿宋_GB2312" w:hAnsi="仿宋_GB2312"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10</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卫生健康支出（类）行政事业单位医疗（款）其他行政事业单位医疗支出（项）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default" w:ascii="Times New Roman" w:hAnsi="Times New Roman" w:eastAsia="仿宋_GB2312" w:cs="Times New Roman"/>
          <w:i w:val="0"/>
          <w:iCs w:val="0"/>
          <w:caps w:val="0"/>
          <w:color w:val="000000"/>
          <w:spacing w:val="0"/>
          <w:sz w:val="32"/>
          <w:szCs w:val="32"/>
        </w:rPr>
        <w:t>138648.24</w:t>
      </w:r>
      <w:r>
        <w:rPr>
          <w:rFonts w:hint="default" w:ascii="仿宋_GB2312" w:hAnsi="仿宋_GB2312" w:eastAsia="仿宋_GB2312" w:cs="仿宋_GB2312"/>
          <w:i w:val="0"/>
          <w:iCs w:val="0"/>
          <w:caps w:val="0"/>
          <w:color w:val="000000"/>
          <w:spacing w:val="0"/>
          <w:sz w:val="32"/>
          <w:szCs w:val="32"/>
        </w:rPr>
        <w:t>元，主要用于：行政事业单位医疗支出。</w:t>
      </w:r>
    </w:p>
    <w:p w14:paraId="26169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eastAsia" w:ascii="仿宋_GB2312" w:hAnsi="仿宋_GB2312" w:eastAsia="仿宋_GB2312" w:cs="仿宋_GB2312"/>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sz w:val="32"/>
          <w:szCs w:val="32"/>
          <w:lang w:val="en-US" w:eastAsia="zh-CN"/>
        </w:rPr>
        <w:t>11</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农林水支出（类）农业农村（款）事业运行（项）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262069.44</w:t>
      </w:r>
      <w:r>
        <w:rPr>
          <w:rFonts w:hint="default" w:ascii="仿宋_GB2312" w:hAnsi="仿宋_GB2312" w:eastAsia="仿宋_GB2312" w:cs="仿宋_GB2312"/>
          <w:i w:val="0"/>
          <w:iCs w:val="0"/>
          <w:caps w:val="0"/>
          <w:color w:val="000000"/>
          <w:spacing w:val="0"/>
          <w:sz w:val="32"/>
          <w:szCs w:val="32"/>
        </w:rPr>
        <w:t>元，主要用于：农</w:t>
      </w:r>
      <w:r>
        <w:rPr>
          <w:rFonts w:hint="eastAsia" w:ascii="仿宋_GB2312" w:hAnsi="仿宋_GB2312" w:eastAsia="仿宋_GB2312" w:cs="仿宋_GB2312"/>
          <w:i w:val="0"/>
          <w:iCs w:val="0"/>
          <w:caps w:val="0"/>
          <w:color w:val="000000"/>
          <w:spacing w:val="0"/>
          <w:sz w:val="32"/>
          <w:szCs w:val="32"/>
          <w:lang w:eastAsia="zh-CN"/>
        </w:rPr>
        <w:t>业水利建设</w:t>
      </w:r>
      <w:r>
        <w:rPr>
          <w:rFonts w:hint="default" w:ascii="仿宋_GB2312" w:hAnsi="仿宋_GB2312" w:eastAsia="仿宋_GB2312" w:cs="仿宋_GB2312"/>
          <w:i w:val="0"/>
          <w:iCs w:val="0"/>
          <w:caps w:val="0"/>
          <w:color w:val="000000"/>
          <w:spacing w:val="0"/>
          <w:sz w:val="32"/>
          <w:szCs w:val="32"/>
        </w:rPr>
        <w:t>支出</w:t>
      </w:r>
      <w:r>
        <w:rPr>
          <w:rFonts w:hint="eastAsia" w:ascii="仿宋_GB2312" w:hAnsi="仿宋_GB2312" w:eastAsia="仿宋_GB2312" w:cs="仿宋_GB2312"/>
          <w:i w:val="0"/>
          <w:iCs w:val="0"/>
          <w:caps w:val="0"/>
          <w:color w:val="000000"/>
          <w:spacing w:val="0"/>
          <w:sz w:val="32"/>
          <w:szCs w:val="32"/>
          <w:lang w:eastAsia="zh-CN"/>
        </w:rPr>
        <w:t>。</w:t>
      </w:r>
    </w:p>
    <w:p w14:paraId="78FC3F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eastAsia" w:ascii="仿宋_GB2312" w:hAnsi="仿宋_GB2312" w:eastAsia="仿宋_GB2312" w:cs="仿宋_GB2312"/>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sz w:val="32"/>
          <w:szCs w:val="32"/>
          <w:lang w:val="en-US" w:eastAsia="zh-CN"/>
        </w:rPr>
        <w:t>12</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default" w:ascii="仿宋_GB2312" w:hAnsi="仿宋_GB2312" w:eastAsia="仿宋_GB2312" w:cs="仿宋_GB2312"/>
          <w:i w:val="0"/>
          <w:iCs w:val="0"/>
          <w:caps w:val="0"/>
          <w:color w:val="000000"/>
          <w:spacing w:val="0"/>
          <w:sz w:val="32"/>
          <w:szCs w:val="32"/>
        </w:rPr>
        <w:t>农林水支出（类）</w:t>
      </w:r>
      <w:r>
        <w:rPr>
          <w:rFonts w:hint="eastAsia" w:ascii="仿宋_GB2312" w:hAnsi="仿宋_GB2312" w:eastAsia="仿宋_GB2312" w:cs="仿宋_GB2312"/>
          <w:i w:val="0"/>
          <w:iCs w:val="0"/>
          <w:caps w:val="0"/>
          <w:color w:val="000000"/>
          <w:spacing w:val="0"/>
          <w:sz w:val="32"/>
          <w:szCs w:val="32"/>
          <w:lang w:val="en-US" w:eastAsia="zh-CN"/>
        </w:rPr>
        <w:t>林业和草原</w:t>
      </w:r>
      <w:r>
        <w:rPr>
          <w:rFonts w:hint="default" w:ascii="仿宋_GB2312" w:hAnsi="仿宋_GB2312" w:eastAsia="仿宋_GB2312" w:cs="仿宋_GB2312"/>
          <w:i w:val="0"/>
          <w:iCs w:val="0"/>
          <w:caps w:val="0"/>
          <w:color w:val="000000"/>
          <w:spacing w:val="0"/>
          <w:sz w:val="32"/>
          <w:szCs w:val="32"/>
        </w:rPr>
        <w:t>（款）</w:t>
      </w:r>
      <w:r>
        <w:rPr>
          <w:rFonts w:hint="eastAsia" w:ascii="仿宋_GB2312" w:hAnsi="仿宋_GB2312" w:eastAsia="仿宋_GB2312" w:cs="仿宋_GB2312"/>
          <w:i w:val="0"/>
          <w:iCs w:val="0"/>
          <w:caps w:val="0"/>
          <w:color w:val="000000"/>
          <w:spacing w:val="0"/>
          <w:sz w:val="32"/>
          <w:szCs w:val="32"/>
          <w:lang w:val="en-US" w:eastAsia="zh-CN"/>
        </w:rPr>
        <w:t>林业草原防灾减灾</w:t>
      </w:r>
      <w:r>
        <w:rPr>
          <w:rFonts w:hint="default" w:ascii="仿宋_GB2312" w:hAnsi="仿宋_GB2312" w:eastAsia="仿宋_GB2312" w:cs="仿宋_GB2312"/>
          <w:i w:val="0"/>
          <w:iCs w:val="0"/>
          <w:caps w:val="0"/>
          <w:color w:val="000000"/>
          <w:spacing w:val="0"/>
          <w:sz w:val="32"/>
          <w:szCs w:val="32"/>
        </w:rPr>
        <w:t>（项）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233220</w:t>
      </w:r>
      <w:r>
        <w:rPr>
          <w:rFonts w:hint="default" w:ascii="仿宋_GB2312" w:hAnsi="仿宋_GB2312" w:eastAsia="仿宋_GB2312" w:cs="仿宋_GB2312"/>
          <w:i w:val="0"/>
          <w:iCs w:val="0"/>
          <w:caps w:val="0"/>
          <w:color w:val="000000"/>
          <w:spacing w:val="0"/>
          <w:sz w:val="32"/>
          <w:szCs w:val="32"/>
        </w:rPr>
        <w:t>元，主要用于：</w:t>
      </w:r>
      <w:r>
        <w:rPr>
          <w:rFonts w:hint="eastAsia" w:ascii="仿宋_GB2312" w:hAnsi="仿宋_GB2312" w:eastAsia="仿宋_GB2312" w:cs="仿宋_GB2312"/>
          <w:i w:val="0"/>
          <w:iCs w:val="0"/>
          <w:caps w:val="0"/>
          <w:color w:val="000000"/>
          <w:spacing w:val="0"/>
          <w:sz w:val="32"/>
          <w:szCs w:val="32"/>
          <w:lang w:val="en-US" w:eastAsia="zh-CN"/>
        </w:rPr>
        <w:t>本单位辖区内森林草原防灭火应急救援支出，保障辖区内森林草原防灭火工作有序高效开展</w:t>
      </w:r>
      <w:r>
        <w:rPr>
          <w:rFonts w:hint="eastAsia" w:ascii="仿宋_GB2312" w:hAnsi="仿宋_GB2312" w:eastAsia="仿宋_GB2312" w:cs="仿宋_GB2312"/>
          <w:i w:val="0"/>
          <w:iCs w:val="0"/>
          <w:caps w:val="0"/>
          <w:color w:val="000000"/>
          <w:spacing w:val="0"/>
          <w:sz w:val="32"/>
          <w:szCs w:val="32"/>
          <w:lang w:eastAsia="zh-CN"/>
        </w:rPr>
        <w:t>。</w:t>
      </w:r>
    </w:p>
    <w:p w14:paraId="1006F9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rPr>
          <w:rFonts w:hint="default" w:ascii="仿宋_GB2312" w:hAnsi="仿宋_GB2312" w:eastAsia="仿宋_GB2312" w:cs="仿宋_GB2312"/>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13</w:t>
      </w:r>
      <w:r>
        <w:rPr>
          <w:rFonts w:hint="default" w:ascii="Times New Roman" w:hAnsi="Times New Roman" w:eastAsia="微软雅黑" w:cs="Times New Roman"/>
          <w:i w:val="0"/>
          <w:iCs w:val="0"/>
          <w:caps w:val="0"/>
          <w:color w:val="000000"/>
          <w:spacing w:val="0"/>
          <w:sz w:val="32"/>
          <w:szCs w:val="32"/>
        </w:rPr>
        <w:t>.</w:t>
      </w:r>
      <w:r>
        <w:rPr>
          <w:rFonts w:hint="eastAsia" w:ascii="微软雅黑" w:hAnsi="微软雅黑" w:eastAsia="微软雅黑" w:cs="微软雅黑"/>
          <w:i w:val="0"/>
          <w:iCs w:val="0"/>
          <w:caps w:val="0"/>
          <w:color w:val="000000"/>
          <w:spacing w:val="0"/>
          <w:sz w:val="22"/>
          <w:szCs w:val="22"/>
        </w:rPr>
        <w:t> </w:t>
      </w:r>
      <w:r>
        <w:rPr>
          <w:rFonts w:hint="eastAsia" w:ascii="仿宋_GB2312" w:hAnsi="仿宋_GB2312" w:eastAsia="仿宋_GB2312" w:cs="仿宋_GB2312"/>
          <w:i w:val="0"/>
          <w:iCs w:val="0"/>
          <w:caps w:val="0"/>
          <w:color w:val="000000"/>
          <w:spacing w:val="0"/>
          <w:sz w:val="32"/>
          <w:szCs w:val="32"/>
          <w:lang w:val="en-US" w:eastAsia="zh-CN"/>
        </w:rPr>
        <w:t>农林水支出</w:t>
      </w:r>
      <w:r>
        <w:rPr>
          <w:rFonts w:hint="default" w:ascii="仿宋_GB2312" w:hAnsi="仿宋_GB2312" w:eastAsia="仿宋_GB2312" w:cs="仿宋_GB2312"/>
          <w:i w:val="0"/>
          <w:iCs w:val="0"/>
          <w:caps w:val="0"/>
          <w:color w:val="000000"/>
          <w:spacing w:val="0"/>
          <w:sz w:val="32"/>
          <w:szCs w:val="32"/>
          <w:lang w:val="en-US" w:eastAsia="zh-CN"/>
        </w:rPr>
        <w:t>（类）</w:t>
      </w:r>
      <w:r>
        <w:rPr>
          <w:rFonts w:hint="eastAsia" w:ascii="仿宋_GB2312" w:hAnsi="仿宋_GB2312" w:eastAsia="仿宋_GB2312" w:cs="仿宋_GB2312"/>
          <w:i w:val="0"/>
          <w:iCs w:val="0"/>
          <w:caps w:val="0"/>
          <w:color w:val="000000"/>
          <w:spacing w:val="0"/>
          <w:sz w:val="32"/>
          <w:szCs w:val="32"/>
          <w:lang w:val="en-US" w:eastAsia="zh-CN"/>
        </w:rPr>
        <w:t>农村综合改革</w:t>
      </w:r>
      <w:r>
        <w:rPr>
          <w:rFonts w:hint="default" w:ascii="仿宋_GB2312" w:hAnsi="仿宋_GB2312" w:eastAsia="仿宋_GB2312" w:cs="仿宋_GB2312"/>
          <w:i w:val="0"/>
          <w:iCs w:val="0"/>
          <w:caps w:val="0"/>
          <w:color w:val="000000"/>
          <w:spacing w:val="0"/>
          <w:sz w:val="32"/>
          <w:szCs w:val="32"/>
        </w:rPr>
        <w:t>（款）</w:t>
      </w:r>
      <w:r>
        <w:rPr>
          <w:rFonts w:hint="eastAsia" w:ascii="仿宋_GB2312" w:hAnsi="仿宋_GB2312" w:eastAsia="仿宋_GB2312" w:cs="仿宋_GB2312"/>
          <w:i w:val="0"/>
          <w:iCs w:val="0"/>
          <w:caps w:val="0"/>
          <w:color w:val="000000"/>
          <w:spacing w:val="0"/>
          <w:sz w:val="32"/>
          <w:szCs w:val="32"/>
          <w:lang w:val="en-US" w:eastAsia="zh-CN"/>
        </w:rPr>
        <w:t>对村民委员会和村党支部的补助</w:t>
      </w:r>
      <w:r>
        <w:rPr>
          <w:rFonts w:hint="default" w:ascii="仿宋_GB2312" w:hAnsi="仿宋_GB2312" w:eastAsia="仿宋_GB2312" w:cs="仿宋_GB2312"/>
          <w:i w:val="0"/>
          <w:iCs w:val="0"/>
          <w:caps w:val="0"/>
          <w:color w:val="000000"/>
          <w:spacing w:val="0"/>
          <w:sz w:val="32"/>
          <w:szCs w:val="32"/>
        </w:rPr>
        <w:t>（项）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1752823</w:t>
      </w:r>
      <w:r>
        <w:rPr>
          <w:rFonts w:hint="default" w:ascii="仿宋_GB2312" w:hAnsi="仿宋_GB2312" w:eastAsia="仿宋_GB2312" w:cs="仿宋_GB2312"/>
          <w:i w:val="0"/>
          <w:iCs w:val="0"/>
          <w:caps w:val="0"/>
          <w:color w:val="000000"/>
          <w:spacing w:val="0"/>
          <w:sz w:val="32"/>
          <w:szCs w:val="32"/>
        </w:rPr>
        <w:t>元，</w:t>
      </w:r>
      <w:r>
        <w:rPr>
          <w:rFonts w:hint="eastAsia" w:ascii="仿宋_GB2312" w:hAnsi="仿宋_GB2312" w:eastAsia="仿宋_GB2312" w:cs="仿宋_GB2312"/>
          <w:i w:val="0"/>
          <w:iCs w:val="0"/>
          <w:caps w:val="0"/>
          <w:color w:val="000000"/>
          <w:spacing w:val="0"/>
          <w:sz w:val="32"/>
          <w:szCs w:val="32"/>
          <w:lang w:val="en-US" w:eastAsia="zh-CN"/>
        </w:rPr>
        <w:t>主要用于：基层村组干部报酬。</w:t>
      </w:r>
    </w:p>
    <w:p w14:paraId="089457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eastAsia" w:ascii="Times New Roman" w:hAnsi="Times New Roman" w:eastAsia="仿宋_GB2312" w:cs="Times New Roman"/>
          <w:i w:val="0"/>
          <w:iCs w:val="0"/>
          <w:caps w:val="0"/>
          <w:color w:val="000000"/>
          <w:spacing w:val="0"/>
          <w:sz w:val="32"/>
          <w:szCs w:val="32"/>
          <w:lang w:val="en-US" w:eastAsia="zh-CN"/>
        </w:rPr>
        <w:t>14</w:t>
      </w:r>
      <w:r>
        <w:rPr>
          <w:rFonts w:hint="default" w:ascii="Times New Roman" w:hAnsi="Times New Roman" w:eastAsia="微软雅黑"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住房保障支出（类）住房改革支出（款）住房公积金（项）</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年预算数为</w:t>
      </w:r>
      <w:r>
        <w:rPr>
          <w:rFonts w:hint="eastAsia" w:ascii="Times New Roman" w:hAnsi="Times New Roman" w:eastAsia="仿宋_GB2312" w:cs="Times New Roman"/>
          <w:i w:val="0"/>
          <w:iCs w:val="0"/>
          <w:caps w:val="0"/>
          <w:color w:val="000000"/>
          <w:spacing w:val="0"/>
          <w:sz w:val="32"/>
          <w:szCs w:val="32"/>
          <w:lang w:val="en-US" w:eastAsia="zh-CN"/>
        </w:rPr>
        <w:t>453048</w:t>
      </w:r>
      <w:r>
        <w:rPr>
          <w:rFonts w:hint="default" w:ascii="仿宋_GB2312" w:hAnsi="仿宋_GB2312" w:eastAsia="仿宋_GB2312" w:cs="仿宋_GB2312"/>
          <w:i w:val="0"/>
          <w:iCs w:val="0"/>
          <w:caps w:val="0"/>
          <w:color w:val="000000"/>
          <w:spacing w:val="0"/>
          <w:sz w:val="32"/>
          <w:szCs w:val="32"/>
        </w:rPr>
        <w:t>元，主要用于：缴纳职工住房公积金。</w:t>
      </w:r>
    </w:p>
    <w:p w14:paraId="3A870E4E">
      <w:pPr>
        <w:pStyle w:val="2"/>
        <w:bidi w:val="0"/>
      </w:pPr>
      <w:bookmarkStart w:id="40" w:name="_Toc6617"/>
      <w:bookmarkStart w:id="41" w:name="_Toc2503"/>
      <w:bookmarkStart w:id="42" w:name="_Toc14216"/>
      <w:bookmarkStart w:id="43" w:name="_Toc7728"/>
      <w:r>
        <w:rPr>
          <w:rFonts w:hint="default"/>
        </w:rPr>
        <w:t>六、一般公共预算基本支出情况说明</w:t>
      </w:r>
      <w:bookmarkEnd w:id="40"/>
      <w:bookmarkEnd w:id="41"/>
      <w:bookmarkEnd w:id="42"/>
      <w:bookmarkEnd w:id="43"/>
    </w:p>
    <w:p w14:paraId="64901C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年一般公共预算基本支出</w:t>
      </w:r>
      <w:r>
        <w:rPr>
          <w:rFonts w:hint="eastAsia" w:ascii="Times New Roman" w:hAnsi="Times New Roman" w:eastAsia="仿宋_GB2312" w:cs="Times New Roman"/>
          <w:i w:val="0"/>
          <w:iCs w:val="0"/>
          <w:caps w:val="0"/>
          <w:color w:val="000000"/>
          <w:spacing w:val="0"/>
          <w:sz w:val="32"/>
          <w:szCs w:val="32"/>
          <w:lang w:val="en-US" w:eastAsia="zh-CN"/>
        </w:rPr>
        <w:t>9636067.64</w:t>
      </w:r>
      <w:r>
        <w:rPr>
          <w:rFonts w:hint="default" w:ascii="仿宋_GB2312" w:hAnsi="仿宋_GB2312" w:eastAsia="仿宋_GB2312" w:cs="仿宋_GB2312"/>
          <w:i w:val="0"/>
          <w:iCs w:val="0"/>
          <w:caps w:val="0"/>
          <w:color w:val="000000"/>
          <w:spacing w:val="0"/>
          <w:sz w:val="32"/>
          <w:szCs w:val="32"/>
        </w:rPr>
        <w:t>元，其中：</w:t>
      </w:r>
    </w:p>
    <w:p w14:paraId="2A8EB7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仿宋_GB2312" w:hAnsi="仿宋_GB2312" w:eastAsia="仿宋_GB2312" w:cs="仿宋_GB2312"/>
          <w:i w:val="0"/>
          <w:iCs w:val="0"/>
          <w:caps w:val="0"/>
          <w:color w:val="000000"/>
          <w:spacing w:val="0"/>
          <w:sz w:val="32"/>
          <w:szCs w:val="32"/>
        </w:rPr>
        <w:t>人员经费</w:t>
      </w:r>
      <w:r>
        <w:rPr>
          <w:rFonts w:hint="default" w:ascii="Times New Roman" w:hAnsi="Times New Roman" w:eastAsia="仿宋_GB2312" w:cs="Times New Roman"/>
          <w:i w:val="0"/>
          <w:iCs w:val="0"/>
          <w:caps w:val="0"/>
          <w:color w:val="000000"/>
          <w:spacing w:val="0"/>
          <w:sz w:val="32"/>
          <w:szCs w:val="32"/>
        </w:rPr>
        <w:t>5565810.64</w:t>
      </w:r>
      <w:r>
        <w:rPr>
          <w:rFonts w:hint="default" w:ascii="仿宋_GB2312" w:hAnsi="仿宋_GB2312" w:eastAsia="仿宋_GB2312" w:cs="仿宋_GB2312"/>
          <w:i w:val="0"/>
          <w:iCs w:val="0"/>
          <w:caps w:val="0"/>
          <w:color w:val="000000"/>
          <w:spacing w:val="0"/>
          <w:sz w:val="32"/>
          <w:szCs w:val="32"/>
        </w:rPr>
        <w:t>元，主要包括：基本工资、津贴补贴、奖金、社会保险缴费、住房公积金、其他工资福利支出、社会福利和救助、离退休费。</w:t>
      </w:r>
    </w:p>
    <w:p w14:paraId="44E5F1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default" w:ascii="仿宋_GB2312" w:hAnsi="仿宋_GB2312" w:eastAsia="仿宋_GB2312" w:cs="仿宋_GB2312"/>
          <w:i w:val="0"/>
          <w:iCs w:val="0"/>
          <w:caps w:val="0"/>
          <w:color w:val="000000"/>
          <w:spacing w:val="0"/>
          <w:sz w:val="32"/>
          <w:szCs w:val="32"/>
        </w:rPr>
      </w:pPr>
      <w:r>
        <w:rPr>
          <w:rFonts w:hint="default" w:ascii="仿宋_GB2312" w:hAnsi="仿宋_GB2312" w:eastAsia="仿宋_GB2312" w:cs="仿宋_GB2312"/>
          <w:i w:val="0"/>
          <w:iCs w:val="0"/>
          <w:caps w:val="0"/>
          <w:color w:val="000000"/>
          <w:spacing w:val="0"/>
          <w:sz w:val="32"/>
          <w:szCs w:val="32"/>
        </w:rPr>
        <w:t>公用经费</w:t>
      </w:r>
      <w:r>
        <w:rPr>
          <w:rFonts w:hint="default" w:ascii="Times New Roman" w:hAnsi="Times New Roman" w:eastAsia="仿宋_GB2312" w:cs="Times New Roman"/>
          <w:i w:val="0"/>
          <w:iCs w:val="0"/>
          <w:caps w:val="0"/>
          <w:color w:val="000000"/>
          <w:spacing w:val="0"/>
          <w:sz w:val="32"/>
          <w:szCs w:val="32"/>
        </w:rPr>
        <w:t>2049214</w:t>
      </w:r>
      <w:r>
        <w:rPr>
          <w:rFonts w:hint="default" w:ascii="仿宋_GB2312" w:hAnsi="仿宋_GB2312" w:eastAsia="仿宋_GB2312" w:cs="仿宋_GB2312"/>
          <w:i w:val="0"/>
          <w:iCs w:val="0"/>
          <w:caps w:val="0"/>
          <w:color w:val="000000"/>
          <w:spacing w:val="0"/>
          <w:sz w:val="32"/>
          <w:szCs w:val="32"/>
        </w:rPr>
        <w:t>元，主要包括： 办公经费、公务接待费、公务用车运行维护费、其他商品和服务支出。</w:t>
      </w:r>
    </w:p>
    <w:p w14:paraId="64167F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default"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项目建设</w:t>
      </w:r>
      <w:r>
        <w:rPr>
          <w:rFonts w:hint="default" w:ascii="Times New Roman" w:hAnsi="Times New Roman" w:eastAsia="仿宋_GB2312" w:cs="Times New Roman"/>
          <w:i w:val="0"/>
          <w:iCs w:val="0"/>
          <w:caps w:val="0"/>
          <w:color w:val="000000"/>
          <w:spacing w:val="0"/>
          <w:sz w:val="32"/>
          <w:szCs w:val="32"/>
          <w:lang w:val="en-US" w:eastAsia="zh-CN"/>
        </w:rPr>
        <w:t>支出2021043元，主</w:t>
      </w:r>
      <w:r>
        <w:rPr>
          <w:rFonts w:hint="eastAsia" w:ascii="仿宋_GB2312" w:hAnsi="仿宋_GB2312" w:eastAsia="仿宋_GB2312" w:cs="仿宋_GB2312"/>
          <w:i w:val="0"/>
          <w:iCs w:val="0"/>
          <w:caps w:val="0"/>
          <w:color w:val="000000"/>
          <w:spacing w:val="0"/>
          <w:sz w:val="32"/>
          <w:szCs w:val="32"/>
          <w:lang w:val="en-US" w:eastAsia="zh-CN"/>
        </w:rPr>
        <w:t>要用于公益项目建设等支出。</w:t>
      </w:r>
    </w:p>
    <w:p w14:paraId="56D75C62">
      <w:pPr>
        <w:pStyle w:val="2"/>
        <w:bidi w:val="0"/>
      </w:pPr>
      <w:bookmarkStart w:id="44" w:name="_Toc11791"/>
      <w:bookmarkStart w:id="45" w:name="_Toc970"/>
      <w:bookmarkStart w:id="46" w:name="_Toc21643"/>
      <w:bookmarkStart w:id="47" w:name="_Toc19292"/>
      <w:r>
        <w:rPr>
          <w:rFonts w:hint="default"/>
        </w:rPr>
        <w:t>七、“三公”经费财政拨款预算安排情况说明</w:t>
      </w:r>
      <w:bookmarkEnd w:id="44"/>
      <w:bookmarkEnd w:id="45"/>
      <w:bookmarkEnd w:id="46"/>
      <w:bookmarkEnd w:id="47"/>
    </w:p>
    <w:p w14:paraId="3752F1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三公</w:t>
      </w:r>
      <w:r>
        <w:rPr>
          <w:rFonts w:hint="default" w:ascii="Times New Roman" w:hAnsi="Times New Roman" w:eastAsia="仿宋_GB2312" w:cs="Times New Roman"/>
          <w:i w:val="0"/>
          <w:iCs w:val="0"/>
          <w:caps w:val="0"/>
          <w:color w:val="000000"/>
          <w:spacing w:val="0"/>
          <w:sz w:val="32"/>
          <w:szCs w:val="32"/>
        </w:rPr>
        <w:t>”</w:t>
      </w:r>
      <w:r>
        <w:rPr>
          <w:rFonts w:hint="default" w:ascii="仿宋_GB2312" w:hAnsi="仿宋_GB2312" w:eastAsia="仿宋_GB2312" w:cs="仿宋_GB2312"/>
          <w:i w:val="0"/>
          <w:iCs w:val="0"/>
          <w:caps w:val="0"/>
          <w:color w:val="000000"/>
          <w:spacing w:val="0"/>
          <w:sz w:val="32"/>
          <w:szCs w:val="32"/>
        </w:rPr>
        <w:t>经费财政拨款预算数</w:t>
      </w:r>
      <w:r>
        <w:rPr>
          <w:rFonts w:hint="eastAsia" w:ascii="Times New Roman" w:hAnsi="Times New Roman" w:eastAsia="仿宋_GB2312" w:cs="Times New Roman"/>
          <w:i w:val="0"/>
          <w:iCs w:val="0"/>
          <w:caps w:val="0"/>
          <w:color w:val="000000"/>
          <w:spacing w:val="0"/>
          <w:sz w:val="32"/>
          <w:szCs w:val="32"/>
          <w:lang w:val="en-US" w:eastAsia="zh-CN"/>
        </w:rPr>
        <w:t>165000</w:t>
      </w:r>
      <w:r>
        <w:rPr>
          <w:rFonts w:hint="default" w:ascii="仿宋_GB2312" w:hAnsi="仿宋_GB2312" w:eastAsia="仿宋_GB2312" w:cs="仿宋_GB2312"/>
          <w:i w:val="0"/>
          <w:iCs w:val="0"/>
          <w:caps w:val="0"/>
          <w:color w:val="000000"/>
          <w:spacing w:val="0"/>
          <w:sz w:val="32"/>
          <w:szCs w:val="32"/>
        </w:rPr>
        <w:t>元，其中：因公出国（境）经费</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万元，公务接待</w:t>
      </w:r>
      <w:r>
        <w:rPr>
          <w:rFonts w:hint="default" w:ascii="Times New Roman" w:hAnsi="Times New Roman" w:eastAsia="仿宋_GB2312" w:cs="Times New Roman"/>
          <w:i w:val="0"/>
          <w:iCs w:val="0"/>
          <w:caps w:val="0"/>
          <w:color w:val="000000"/>
          <w:spacing w:val="0"/>
          <w:sz w:val="32"/>
          <w:szCs w:val="32"/>
        </w:rPr>
        <w:t>费</w:t>
      </w:r>
      <w:r>
        <w:rPr>
          <w:rFonts w:hint="default" w:ascii="Times New Roman" w:hAnsi="Times New Roman" w:eastAsia="仿宋_GB2312" w:cs="Times New Roman"/>
          <w:i w:val="0"/>
          <w:iCs w:val="0"/>
          <w:caps w:val="0"/>
          <w:color w:val="000000"/>
          <w:spacing w:val="0"/>
          <w:sz w:val="32"/>
          <w:szCs w:val="32"/>
          <w:lang w:val="en-US" w:eastAsia="zh-CN"/>
        </w:rPr>
        <w:t>15000</w:t>
      </w:r>
      <w:r>
        <w:rPr>
          <w:rFonts w:hint="default" w:ascii="Times New Roman" w:hAnsi="Times New Roman" w:eastAsia="仿宋_GB2312" w:cs="Times New Roman"/>
          <w:i w:val="0"/>
          <w:iCs w:val="0"/>
          <w:caps w:val="0"/>
          <w:color w:val="000000"/>
          <w:spacing w:val="0"/>
          <w:sz w:val="32"/>
          <w:szCs w:val="32"/>
        </w:rPr>
        <w:t>元</w:t>
      </w:r>
      <w:r>
        <w:rPr>
          <w:rFonts w:hint="default" w:ascii="仿宋_GB2312" w:hAnsi="仿宋_GB2312" w:eastAsia="仿宋_GB2312" w:cs="仿宋_GB2312"/>
          <w:i w:val="0"/>
          <w:iCs w:val="0"/>
          <w:caps w:val="0"/>
          <w:color w:val="000000"/>
          <w:spacing w:val="0"/>
          <w:sz w:val="32"/>
          <w:szCs w:val="32"/>
        </w:rPr>
        <w:t>，公务用车购置及运行维护费</w:t>
      </w:r>
      <w:r>
        <w:rPr>
          <w:rFonts w:hint="default" w:ascii="Times New Roman" w:hAnsi="Times New Roman" w:eastAsia="仿宋_GB2312" w:cs="Times New Roman"/>
          <w:i w:val="0"/>
          <w:iCs w:val="0"/>
          <w:caps w:val="0"/>
          <w:color w:val="000000"/>
          <w:spacing w:val="0"/>
          <w:sz w:val="32"/>
          <w:szCs w:val="32"/>
        </w:rPr>
        <w:t>15</w:t>
      </w:r>
      <w:r>
        <w:rPr>
          <w:rFonts w:hint="eastAsia" w:ascii="Times New Roman" w:hAnsi="Times New Roman" w:eastAsia="仿宋_GB2312" w:cs="Times New Roman"/>
          <w:i w:val="0"/>
          <w:iCs w:val="0"/>
          <w:caps w:val="0"/>
          <w:color w:val="000000"/>
          <w:spacing w:val="0"/>
          <w:sz w:val="32"/>
          <w:szCs w:val="32"/>
          <w:lang w:val="en-US" w:eastAsia="zh-CN"/>
        </w:rPr>
        <w:t>0000</w:t>
      </w:r>
      <w:r>
        <w:rPr>
          <w:rFonts w:hint="default" w:ascii="仿宋_GB2312" w:hAnsi="仿宋_GB2312" w:eastAsia="仿宋_GB2312" w:cs="仿宋_GB2312"/>
          <w:i w:val="0"/>
          <w:iCs w:val="0"/>
          <w:caps w:val="0"/>
          <w:color w:val="000000"/>
          <w:spacing w:val="0"/>
          <w:sz w:val="32"/>
          <w:szCs w:val="32"/>
        </w:rPr>
        <w:t>元。</w:t>
      </w:r>
    </w:p>
    <w:p w14:paraId="20B4DE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bookmarkStart w:id="48" w:name="_Toc6415"/>
      <w:bookmarkStart w:id="49" w:name="_Toc20283"/>
      <w:bookmarkStart w:id="50" w:name="_Toc14734"/>
      <w:r>
        <w:rPr>
          <w:rStyle w:val="18"/>
          <w:rFonts w:hint="default"/>
        </w:rPr>
        <w:t>（一）因公出国（境）经费较202</w:t>
      </w:r>
      <w:r>
        <w:rPr>
          <w:rStyle w:val="18"/>
          <w:rFonts w:hint="eastAsia" w:eastAsia="楷体_GB2312"/>
          <w:lang w:val="en-US" w:eastAsia="zh-CN"/>
        </w:rPr>
        <w:t>5</w:t>
      </w:r>
      <w:r>
        <w:rPr>
          <w:rStyle w:val="18"/>
          <w:rFonts w:hint="default"/>
        </w:rPr>
        <w:t>年预算算持平。</w:t>
      </w:r>
      <w:bookmarkEnd w:id="48"/>
      <w:bookmarkEnd w:id="49"/>
      <w:bookmarkEnd w:id="50"/>
      <w:r>
        <w:rPr>
          <w:rFonts w:hint="default" w:ascii="仿宋_GB2312" w:hAnsi="仿宋_GB2312" w:eastAsia="仿宋_GB2312" w:cs="仿宋_GB2312"/>
          <w:i w:val="0"/>
          <w:iCs w:val="0"/>
          <w:caps w:val="0"/>
          <w:color w:val="000000"/>
          <w:spacing w:val="0"/>
          <w:sz w:val="32"/>
          <w:szCs w:val="32"/>
        </w:rPr>
        <w:t>主要原因是无因公出国（境）费用。</w:t>
      </w:r>
    </w:p>
    <w:p w14:paraId="72ACE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仿宋_GB2312" w:hAnsi="仿宋_GB2312" w:eastAsia="仿宋_GB2312" w:cs="仿宋_GB2312"/>
          <w:i w:val="0"/>
          <w:iCs w:val="0"/>
          <w:caps w:val="0"/>
          <w:color w:val="000000"/>
          <w:spacing w:val="0"/>
          <w:sz w:val="32"/>
          <w:szCs w:val="32"/>
        </w:rPr>
        <w:t>根据市外事侨务办（台办）批准的</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年因公临时出国（境）安排，拟安排出国（境）团组</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次, </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人。</w:t>
      </w:r>
    </w:p>
    <w:p w14:paraId="4FB6E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bookmarkStart w:id="51" w:name="_Toc25762"/>
      <w:bookmarkStart w:id="52" w:name="_Toc22318"/>
      <w:bookmarkStart w:id="53" w:name="_Toc16008"/>
      <w:r>
        <w:rPr>
          <w:rStyle w:val="18"/>
          <w:rFonts w:hint="default"/>
        </w:rPr>
        <w:t>（二）公务接待费</w:t>
      </w:r>
      <w:r>
        <w:rPr>
          <w:rStyle w:val="18"/>
          <w:rFonts w:hint="eastAsia" w:eastAsia="楷体_GB2312"/>
          <w:lang w:val="en-US" w:eastAsia="zh-CN"/>
        </w:rPr>
        <w:t>比</w:t>
      </w:r>
      <w:r>
        <w:rPr>
          <w:rStyle w:val="18"/>
          <w:rFonts w:hint="default"/>
        </w:rPr>
        <w:t>202</w:t>
      </w:r>
      <w:r>
        <w:rPr>
          <w:rStyle w:val="18"/>
          <w:rFonts w:hint="eastAsia" w:eastAsia="楷体_GB2312"/>
          <w:lang w:val="en-US" w:eastAsia="zh-CN"/>
        </w:rPr>
        <w:t>5</w:t>
      </w:r>
      <w:r>
        <w:rPr>
          <w:rStyle w:val="18"/>
          <w:rFonts w:hint="default"/>
        </w:rPr>
        <w:t>年预算</w:t>
      </w:r>
      <w:r>
        <w:rPr>
          <w:rStyle w:val="18"/>
          <w:rFonts w:hint="eastAsia" w:eastAsia="楷体_GB2312"/>
          <w:lang w:val="en-US" w:eastAsia="zh-CN"/>
        </w:rPr>
        <w:t>持平</w:t>
      </w:r>
      <w:r>
        <w:rPr>
          <w:rStyle w:val="18"/>
          <w:rFonts w:hint="default"/>
        </w:rPr>
        <w:t>。</w:t>
      </w:r>
      <w:bookmarkEnd w:id="51"/>
      <w:bookmarkEnd w:id="52"/>
      <w:bookmarkEnd w:id="53"/>
      <w:r>
        <w:rPr>
          <w:rFonts w:hint="default" w:ascii="仿宋_GB2312" w:hAnsi="仿宋_GB2312" w:eastAsia="仿宋_GB2312" w:cs="仿宋_GB2312"/>
          <w:i w:val="0"/>
          <w:iCs w:val="0"/>
          <w:caps w:val="0"/>
          <w:color w:val="000000"/>
          <w:spacing w:val="0"/>
          <w:sz w:val="32"/>
          <w:szCs w:val="32"/>
        </w:rPr>
        <w:t>主要原因是</w:t>
      </w:r>
      <w:r>
        <w:rPr>
          <w:rFonts w:hint="eastAsia" w:ascii="仿宋_GB2312" w:hAnsi="仿宋_GB2312" w:eastAsia="仿宋_GB2312" w:cs="仿宋_GB2312"/>
          <w:i w:val="0"/>
          <w:iCs w:val="0"/>
          <w:caps w:val="0"/>
          <w:color w:val="000000"/>
          <w:spacing w:val="0"/>
          <w:sz w:val="32"/>
          <w:szCs w:val="32"/>
          <w:lang w:val="en-US" w:eastAsia="zh-CN"/>
        </w:rPr>
        <w:t>严格按照中央八项规定，厉行</w:t>
      </w:r>
      <w:r>
        <w:rPr>
          <w:rFonts w:hint="default" w:ascii="仿宋_GB2312" w:hAnsi="仿宋_GB2312" w:eastAsia="仿宋_GB2312" w:cs="仿宋_GB2312"/>
          <w:i w:val="0"/>
          <w:iCs w:val="0"/>
          <w:caps w:val="0"/>
          <w:color w:val="000000"/>
          <w:spacing w:val="0"/>
          <w:sz w:val="32"/>
          <w:szCs w:val="32"/>
        </w:rPr>
        <w:t>节约</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lang w:val="en-US" w:eastAsia="zh-CN"/>
        </w:rPr>
        <w:t>减少不必要的支出</w:t>
      </w:r>
      <w:r>
        <w:rPr>
          <w:rFonts w:hint="default" w:ascii="仿宋_GB2312" w:hAnsi="仿宋_GB2312" w:eastAsia="仿宋_GB2312" w:cs="仿宋_GB2312"/>
          <w:i w:val="0"/>
          <w:iCs w:val="0"/>
          <w:caps w:val="0"/>
          <w:color w:val="000000"/>
          <w:spacing w:val="0"/>
          <w:sz w:val="32"/>
          <w:szCs w:val="32"/>
        </w:rPr>
        <w:t>。</w:t>
      </w:r>
    </w:p>
    <w:p w14:paraId="71683E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年公务接待费计划用于上级部门及其他省级单位来调研、考察。</w:t>
      </w:r>
    </w:p>
    <w:p w14:paraId="52C42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bookmarkStart w:id="54" w:name="_Toc4527"/>
      <w:bookmarkStart w:id="55" w:name="_Toc20411"/>
      <w:bookmarkStart w:id="56" w:name="_Toc28370"/>
      <w:r>
        <w:rPr>
          <w:rStyle w:val="18"/>
          <w:rFonts w:hint="default"/>
        </w:rPr>
        <w:t>（三）公务用车购置及运行维护费较202</w:t>
      </w:r>
      <w:r>
        <w:rPr>
          <w:rStyle w:val="18"/>
          <w:rFonts w:hint="eastAsia" w:eastAsia="楷体_GB2312"/>
          <w:lang w:val="en-US" w:eastAsia="zh-CN"/>
        </w:rPr>
        <w:t>5</w:t>
      </w:r>
      <w:r>
        <w:rPr>
          <w:rStyle w:val="18"/>
          <w:rFonts w:hint="default"/>
        </w:rPr>
        <w:t>年</w:t>
      </w:r>
      <w:r>
        <w:rPr>
          <w:rStyle w:val="18"/>
          <w:rFonts w:hint="eastAsia"/>
          <w:lang w:eastAsia="zh-CN"/>
        </w:rPr>
        <w:t>持平。</w:t>
      </w:r>
      <w:bookmarkEnd w:id="54"/>
      <w:bookmarkEnd w:id="55"/>
      <w:bookmarkEnd w:id="56"/>
      <w:r>
        <w:rPr>
          <w:rFonts w:hint="default" w:ascii="仿宋_GB2312" w:hAnsi="仿宋_GB2312" w:eastAsia="仿宋_GB2312" w:cs="仿宋_GB2312"/>
          <w:i w:val="0"/>
          <w:iCs w:val="0"/>
          <w:caps w:val="0"/>
          <w:color w:val="000000"/>
          <w:spacing w:val="0"/>
          <w:sz w:val="32"/>
          <w:szCs w:val="32"/>
        </w:rPr>
        <w:t>主要原因是落实党政机关节约的相关要求，从严控制和压缩三公经费支出，从而减少公务用车经费。</w:t>
      </w:r>
    </w:p>
    <w:p w14:paraId="7E46AB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仿宋_GB2312" w:hAnsi="仿宋_GB2312" w:eastAsia="仿宋_GB2312" w:cs="仿宋_GB2312"/>
          <w:i w:val="0"/>
          <w:iCs w:val="0"/>
          <w:caps w:val="0"/>
          <w:color w:val="000000"/>
          <w:spacing w:val="0"/>
          <w:sz w:val="32"/>
          <w:szCs w:val="32"/>
        </w:rPr>
        <w:t>部门现有公务用车</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仿宋_GB2312" w:hAnsi="仿宋_GB2312" w:eastAsia="仿宋_GB2312" w:cs="仿宋_GB2312"/>
          <w:i w:val="0"/>
          <w:iCs w:val="0"/>
          <w:caps w:val="0"/>
          <w:color w:val="000000"/>
          <w:spacing w:val="0"/>
          <w:sz w:val="32"/>
          <w:szCs w:val="32"/>
        </w:rPr>
        <w:t>辆，其中：轿车（含7座以下商务车、城市越野车）</w:t>
      </w:r>
      <w:r>
        <w:rPr>
          <w:rFonts w:hint="eastAsia" w:ascii="Times New Roman" w:hAnsi="Times New Roman" w:eastAsia="仿宋_GB2312" w:cs="Times New Roman"/>
          <w:i w:val="0"/>
          <w:iCs w:val="0"/>
          <w:caps w:val="0"/>
          <w:color w:val="000000"/>
          <w:spacing w:val="0"/>
          <w:sz w:val="32"/>
          <w:szCs w:val="32"/>
          <w:lang w:val="en-US" w:eastAsia="zh-CN"/>
        </w:rPr>
        <w:t>1</w:t>
      </w:r>
      <w:r>
        <w:rPr>
          <w:rFonts w:hint="default" w:ascii="仿宋_GB2312" w:hAnsi="仿宋_GB2312" w:eastAsia="仿宋_GB2312" w:cs="仿宋_GB2312"/>
          <w:i w:val="0"/>
          <w:iCs w:val="0"/>
          <w:caps w:val="0"/>
          <w:color w:val="000000"/>
          <w:spacing w:val="0"/>
          <w:sz w:val="32"/>
          <w:szCs w:val="32"/>
        </w:rPr>
        <w:t>辆，7座以上</w:t>
      </w:r>
      <w:r>
        <w:rPr>
          <w:rFonts w:hint="default" w:ascii="Times New Roman" w:hAnsi="Times New Roman" w:eastAsia="仿宋_GB2312" w:cs="Times New Roman"/>
          <w:i w:val="0"/>
          <w:iCs w:val="0"/>
          <w:caps w:val="0"/>
          <w:color w:val="000000"/>
          <w:spacing w:val="0"/>
          <w:sz w:val="32"/>
          <w:szCs w:val="32"/>
        </w:rPr>
        <w:t>19</w:t>
      </w:r>
      <w:r>
        <w:rPr>
          <w:rFonts w:hint="default" w:ascii="仿宋_GB2312" w:hAnsi="仿宋_GB2312" w:eastAsia="仿宋_GB2312" w:cs="仿宋_GB2312"/>
          <w:i w:val="0"/>
          <w:iCs w:val="0"/>
          <w:caps w:val="0"/>
          <w:color w:val="000000"/>
          <w:spacing w:val="0"/>
          <w:sz w:val="32"/>
          <w:szCs w:val="32"/>
        </w:rPr>
        <w:t>座（含</w:t>
      </w:r>
      <w:r>
        <w:rPr>
          <w:rFonts w:hint="default" w:ascii="Times New Roman" w:hAnsi="Times New Roman" w:eastAsia="仿宋_GB2312" w:cs="Times New Roman"/>
          <w:i w:val="0"/>
          <w:iCs w:val="0"/>
          <w:caps w:val="0"/>
          <w:color w:val="000000"/>
          <w:spacing w:val="0"/>
          <w:sz w:val="32"/>
          <w:szCs w:val="32"/>
        </w:rPr>
        <w:t>19</w:t>
      </w:r>
      <w:r>
        <w:rPr>
          <w:rFonts w:hint="default" w:ascii="仿宋_GB2312" w:hAnsi="仿宋_GB2312" w:eastAsia="仿宋_GB2312" w:cs="仿宋_GB2312"/>
          <w:i w:val="0"/>
          <w:iCs w:val="0"/>
          <w:caps w:val="0"/>
          <w:color w:val="000000"/>
          <w:spacing w:val="0"/>
          <w:sz w:val="32"/>
          <w:szCs w:val="32"/>
        </w:rPr>
        <w:t>座）以下客车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辆，越野车</w:t>
      </w:r>
      <w:r>
        <w:rPr>
          <w:rFonts w:hint="eastAsia" w:ascii="Times New Roman" w:hAnsi="Times New Roman" w:eastAsia="仿宋_GB2312" w:cs="Times New Roman"/>
          <w:i w:val="0"/>
          <w:iCs w:val="0"/>
          <w:caps w:val="0"/>
          <w:color w:val="000000"/>
          <w:spacing w:val="0"/>
          <w:sz w:val="32"/>
          <w:szCs w:val="32"/>
          <w:lang w:val="en-US" w:eastAsia="zh-CN"/>
        </w:rPr>
        <w:t>1</w:t>
      </w:r>
      <w:r>
        <w:rPr>
          <w:rFonts w:hint="default" w:ascii="仿宋_GB2312" w:hAnsi="仿宋_GB2312" w:eastAsia="仿宋_GB2312" w:cs="仿宋_GB2312"/>
          <w:i w:val="0"/>
          <w:iCs w:val="0"/>
          <w:caps w:val="0"/>
          <w:color w:val="000000"/>
          <w:spacing w:val="0"/>
          <w:sz w:val="32"/>
          <w:szCs w:val="32"/>
        </w:rPr>
        <w:t>辆，货车</w:t>
      </w:r>
      <w:r>
        <w:rPr>
          <w:rFonts w:hint="eastAsia" w:ascii="仿宋_GB2312" w:hAnsi="仿宋_GB2312" w:eastAsia="仿宋_GB2312" w:cs="仿宋_GB2312"/>
          <w:i w:val="0"/>
          <w:iCs w:val="0"/>
          <w:caps w:val="0"/>
          <w:color w:val="000000"/>
          <w:spacing w:val="0"/>
          <w:sz w:val="32"/>
          <w:szCs w:val="32"/>
          <w:lang w:eastAsia="zh-CN"/>
        </w:rPr>
        <w:t>（皮卡车）</w:t>
      </w:r>
      <w:r>
        <w:rPr>
          <w:rFonts w:hint="default" w:ascii="仿宋_GB2312" w:hAnsi="仿宋_GB2312" w:eastAsia="仿宋_GB2312" w:cs="仿宋_GB2312"/>
          <w:i w:val="0"/>
          <w:iCs w:val="0"/>
          <w:caps w:val="0"/>
          <w:color w:val="000000"/>
          <w:spacing w:val="0"/>
          <w:sz w:val="32"/>
          <w:szCs w:val="32"/>
        </w:rPr>
        <w:t>及19座以上客车</w:t>
      </w:r>
      <w:r>
        <w:rPr>
          <w:rFonts w:hint="eastAsia" w:ascii="Times New Roman" w:hAnsi="Times New Roman" w:eastAsia="仿宋_GB2312" w:cs="Times New Roman"/>
          <w:i w:val="0"/>
          <w:iCs w:val="0"/>
          <w:caps w:val="0"/>
          <w:color w:val="000000"/>
          <w:spacing w:val="0"/>
          <w:sz w:val="32"/>
          <w:szCs w:val="32"/>
          <w:lang w:val="en-US" w:eastAsia="zh-CN"/>
        </w:rPr>
        <w:t>3</w:t>
      </w:r>
      <w:r>
        <w:rPr>
          <w:rFonts w:hint="default" w:ascii="仿宋_GB2312" w:hAnsi="仿宋_GB2312" w:eastAsia="仿宋_GB2312" w:cs="仿宋_GB2312"/>
          <w:i w:val="0"/>
          <w:iCs w:val="0"/>
          <w:caps w:val="0"/>
          <w:color w:val="000000"/>
          <w:spacing w:val="0"/>
          <w:sz w:val="32"/>
          <w:szCs w:val="32"/>
        </w:rPr>
        <w:t>辆。</w:t>
      </w:r>
    </w:p>
    <w:p w14:paraId="7AEF7B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年安排公务用车购置费</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万元，购置公务用车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辆，其中：轿车（含7座以下商务车、城市越野车）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辆，7座以上</w:t>
      </w:r>
      <w:r>
        <w:rPr>
          <w:rFonts w:hint="default" w:ascii="Times New Roman" w:hAnsi="Times New Roman" w:eastAsia="仿宋_GB2312" w:cs="Times New Roman"/>
          <w:i w:val="0"/>
          <w:iCs w:val="0"/>
          <w:caps w:val="0"/>
          <w:color w:val="000000"/>
          <w:spacing w:val="0"/>
          <w:sz w:val="32"/>
          <w:szCs w:val="32"/>
        </w:rPr>
        <w:t>19</w:t>
      </w:r>
      <w:r>
        <w:rPr>
          <w:rFonts w:hint="default" w:ascii="仿宋_GB2312" w:hAnsi="仿宋_GB2312" w:eastAsia="仿宋_GB2312" w:cs="仿宋_GB2312"/>
          <w:i w:val="0"/>
          <w:iCs w:val="0"/>
          <w:caps w:val="0"/>
          <w:color w:val="000000"/>
          <w:spacing w:val="0"/>
          <w:sz w:val="32"/>
          <w:szCs w:val="32"/>
        </w:rPr>
        <w:t>座（含</w:t>
      </w:r>
      <w:r>
        <w:rPr>
          <w:rFonts w:hint="default" w:ascii="Times New Roman" w:hAnsi="Times New Roman" w:eastAsia="仿宋_GB2312" w:cs="Times New Roman"/>
          <w:i w:val="0"/>
          <w:iCs w:val="0"/>
          <w:caps w:val="0"/>
          <w:color w:val="000000"/>
          <w:spacing w:val="0"/>
          <w:sz w:val="32"/>
          <w:szCs w:val="32"/>
        </w:rPr>
        <w:t>19</w:t>
      </w:r>
      <w:r>
        <w:rPr>
          <w:rFonts w:hint="default" w:ascii="仿宋_GB2312" w:hAnsi="仿宋_GB2312" w:eastAsia="仿宋_GB2312" w:cs="仿宋_GB2312"/>
          <w:i w:val="0"/>
          <w:iCs w:val="0"/>
          <w:caps w:val="0"/>
          <w:color w:val="000000"/>
          <w:spacing w:val="0"/>
          <w:sz w:val="32"/>
          <w:szCs w:val="32"/>
        </w:rPr>
        <w:t>座）以下客车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辆，越野车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辆，货车及19座以上客车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辆，摩托车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w:t>
      </w:r>
    </w:p>
    <w:p w14:paraId="0C763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年安排公务用车运行维护费</w:t>
      </w:r>
      <w:r>
        <w:rPr>
          <w:rFonts w:hint="eastAsia" w:ascii="Times New Roman" w:hAnsi="Times New Roman" w:eastAsia="仿宋_GB2312" w:cs="Times New Roman"/>
          <w:i w:val="0"/>
          <w:iCs w:val="0"/>
          <w:caps w:val="0"/>
          <w:color w:val="000000"/>
          <w:spacing w:val="0"/>
          <w:sz w:val="32"/>
          <w:szCs w:val="32"/>
          <w:lang w:val="en-US" w:eastAsia="zh-CN"/>
        </w:rPr>
        <w:t>150000</w:t>
      </w:r>
      <w:r>
        <w:rPr>
          <w:rFonts w:hint="default" w:ascii="仿宋_GB2312" w:hAnsi="仿宋_GB2312" w:eastAsia="仿宋_GB2312" w:cs="仿宋_GB2312"/>
          <w:i w:val="0"/>
          <w:iCs w:val="0"/>
          <w:caps w:val="0"/>
          <w:color w:val="000000"/>
          <w:spacing w:val="0"/>
          <w:sz w:val="32"/>
          <w:szCs w:val="32"/>
        </w:rPr>
        <w:t>元，用于</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仿宋_GB2312" w:hAnsi="仿宋_GB2312" w:eastAsia="仿宋_GB2312" w:cs="仿宋_GB2312"/>
          <w:i w:val="0"/>
          <w:iCs w:val="0"/>
          <w:caps w:val="0"/>
          <w:color w:val="000000"/>
          <w:spacing w:val="0"/>
          <w:sz w:val="32"/>
          <w:szCs w:val="32"/>
        </w:rPr>
        <w:t>辆公务用车燃油、维修、</w:t>
      </w:r>
      <w:r>
        <w:rPr>
          <w:rFonts w:hint="eastAsia" w:ascii="仿宋_GB2312" w:hAnsi="仿宋_GB2312" w:eastAsia="仿宋_GB2312" w:cs="仿宋_GB2312"/>
          <w:i w:val="0"/>
          <w:iCs w:val="0"/>
          <w:caps w:val="0"/>
          <w:color w:val="000000"/>
          <w:spacing w:val="0"/>
          <w:sz w:val="32"/>
          <w:szCs w:val="32"/>
          <w:lang w:val="en-US" w:eastAsia="zh-CN"/>
        </w:rPr>
        <w:t>森林防火、防汛、高速</w:t>
      </w:r>
      <w:r>
        <w:rPr>
          <w:rFonts w:hint="default" w:ascii="仿宋_GB2312" w:hAnsi="仿宋_GB2312" w:eastAsia="仿宋_GB2312" w:cs="仿宋_GB2312"/>
          <w:i w:val="0"/>
          <w:iCs w:val="0"/>
          <w:caps w:val="0"/>
          <w:color w:val="000000"/>
          <w:spacing w:val="0"/>
          <w:sz w:val="32"/>
          <w:szCs w:val="32"/>
        </w:rPr>
        <w:t>通行等方面支出。</w:t>
      </w:r>
    </w:p>
    <w:p w14:paraId="7A6C5C4F">
      <w:pPr>
        <w:pStyle w:val="2"/>
        <w:bidi w:val="0"/>
      </w:pPr>
      <w:bookmarkStart w:id="57" w:name="_Toc1386"/>
      <w:bookmarkStart w:id="58" w:name="_Toc25677"/>
      <w:bookmarkStart w:id="59" w:name="_Toc2964"/>
      <w:bookmarkStart w:id="60" w:name="_Toc22141"/>
      <w:r>
        <w:rPr>
          <w:rFonts w:hint="default"/>
        </w:rPr>
        <w:t>八、“三公”经费非财政拨款预算安排情况说明</w:t>
      </w:r>
      <w:bookmarkEnd w:id="57"/>
      <w:bookmarkEnd w:id="58"/>
      <w:bookmarkEnd w:id="59"/>
      <w:bookmarkEnd w:id="60"/>
    </w:p>
    <w:p w14:paraId="631E7E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8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米易县麻陇彝族乡人民政府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年没有使用非财政拨款安排“三公”经费预算。</w:t>
      </w:r>
    </w:p>
    <w:p w14:paraId="3360B1A3">
      <w:pPr>
        <w:pStyle w:val="2"/>
        <w:bidi w:val="0"/>
      </w:pPr>
      <w:bookmarkStart w:id="61" w:name="_Toc31491"/>
      <w:bookmarkStart w:id="62" w:name="_Toc31746"/>
      <w:bookmarkStart w:id="63" w:name="_Toc9086"/>
      <w:bookmarkStart w:id="64" w:name="_Toc21331"/>
      <w:r>
        <w:rPr>
          <w:rFonts w:hint="default"/>
        </w:rPr>
        <w:t>九、政府性基金预算支出情况说明</w:t>
      </w:r>
      <w:bookmarkEnd w:id="61"/>
      <w:bookmarkEnd w:id="62"/>
      <w:bookmarkEnd w:id="63"/>
      <w:bookmarkEnd w:id="64"/>
    </w:p>
    <w:p w14:paraId="5D313A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年没有使用政府性基金预算拨款安排的支出。</w:t>
      </w:r>
    </w:p>
    <w:p w14:paraId="1B6ACB37">
      <w:pPr>
        <w:pStyle w:val="2"/>
        <w:bidi w:val="0"/>
      </w:pPr>
      <w:bookmarkStart w:id="65" w:name="_Toc23170"/>
      <w:bookmarkStart w:id="66" w:name="_Toc9096"/>
      <w:bookmarkStart w:id="67" w:name="_Toc1423"/>
      <w:bookmarkStart w:id="68" w:name="_Toc10495"/>
      <w:r>
        <w:rPr>
          <w:rFonts w:hint="default"/>
        </w:rPr>
        <w:t>十、国有资本经营预算情况说明</w:t>
      </w:r>
      <w:bookmarkEnd w:id="65"/>
      <w:bookmarkEnd w:id="66"/>
      <w:bookmarkEnd w:id="67"/>
      <w:bookmarkEnd w:id="68"/>
    </w:p>
    <w:p w14:paraId="78A358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8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年没有使用国有资本经营预算拨款安排的支出。</w:t>
      </w:r>
    </w:p>
    <w:p w14:paraId="1293BB4C">
      <w:pPr>
        <w:pStyle w:val="2"/>
        <w:bidi w:val="0"/>
      </w:pPr>
      <w:bookmarkStart w:id="69" w:name="_Toc3927"/>
      <w:bookmarkStart w:id="70" w:name="_Toc23295"/>
      <w:bookmarkStart w:id="71" w:name="_Toc32094"/>
      <w:bookmarkStart w:id="72" w:name="_Toc19555"/>
      <w:r>
        <w:rPr>
          <w:rFonts w:hint="default"/>
        </w:rPr>
        <w:t>十一、其他重要事项的情况说明</w:t>
      </w:r>
      <w:bookmarkEnd w:id="69"/>
      <w:bookmarkEnd w:id="70"/>
      <w:bookmarkEnd w:id="71"/>
      <w:bookmarkEnd w:id="72"/>
    </w:p>
    <w:p w14:paraId="7FDC9146">
      <w:pPr>
        <w:pStyle w:val="4"/>
        <w:bidi w:val="0"/>
      </w:pPr>
      <w:bookmarkStart w:id="73" w:name="_Toc31420"/>
      <w:bookmarkStart w:id="74" w:name="_Toc10658"/>
      <w:bookmarkStart w:id="75" w:name="_Toc6705"/>
      <w:r>
        <w:rPr>
          <w:rFonts w:hint="default"/>
        </w:rPr>
        <w:t>（一）机关运行经费。</w:t>
      </w:r>
      <w:bookmarkEnd w:id="73"/>
      <w:bookmarkEnd w:id="74"/>
      <w:bookmarkEnd w:id="75"/>
    </w:p>
    <w:p w14:paraId="22E94A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default" w:eastAsia="微软雅黑"/>
          <w:color w:val="000000" w:themeColor="text1"/>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202</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6</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麻陇彝族乡人民政府</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机关运行经费财政拨款预算为</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2049214</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元，比</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202</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5</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年预算</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增加</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63970</w:t>
      </w:r>
      <w:r>
        <w:rPr>
          <w:rFonts w:hint="default" w:ascii="仿宋_GB2312" w:hAnsi="仿宋_GB2312" w:eastAsia="仿宋_GB2312" w:cs="仿宋_GB2312"/>
          <w:i w:val="0"/>
          <w:iCs w:val="0"/>
          <w:caps w:val="0"/>
          <w:color w:val="000000" w:themeColor="text1"/>
          <w:spacing w:val="0"/>
          <w:sz w:val="32"/>
          <w:szCs w:val="32"/>
          <w14:textFill>
            <w14:solidFill>
              <w14:schemeClr w14:val="tx1"/>
            </w14:solidFill>
          </w14:textFill>
        </w:rPr>
        <w:t>元，</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增加</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3.22</w:t>
      </w:r>
      <w:r>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t>%</w:t>
      </w:r>
      <w:r>
        <w:rPr>
          <w:rFonts w:hint="eastAsia" w:ascii="Times New Roman" w:hAnsi="Times New Roman" w:eastAsia="微软雅黑" w:cs="Times New Roman"/>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主要原因人员增加。</w:t>
      </w:r>
    </w:p>
    <w:p w14:paraId="33D4967D">
      <w:pPr>
        <w:pStyle w:val="4"/>
        <w:bidi w:val="0"/>
      </w:pPr>
      <w:bookmarkStart w:id="76" w:name="_Toc32141"/>
      <w:bookmarkStart w:id="77" w:name="_Toc24754"/>
      <w:bookmarkStart w:id="78" w:name="_Toc22857"/>
      <w:r>
        <w:rPr>
          <w:rFonts w:hint="default"/>
        </w:rPr>
        <w:t>（二）政府采购情况。</w:t>
      </w:r>
      <w:bookmarkEnd w:id="76"/>
      <w:bookmarkEnd w:id="77"/>
      <w:bookmarkEnd w:id="78"/>
    </w:p>
    <w:p w14:paraId="1BE72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80" w:lineRule="atLeast"/>
        <w:ind w:left="0" w:right="0" w:firstLine="640"/>
      </w:pP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仿宋_GB2312" w:hAnsi="仿宋_GB2312" w:eastAsia="仿宋_GB2312" w:cs="仿宋_GB2312"/>
          <w:i w:val="0"/>
          <w:iCs w:val="0"/>
          <w:caps w:val="0"/>
          <w:color w:val="000000"/>
          <w:spacing w:val="0"/>
          <w:sz w:val="32"/>
          <w:szCs w:val="32"/>
        </w:rPr>
        <w:t>年无政府采购项目，未安排政府采购预算。</w:t>
      </w:r>
    </w:p>
    <w:p w14:paraId="7BE6F84D">
      <w:pPr>
        <w:pStyle w:val="4"/>
        <w:bidi w:val="0"/>
      </w:pPr>
      <w:bookmarkStart w:id="79" w:name="_Toc29102"/>
      <w:bookmarkStart w:id="80" w:name="_Toc25371"/>
      <w:bookmarkStart w:id="81" w:name="_Toc28965"/>
      <w:r>
        <w:rPr>
          <w:rFonts w:hint="default"/>
        </w:rPr>
        <w:t>（三）国有资产占有使用情况。</w:t>
      </w:r>
      <w:bookmarkEnd w:id="79"/>
      <w:bookmarkEnd w:id="80"/>
      <w:bookmarkEnd w:id="81"/>
    </w:p>
    <w:p w14:paraId="24CCEB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pPr>
      <w:r>
        <w:rPr>
          <w:rFonts w:hint="default" w:ascii="仿宋_GB2312" w:hAnsi="仿宋_GB2312" w:eastAsia="仿宋_GB2312" w:cs="仿宋_GB2312"/>
          <w:i w:val="0"/>
          <w:iCs w:val="0"/>
          <w:caps w:val="0"/>
          <w:color w:val="000000"/>
          <w:spacing w:val="0"/>
          <w:sz w:val="32"/>
          <w:szCs w:val="32"/>
        </w:rPr>
        <w:t>截至</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仿宋_GB2312" w:hAnsi="仿宋_GB2312" w:eastAsia="仿宋_GB2312" w:cs="仿宋_GB2312"/>
          <w:i w:val="0"/>
          <w:iCs w:val="0"/>
          <w:caps w:val="0"/>
          <w:color w:val="000000"/>
          <w:spacing w:val="0"/>
          <w:sz w:val="32"/>
          <w:szCs w:val="32"/>
        </w:rPr>
        <w:t>年底，</w:t>
      </w:r>
      <w:r>
        <w:rPr>
          <w:rFonts w:hint="eastAsia" w:ascii="仿宋_GB2312" w:hAnsi="仿宋_GB2312" w:eastAsia="仿宋_GB2312" w:cs="仿宋_GB2312"/>
          <w:i w:val="0"/>
          <w:iCs w:val="0"/>
          <w:caps w:val="0"/>
          <w:color w:val="000000"/>
          <w:spacing w:val="0"/>
          <w:sz w:val="32"/>
          <w:szCs w:val="32"/>
          <w:lang w:eastAsia="zh-CN"/>
        </w:rPr>
        <w:t>麻陇彝族乡人民政府</w:t>
      </w:r>
      <w:r>
        <w:rPr>
          <w:rFonts w:hint="default" w:ascii="仿宋_GB2312" w:hAnsi="仿宋_GB2312" w:eastAsia="仿宋_GB2312" w:cs="仿宋_GB2312"/>
          <w:i w:val="0"/>
          <w:iCs w:val="0"/>
          <w:caps w:val="0"/>
          <w:color w:val="000000"/>
          <w:spacing w:val="0"/>
          <w:sz w:val="32"/>
          <w:szCs w:val="32"/>
        </w:rPr>
        <w:t>及所属的非独立核算单位共有车辆</w:t>
      </w:r>
      <w:r>
        <w:rPr>
          <w:rFonts w:hint="eastAsia" w:ascii="Times New Roman" w:hAnsi="Times New Roman" w:eastAsia="仿宋_GB2312" w:cs="Times New Roman"/>
          <w:i w:val="0"/>
          <w:iCs w:val="0"/>
          <w:caps w:val="0"/>
          <w:color w:val="000000"/>
          <w:spacing w:val="0"/>
          <w:sz w:val="32"/>
          <w:szCs w:val="32"/>
          <w:lang w:val="en-US" w:eastAsia="zh-CN"/>
        </w:rPr>
        <w:t>5</w:t>
      </w:r>
      <w:r>
        <w:rPr>
          <w:rFonts w:hint="default" w:ascii="仿宋_GB2312" w:hAnsi="仿宋_GB2312" w:eastAsia="仿宋_GB2312" w:cs="仿宋_GB2312"/>
          <w:i w:val="0"/>
          <w:iCs w:val="0"/>
          <w:caps w:val="0"/>
          <w:color w:val="000000"/>
          <w:spacing w:val="0"/>
          <w:sz w:val="32"/>
          <w:szCs w:val="32"/>
        </w:rPr>
        <w:t>辆，其中，执法执勤用车</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辆。单位价值200万元以上大型设备</w:t>
      </w:r>
      <w:r>
        <w:rPr>
          <w:rFonts w:hint="default" w:ascii="Times New Roman" w:hAnsi="Times New Roman" w:eastAsia="仿宋_GB2312" w:cs="Times New Roman"/>
          <w:i w:val="0"/>
          <w:iCs w:val="0"/>
          <w:caps w:val="0"/>
          <w:color w:val="000000"/>
          <w:spacing w:val="0"/>
          <w:sz w:val="32"/>
          <w:szCs w:val="32"/>
        </w:rPr>
        <w:t>0</w:t>
      </w:r>
      <w:r>
        <w:rPr>
          <w:rFonts w:hint="default" w:ascii="仿宋_GB2312" w:hAnsi="仿宋_GB2312" w:eastAsia="仿宋_GB2312" w:cs="仿宋_GB2312"/>
          <w:i w:val="0"/>
          <w:iCs w:val="0"/>
          <w:caps w:val="0"/>
          <w:color w:val="000000"/>
          <w:spacing w:val="0"/>
          <w:sz w:val="32"/>
          <w:szCs w:val="32"/>
        </w:rPr>
        <w:t>台（套）。</w:t>
      </w:r>
    </w:p>
    <w:p w14:paraId="00662903">
      <w:pPr>
        <w:pStyle w:val="4"/>
        <w:bidi w:val="0"/>
      </w:pPr>
      <w:bookmarkStart w:id="82" w:name="_Toc30587"/>
      <w:bookmarkStart w:id="83" w:name="_Toc4997"/>
      <w:bookmarkStart w:id="84" w:name="_Toc32277"/>
      <w:r>
        <w:rPr>
          <w:rFonts w:hint="default"/>
        </w:rPr>
        <w:t>（四）预算绩效情况。</w:t>
      </w:r>
      <w:bookmarkEnd w:id="82"/>
      <w:bookmarkEnd w:id="83"/>
      <w:bookmarkEnd w:id="84"/>
      <w:bookmarkStart w:id="89" w:name="_GoBack"/>
      <w:bookmarkEnd w:id="89"/>
    </w:p>
    <w:p w14:paraId="3C61E8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0"/>
        <w:rPr>
          <w:rFonts w:hint="default" w:ascii="仿宋_GB2312" w:hAnsi="仿宋_GB2312" w:eastAsia="仿宋_GB2312" w:cs="仿宋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eastAsia="zh-CN"/>
        </w:rPr>
        <w:t>麻陇彝族乡人民政府</w:t>
      </w:r>
      <w:r>
        <w:rPr>
          <w:rFonts w:hint="default" w:ascii="Times New Roman" w:hAnsi="Times New Roman" w:eastAsia="仿宋_GB2312" w:cs="Times New Roman"/>
          <w:i w:val="0"/>
          <w:iCs w:val="0"/>
          <w:caps w:val="0"/>
          <w:color w:val="000000"/>
          <w:spacing w:val="0"/>
          <w:sz w:val="32"/>
          <w:szCs w:val="32"/>
        </w:rPr>
        <w:t>开展绩效目标管理的项目</w:t>
      </w:r>
      <w:r>
        <w:rPr>
          <w:rFonts w:hint="eastAsia" w:ascii="Times New Roman" w:hAnsi="Times New Roman" w:eastAsia="仿宋_GB2312" w:cs="Times New Roman"/>
          <w:i w:val="0"/>
          <w:iCs w:val="0"/>
          <w:caps w:val="0"/>
          <w:color w:val="000000"/>
          <w:spacing w:val="0"/>
          <w:sz w:val="32"/>
          <w:szCs w:val="32"/>
          <w:lang w:val="en-US" w:eastAsia="zh-CN"/>
        </w:rPr>
        <w:t>48</w:t>
      </w:r>
      <w:r>
        <w:rPr>
          <w:rFonts w:hint="default" w:ascii="Times New Roman" w:hAnsi="Times New Roman" w:eastAsia="仿宋_GB2312" w:cs="Times New Roman"/>
          <w:i w:val="0"/>
          <w:iCs w:val="0"/>
          <w:caps w:val="0"/>
          <w:color w:val="000000"/>
          <w:spacing w:val="0"/>
          <w:sz w:val="32"/>
          <w:szCs w:val="32"/>
        </w:rPr>
        <w:t>个，涉及预算</w:t>
      </w:r>
      <w:r>
        <w:rPr>
          <w:rFonts w:hint="default" w:ascii="Times New Roman" w:hAnsi="Times New Roman" w:eastAsia="仿宋_GB2312" w:cs="Times New Roman"/>
          <w:i w:val="0"/>
          <w:iCs w:val="0"/>
          <w:caps w:val="0"/>
          <w:color w:val="000000"/>
          <w:spacing w:val="0"/>
          <w:sz w:val="32"/>
          <w:szCs w:val="32"/>
          <w:lang w:val="en-US" w:eastAsia="zh-CN"/>
        </w:rPr>
        <w:t>9636067.64</w:t>
      </w:r>
      <w:r>
        <w:rPr>
          <w:rFonts w:hint="default" w:ascii="Times New Roman" w:hAnsi="Times New Roman" w:eastAsia="仿宋_GB2312" w:cs="Times New Roman"/>
          <w:i w:val="0"/>
          <w:iCs w:val="0"/>
          <w:caps w:val="0"/>
          <w:color w:val="000000"/>
          <w:spacing w:val="0"/>
          <w:sz w:val="32"/>
          <w:szCs w:val="32"/>
        </w:rPr>
        <w:t>元。其中：人员类项目</w:t>
      </w:r>
      <w:r>
        <w:rPr>
          <w:rFonts w:hint="eastAsia" w:ascii="Times New Roman" w:hAnsi="Times New Roman" w:eastAsia="仿宋_GB2312" w:cs="Times New Roman"/>
          <w:i w:val="0"/>
          <w:iCs w:val="0"/>
          <w:caps w:val="0"/>
          <w:color w:val="000000"/>
          <w:spacing w:val="0"/>
          <w:sz w:val="32"/>
          <w:szCs w:val="32"/>
          <w:lang w:val="en-US" w:eastAsia="zh-CN"/>
        </w:rPr>
        <w:t>36</w:t>
      </w:r>
      <w:r>
        <w:rPr>
          <w:rFonts w:hint="default" w:ascii="Times New Roman" w:hAnsi="Times New Roman" w:eastAsia="仿宋_GB2312" w:cs="Times New Roman"/>
          <w:i w:val="0"/>
          <w:iCs w:val="0"/>
          <w:caps w:val="0"/>
          <w:color w:val="000000"/>
          <w:spacing w:val="0"/>
          <w:sz w:val="32"/>
          <w:szCs w:val="32"/>
        </w:rPr>
        <w:t>个，涉及预算</w:t>
      </w:r>
      <w:r>
        <w:rPr>
          <w:rFonts w:hint="eastAsia" w:ascii="Times New Roman" w:hAnsi="Times New Roman" w:eastAsia="仿宋_GB2312" w:cs="Times New Roman"/>
          <w:i w:val="0"/>
          <w:iCs w:val="0"/>
          <w:caps w:val="0"/>
          <w:color w:val="000000"/>
          <w:spacing w:val="0"/>
          <w:sz w:val="32"/>
          <w:szCs w:val="32"/>
          <w:lang w:val="en-US" w:eastAsia="zh-CN"/>
        </w:rPr>
        <w:t>5565810.64</w:t>
      </w:r>
      <w:r>
        <w:rPr>
          <w:rFonts w:hint="default" w:ascii="Times New Roman" w:hAnsi="Times New Roman" w:eastAsia="仿宋_GB2312" w:cs="Times New Roman"/>
          <w:i w:val="0"/>
          <w:iCs w:val="0"/>
          <w:caps w:val="0"/>
          <w:color w:val="000000"/>
          <w:spacing w:val="0"/>
          <w:sz w:val="32"/>
          <w:szCs w:val="32"/>
        </w:rPr>
        <w:t>元；运转类项目</w:t>
      </w:r>
      <w:r>
        <w:rPr>
          <w:rFonts w:hint="eastAsia" w:ascii="Times New Roman" w:hAnsi="Times New Roman" w:eastAsia="仿宋_GB2312" w:cs="Times New Roman"/>
          <w:i w:val="0"/>
          <w:iCs w:val="0"/>
          <w:caps w:val="0"/>
          <w:color w:val="000000"/>
          <w:spacing w:val="0"/>
          <w:sz w:val="32"/>
          <w:szCs w:val="32"/>
          <w:lang w:val="en-US" w:eastAsia="zh-CN"/>
        </w:rPr>
        <w:t>10</w:t>
      </w:r>
      <w:r>
        <w:rPr>
          <w:rFonts w:hint="default" w:ascii="Times New Roman" w:hAnsi="Times New Roman" w:eastAsia="仿宋_GB2312" w:cs="Times New Roman"/>
          <w:i w:val="0"/>
          <w:iCs w:val="0"/>
          <w:caps w:val="0"/>
          <w:color w:val="000000"/>
          <w:spacing w:val="0"/>
          <w:sz w:val="32"/>
          <w:szCs w:val="32"/>
        </w:rPr>
        <w:t>个，涉及预算</w:t>
      </w:r>
      <w:r>
        <w:rPr>
          <w:rFonts w:hint="eastAsia" w:ascii="Times New Roman" w:hAnsi="Times New Roman" w:eastAsia="仿宋_GB2312" w:cs="Times New Roman"/>
          <w:i w:val="0"/>
          <w:iCs w:val="0"/>
          <w:caps w:val="0"/>
          <w:color w:val="000000"/>
          <w:spacing w:val="0"/>
          <w:sz w:val="32"/>
          <w:szCs w:val="32"/>
          <w:lang w:val="en-US" w:eastAsia="zh-CN"/>
        </w:rPr>
        <w:t>2317434</w:t>
      </w:r>
      <w:r>
        <w:rPr>
          <w:rFonts w:hint="default" w:ascii="Times New Roman" w:hAnsi="Times New Roman" w:eastAsia="仿宋_GB2312" w:cs="Times New Roman"/>
          <w:i w:val="0"/>
          <w:iCs w:val="0"/>
          <w:caps w:val="0"/>
          <w:color w:val="000000"/>
          <w:spacing w:val="0"/>
          <w:sz w:val="32"/>
          <w:szCs w:val="32"/>
        </w:rPr>
        <w:t>元；特定目标类项目</w:t>
      </w:r>
      <w:r>
        <w:rPr>
          <w:rFonts w:hint="eastAsia"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个，涉及预算</w:t>
      </w:r>
      <w:r>
        <w:rPr>
          <w:rFonts w:hint="eastAsia" w:ascii="Times New Roman" w:hAnsi="Times New Roman" w:eastAsia="仿宋_GB2312" w:cs="Times New Roman"/>
          <w:i w:val="0"/>
          <w:iCs w:val="0"/>
          <w:caps w:val="0"/>
          <w:color w:val="000000"/>
          <w:spacing w:val="0"/>
          <w:sz w:val="32"/>
          <w:szCs w:val="32"/>
          <w:lang w:val="en-US" w:eastAsia="zh-CN"/>
        </w:rPr>
        <w:t>1752823</w:t>
      </w:r>
      <w:r>
        <w:rPr>
          <w:rFonts w:hint="default" w:ascii="Times New Roman" w:hAnsi="Times New Roman" w:eastAsia="仿宋_GB2312" w:cs="Times New Roman"/>
          <w:i w:val="0"/>
          <w:iCs w:val="0"/>
          <w:caps w:val="0"/>
          <w:color w:val="000000"/>
          <w:spacing w:val="0"/>
          <w:sz w:val="32"/>
          <w:szCs w:val="32"/>
        </w:rPr>
        <w:t>元。</w:t>
      </w:r>
    </w:p>
    <w:p w14:paraId="1B3586D9">
      <w:pPr>
        <w:pStyle w:val="2"/>
        <w:bidi w:val="0"/>
      </w:pPr>
      <w:bookmarkStart w:id="85" w:name="_Toc31820"/>
      <w:bookmarkStart w:id="86" w:name="_Toc30645"/>
      <w:bookmarkStart w:id="87" w:name="_Toc4101"/>
      <w:bookmarkStart w:id="88" w:name="_Toc7660"/>
      <w:r>
        <w:rPr>
          <w:rFonts w:hint="default"/>
        </w:rPr>
        <w:t>十二、名词解释</w:t>
      </w:r>
      <w:bookmarkEnd w:id="85"/>
      <w:bookmarkEnd w:id="86"/>
      <w:bookmarkEnd w:id="87"/>
      <w:bookmarkEnd w:id="88"/>
    </w:p>
    <w:p w14:paraId="35D1D0D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1.一般公共预算拨款收入：指县级财政当年拨付的资金。</w:t>
      </w:r>
    </w:p>
    <w:p w14:paraId="39A6ADF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.基本支出：指为保证机构正常运转，完成日常工作任务而发生的人员支出和公用支出。</w:t>
      </w:r>
    </w:p>
    <w:p w14:paraId="2BF080F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.项目支出：指在基本支出之外为完成特定的工作任务和事业发展目标所发生的支出。</w:t>
      </w:r>
    </w:p>
    <w:p w14:paraId="7BB1500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.一般公共服务（类）人大事务（款）一般行政管理事务（项）</w:t>
      </w:r>
      <w:r>
        <w:rPr>
          <w:rFonts w:hint="eastAsia" w:ascii="仿宋_GB2312" w:hAnsi="仿宋_GB2312" w:eastAsia="仿宋_GB2312" w:cs="仿宋_GB2312"/>
          <w:sz w:val="32"/>
          <w:szCs w:val="32"/>
          <w:lang w:eastAsia="zh-CN"/>
        </w:rPr>
        <w:t>指人大事务支出中未单独设置项级科目的其他支出</w:t>
      </w:r>
      <w:r>
        <w:rPr>
          <w:rFonts w:hint="eastAsia" w:ascii="仿宋_GB2312" w:hAnsi="仿宋_GB2312" w:eastAsia="仿宋_GB2312" w:cs="仿宋_GB2312"/>
          <w:sz w:val="32"/>
          <w:szCs w:val="32"/>
        </w:rPr>
        <w:t>。</w:t>
      </w:r>
    </w:p>
    <w:p w14:paraId="79E865E4">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.一般公共服务（类）政府办公厅（室）及相关机构事务（款）行政运行（项）</w:t>
      </w:r>
      <w:r>
        <w:rPr>
          <w:rFonts w:hint="eastAsia" w:ascii="仿宋_GB2312" w:hAnsi="仿宋_GB2312" w:eastAsia="仿宋_GB2312" w:cs="仿宋_GB2312"/>
          <w:sz w:val="32"/>
          <w:szCs w:val="32"/>
          <w:lang w:eastAsia="zh-CN"/>
        </w:rPr>
        <w:t>指行政单位基本支出</w:t>
      </w:r>
      <w:r>
        <w:rPr>
          <w:rFonts w:hint="eastAsia" w:ascii="仿宋_GB2312" w:hAnsi="仿宋_GB2312" w:eastAsia="仿宋_GB2312" w:cs="仿宋_GB2312"/>
          <w:sz w:val="32"/>
          <w:szCs w:val="32"/>
        </w:rPr>
        <w:t>。</w:t>
      </w:r>
    </w:p>
    <w:p w14:paraId="34871A6C">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Style w:val="14"/>
          <w:rFonts w:hint="eastAsia" w:ascii="仿宋_GB2312" w:hAnsi="仿宋_GB2312" w:eastAsia="仿宋_GB2312" w:cs="仿宋_GB2312"/>
          <w:b w:val="0"/>
          <w:bCs w:val="0"/>
          <w:color w:val="auto"/>
          <w:sz w:val="32"/>
          <w:szCs w:val="32"/>
          <w:highlight w:val="none"/>
        </w:rPr>
        <w:t>一般公共服务（类）政府办公厅（室）及相关机构事务（款</w:t>
      </w:r>
      <w:r>
        <w:rPr>
          <w:rStyle w:val="14"/>
          <w:rFonts w:hint="eastAsia" w:ascii="仿宋_GB2312" w:hAnsi="仿宋_GB2312" w:eastAsia="仿宋_GB2312" w:cs="仿宋_GB2312"/>
          <w:b w:val="0"/>
          <w:bCs w:val="0"/>
          <w:color w:val="auto"/>
          <w:sz w:val="32"/>
          <w:szCs w:val="32"/>
          <w:highlight w:val="none"/>
          <w:lang w:eastAsia="zh-CN"/>
        </w:rPr>
        <w:t>）</w:t>
      </w:r>
      <w:r>
        <w:rPr>
          <w:rStyle w:val="14"/>
          <w:rFonts w:hint="eastAsia" w:ascii="仿宋_GB2312" w:hAnsi="仿宋_GB2312" w:eastAsia="仿宋_GB2312" w:cs="仿宋_GB2312"/>
          <w:b w:val="0"/>
          <w:bCs w:val="0"/>
          <w:color w:val="auto"/>
          <w:sz w:val="32"/>
          <w:szCs w:val="32"/>
          <w:highlight w:val="none"/>
        </w:rPr>
        <w:t>事业运行（项）</w:t>
      </w:r>
      <w:r>
        <w:rPr>
          <w:rStyle w:val="14"/>
          <w:rFonts w:hint="eastAsia" w:ascii="仿宋_GB2312" w:hAnsi="仿宋_GB2312" w:eastAsia="仿宋_GB2312" w:cs="仿宋_GB2312"/>
          <w:b w:val="0"/>
          <w:bCs w:val="0"/>
          <w:color w:val="auto"/>
          <w:sz w:val="32"/>
          <w:szCs w:val="32"/>
          <w:highlight w:val="none"/>
          <w:lang w:eastAsia="zh-CN"/>
        </w:rPr>
        <w:t>指</w:t>
      </w:r>
      <w:r>
        <w:rPr>
          <w:rFonts w:hint="eastAsia" w:ascii="仿宋_GB2312" w:hAnsi="仿宋_GB2312" w:eastAsia="仿宋_GB2312" w:cs="仿宋_GB2312"/>
          <w:sz w:val="32"/>
          <w:szCs w:val="32"/>
          <w:lang w:eastAsia="zh-CN"/>
        </w:rPr>
        <w:t>事业单位基本支出</w:t>
      </w:r>
      <w:r>
        <w:rPr>
          <w:rFonts w:hint="eastAsia" w:ascii="仿宋_GB2312" w:hAnsi="仿宋_GB2312" w:eastAsia="仿宋_GB2312" w:cs="仿宋_GB2312"/>
          <w:sz w:val="32"/>
          <w:szCs w:val="32"/>
        </w:rPr>
        <w:t>。</w:t>
      </w:r>
    </w:p>
    <w:p w14:paraId="474ECFE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Style w:val="14"/>
          <w:rFonts w:hint="eastAsia" w:ascii="仿宋_GB2312" w:hAnsi="仿宋_GB2312" w:eastAsia="仿宋_GB2312" w:cs="仿宋_GB2312"/>
          <w:b w:val="0"/>
          <w:bCs w:val="0"/>
          <w:color w:val="auto"/>
          <w:sz w:val="32"/>
          <w:szCs w:val="32"/>
          <w:highlight w:val="none"/>
          <w:lang w:eastAsia="zh-CN"/>
        </w:rPr>
        <w:t>社会保障和就业支出</w:t>
      </w:r>
      <w:r>
        <w:rPr>
          <w:rStyle w:val="14"/>
          <w:rFonts w:hint="eastAsia" w:ascii="仿宋_GB2312" w:hAnsi="仿宋_GB2312" w:eastAsia="仿宋_GB2312" w:cs="仿宋_GB2312"/>
          <w:b w:val="0"/>
          <w:bCs w:val="0"/>
          <w:color w:val="auto"/>
          <w:sz w:val="32"/>
          <w:szCs w:val="32"/>
          <w:highlight w:val="none"/>
        </w:rPr>
        <w:t>（类）</w:t>
      </w:r>
      <w:r>
        <w:rPr>
          <w:rStyle w:val="14"/>
          <w:rFonts w:hint="eastAsia" w:ascii="仿宋_GB2312" w:hAnsi="仿宋_GB2312" w:eastAsia="仿宋_GB2312" w:cs="仿宋_GB2312"/>
          <w:b w:val="0"/>
          <w:bCs w:val="0"/>
          <w:color w:val="auto"/>
          <w:sz w:val="32"/>
          <w:szCs w:val="32"/>
          <w:highlight w:val="none"/>
          <w:lang w:eastAsia="zh-CN"/>
        </w:rPr>
        <w:t>民政管理事务</w:t>
      </w:r>
      <w:r>
        <w:rPr>
          <w:rStyle w:val="14"/>
          <w:rFonts w:hint="eastAsia" w:ascii="仿宋_GB2312" w:hAnsi="仿宋_GB2312" w:eastAsia="仿宋_GB2312" w:cs="仿宋_GB2312"/>
          <w:b w:val="0"/>
          <w:bCs w:val="0"/>
          <w:color w:val="auto"/>
          <w:sz w:val="32"/>
          <w:szCs w:val="32"/>
          <w:highlight w:val="none"/>
        </w:rPr>
        <w:t>（款</w:t>
      </w:r>
      <w:r>
        <w:rPr>
          <w:rStyle w:val="14"/>
          <w:rFonts w:hint="eastAsia" w:ascii="仿宋_GB2312" w:hAnsi="仿宋_GB2312" w:eastAsia="仿宋_GB2312" w:cs="仿宋_GB2312"/>
          <w:b w:val="0"/>
          <w:bCs w:val="0"/>
          <w:color w:val="auto"/>
          <w:sz w:val="32"/>
          <w:szCs w:val="32"/>
          <w:highlight w:val="none"/>
          <w:lang w:eastAsia="zh-CN"/>
        </w:rPr>
        <w:t>）社会组织管理</w:t>
      </w:r>
      <w:r>
        <w:rPr>
          <w:rStyle w:val="14"/>
          <w:rFonts w:hint="eastAsia" w:ascii="仿宋_GB2312" w:hAnsi="仿宋_GB2312" w:eastAsia="仿宋_GB2312" w:cs="仿宋_GB2312"/>
          <w:b w:val="0"/>
          <w:bCs w:val="0"/>
          <w:color w:val="auto"/>
          <w:sz w:val="32"/>
          <w:szCs w:val="32"/>
          <w:highlight w:val="none"/>
        </w:rPr>
        <w:t>（项）</w:t>
      </w:r>
      <w:r>
        <w:rPr>
          <w:rFonts w:hint="eastAsia" w:ascii="仿宋_GB2312" w:hAnsi="仿宋_GB2312" w:eastAsia="仿宋_GB2312" w:cs="仿宋_GB2312"/>
          <w:sz w:val="32"/>
          <w:szCs w:val="32"/>
          <w:lang w:eastAsia="zh-CN"/>
        </w:rPr>
        <w:t>指社会组织管理、支持社会组织发展等方面的支出</w:t>
      </w:r>
      <w:r>
        <w:rPr>
          <w:rFonts w:hint="eastAsia" w:ascii="仿宋_GB2312" w:hAnsi="仿宋_GB2312" w:eastAsia="仿宋_GB2312" w:cs="仿宋_GB2312"/>
          <w:sz w:val="32"/>
          <w:szCs w:val="32"/>
        </w:rPr>
        <w:t>。</w:t>
      </w:r>
    </w:p>
    <w:p w14:paraId="1E1677DB">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val="en-US" w:eastAsia="zh-CN"/>
        </w:rPr>
        <w:t>8.</w:t>
      </w:r>
      <w:r>
        <w:rPr>
          <w:rStyle w:val="14"/>
          <w:rFonts w:hint="eastAsia" w:ascii="仿宋_GB2312" w:hAnsi="仿宋_GB2312" w:eastAsia="仿宋_GB2312" w:cs="仿宋_GB2312"/>
          <w:b w:val="0"/>
          <w:bCs w:val="0"/>
          <w:color w:val="auto"/>
          <w:sz w:val="32"/>
          <w:szCs w:val="32"/>
          <w:highlight w:val="none"/>
        </w:rPr>
        <w:t>社会保障和就业（类）行政事业单位养老支出（款）行政单位离退休（项）</w:t>
      </w:r>
      <w:r>
        <w:rPr>
          <w:rFonts w:hint="eastAsia" w:ascii="仿宋_GB2312" w:hAnsi="仿宋_GB2312" w:eastAsia="仿宋_GB2312" w:cs="仿宋_GB2312"/>
          <w:b w:val="0"/>
          <w:bCs w:val="0"/>
          <w:sz w:val="32"/>
          <w:szCs w:val="32"/>
          <w:lang w:eastAsia="zh-CN"/>
        </w:rPr>
        <w:t>指</w:t>
      </w:r>
      <w:r>
        <w:rPr>
          <w:rFonts w:hint="eastAsia" w:ascii="仿宋_GB2312" w:hAnsi="仿宋_GB2312" w:eastAsia="仿宋_GB2312" w:cs="仿宋_GB2312"/>
          <w:sz w:val="32"/>
          <w:szCs w:val="32"/>
          <w:lang w:eastAsia="zh-CN"/>
        </w:rPr>
        <w:t>行政单位开支的离退休经费</w:t>
      </w:r>
      <w:r>
        <w:rPr>
          <w:rFonts w:hint="eastAsia" w:ascii="仿宋_GB2312" w:hAnsi="仿宋_GB2312" w:eastAsia="仿宋_GB2312" w:cs="仿宋_GB2312"/>
          <w:b w:val="0"/>
          <w:bCs w:val="0"/>
          <w:sz w:val="32"/>
          <w:szCs w:val="32"/>
        </w:rPr>
        <w:t>。</w:t>
      </w:r>
    </w:p>
    <w:p w14:paraId="50DDA007">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val="en-US" w:eastAsia="zh-CN"/>
        </w:rPr>
        <w:t>9.</w:t>
      </w:r>
      <w:r>
        <w:rPr>
          <w:rStyle w:val="14"/>
          <w:rFonts w:hint="eastAsia" w:ascii="仿宋_GB2312" w:hAnsi="仿宋_GB2312" w:eastAsia="仿宋_GB2312" w:cs="仿宋_GB2312"/>
          <w:b w:val="0"/>
          <w:bCs w:val="0"/>
          <w:color w:val="auto"/>
          <w:sz w:val="32"/>
          <w:szCs w:val="32"/>
          <w:highlight w:val="none"/>
        </w:rPr>
        <w:t>社会保障和就业（类）行政事业单位养老支出（款）</w:t>
      </w:r>
      <w:r>
        <w:rPr>
          <w:rStyle w:val="14"/>
          <w:rFonts w:hint="eastAsia" w:ascii="仿宋_GB2312" w:hAnsi="仿宋_GB2312" w:eastAsia="仿宋_GB2312" w:cs="仿宋_GB2312"/>
          <w:b w:val="0"/>
          <w:bCs w:val="0"/>
          <w:color w:val="auto"/>
          <w:sz w:val="32"/>
          <w:szCs w:val="32"/>
          <w:highlight w:val="none"/>
          <w:lang w:eastAsia="zh-CN"/>
        </w:rPr>
        <w:t>事业</w:t>
      </w:r>
      <w:r>
        <w:rPr>
          <w:rStyle w:val="14"/>
          <w:rFonts w:hint="eastAsia" w:ascii="仿宋_GB2312" w:hAnsi="仿宋_GB2312" w:eastAsia="仿宋_GB2312" w:cs="仿宋_GB2312"/>
          <w:b w:val="0"/>
          <w:bCs w:val="0"/>
          <w:color w:val="auto"/>
          <w:sz w:val="32"/>
          <w:szCs w:val="32"/>
          <w:highlight w:val="none"/>
        </w:rPr>
        <w:t>单位离退休（项）</w:t>
      </w:r>
      <w:r>
        <w:rPr>
          <w:rFonts w:hint="eastAsia" w:ascii="仿宋_GB2312" w:hAnsi="仿宋_GB2312" w:eastAsia="仿宋_GB2312" w:cs="仿宋_GB2312"/>
          <w:b w:val="0"/>
          <w:bCs w:val="0"/>
          <w:sz w:val="32"/>
          <w:szCs w:val="32"/>
          <w:lang w:eastAsia="zh-CN"/>
        </w:rPr>
        <w:t>指</w:t>
      </w:r>
      <w:r>
        <w:rPr>
          <w:rFonts w:hint="eastAsia" w:ascii="仿宋_GB2312" w:hAnsi="仿宋_GB2312" w:eastAsia="仿宋_GB2312" w:cs="仿宋_GB2312"/>
          <w:sz w:val="32"/>
          <w:szCs w:val="32"/>
          <w:lang w:eastAsia="zh-CN"/>
        </w:rPr>
        <w:t>事业单位开支的离退休经费</w:t>
      </w:r>
      <w:r>
        <w:rPr>
          <w:rFonts w:hint="eastAsia" w:ascii="仿宋_GB2312" w:hAnsi="仿宋_GB2312" w:eastAsia="仿宋_GB2312" w:cs="仿宋_GB2312"/>
          <w:b w:val="0"/>
          <w:bCs w:val="0"/>
          <w:sz w:val="32"/>
          <w:szCs w:val="32"/>
        </w:rPr>
        <w:t>。</w:t>
      </w:r>
    </w:p>
    <w:p w14:paraId="2787EDC4">
      <w:pPr>
        <w:spacing w:line="60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color w:val="auto"/>
          <w:sz w:val="32"/>
          <w:szCs w:val="32"/>
          <w:highlight w:val="none"/>
        </w:rPr>
        <w:t>卫生健康</w:t>
      </w:r>
      <w:r>
        <w:rPr>
          <w:rStyle w:val="14"/>
          <w:rFonts w:hint="eastAsia" w:ascii="仿宋_GB2312" w:hAnsi="仿宋_GB2312" w:eastAsia="仿宋_GB2312" w:cs="仿宋_GB2312"/>
          <w:b w:val="0"/>
          <w:bCs w:val="0"/>
          <w:color w:val="auto"/>
          <w:sz w:val="32"/>
          <w:szCs w:val="32"/>
          <w:highlight w:val="none"/>
        </w:rPr>
        <w:t>（类）行政事业单位医疗（款）行政单位医疗（项）</w:t>
      </w:r>
      <w:r>
        <w:rPr>
          <w:rFonts w:hint="eastAsia" w:ascii="仿宋_GB2312" w:hAnsi="仿宋_GB2312" w:eastAsia="仿宋_GB2312" w:cs="仿宋_GB2312"/>
          <w:b w:val="0"/>
          <w:bCs w:val="0"/>
          <w:sz w:val="32"/>
          <w:szCs w:val="32"/>
          <w:lang w:eastAsia="zh-CN"/>
        </w:rPr>
        <w:t>指行政单位基本医疗保险缴费经费</w:t>
      </w:r>
      <w:r>
        <w:rPr>
          <w:rFonts w:hint="eastAsia" w:ascii="仿宋_GB2312" w:hAnsi="仿宋_GB2312" w:eastAsia="仿宋_GB2312" w:cs="仿宋_GB2312"/>
          <w:b w:val="0"/>
          <w:bCs w:val="0"/>
          <w:sz w:val="32"/>
          <w:szCs w:val="32"/>
          <w:lang w:val="en-US" w:eastAsia="zh-CN"/>
        </w:rPr>
        <w:t>。</w:t>
      </w:r>
    </w:p>
    <w:p w14:paraId="226A2A4A">
      <w:pPr>
        <w:spacing w:line="60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color w:val="auto"/>
          <w:sz w:val="32"/>
          <w:szCs w:val="32"/>
          <w:highlight w:val="none"/>
        </w:rPr>
        <w:t>卫生健康（类）行政事业单位医疗（款）事业单位医疗（项）</w:t>
      </w:r>
      <w:r>
        <w:rPr>
          <w:rFonts w:hint="eastAsia" w:ascii="仿宋_GB2312" w:hAnsi="仿宋_GB2312" w:eastAsia="仿宋_GB2312" w:cs="仿宋_GB2312"/>
          <w:b w:val="0"/>
          <w:bCs w:val="0"/>
          <w:sz w:val="32"/>
          <w:szCs w:val="32"/>
          <w:lang w:eastAsia="zh-CN"/>
        </w:rPr>
        <w:t>指事业单位基本医疗保险缴费经费</w:t>
      </w:r>
      <w:r>
        <w:rPr>
          <w:rFonts w:hint="eastAsia" w:ascii="仿宋_GB2312" w:hAnsi="仿宋_GB2312" w:eastAsia="仿宋_GB2312" w:cs="仿宋_GB2312"/>
          <w:b w:val="0"/>
          <w:bCs w:val="0"/>
          <w:sz w:val="32"/>
          <w:szCs w:val="32"/>
          <w:lang w:val="en-US" w:eastAsia="zh-CN"/>
        </w:rPr>
        <w:t>。</w:t>
      </w:r>
    </w:p>
    <w:p w14:paraId="5CF8A869">
      <w:pPr>
        <w:spacing w:line="60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color w:val="auto"/>
          <w:sz w:val="32"/>
          <w:szCs w:val="32"/>
          <w:highlight w:val="none"/>
        </w:rPr>
        <w:t>卫生健康</w:t>
      </w:r>
      <w:r>
        <w:rPr>
          <w:rStyle w:val="14"/>
          <w:rFonts w:hint="eastAsia" w:ascii="仿宋_GB2312" w:hAnsi="仿宋_GB2312" w:eastAsia="仿宋_GB2312" w:cs="仿宋_GB2312"/>
          <w:b w:val="0"/>
          <w:bCs w:val="0"/>
          <w:color w:val="auto"/>
          <w:sz w:val="32"/>
          <w:szCs w:val="32"/>
          <w:highlight w:val="none"/>
        </w:rPr>
        <w:t>（类）行政事业单位医疗（款）公务员医疗补助（项）</w:t>
      </w:r>
      <w:r>
        <w:rPr>
          <w:rFonts w:hint="eastAsia" w:ascii="仿宋_GB2312" w:hAnsi="仿宋_GB2312" w:eastAsia="仿宋_GB2312" w:cs="仿宋_GB2312"/>
          <w:b w:val="0"/>
          <w:bCs w:val="0"/>
          <w:sz w:val="32"/>
          <w:szCs w:val="32"/>
          <w:lang w:eastAsia="zh-CN"/>
        </w:rPr>
        <w:t>指财政安排的公务员医疗补助经费。</w:t>
      </w:r>
    </w:p>
    <w:p w14:paraId="4BAE358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color w:val="auto"/>
          <w:sz w:val="32"/>
          <w:szCs w:val="32"/>
          <w:highlight w:val="none"/>
          <w:lang w:eastAsia="zh-CN"/>
        </w:rPr>
        <w:t>农林水支出</w:t>
      </w:r>
      <w:r>
        <w:rPr>
          <w:rStyle w:val="14"/>
          <w:rFonts w:hint="eastAsia" w:ascii="仿宋_GB2312" w:hAnsi="仿宋_GB2312" w:eastAsia="仿宋_GB2312" w:cs="仿宋_GB2312"/>
          <w:b w:val="0"/>
          <w:bCs w:val="0"/>
          <w:color w:val="auto"/>
          <w:sz w:val="32"/>
          <w:szCs w:val="32"/>
          <w:highlight w:val="none"/>
        </w:rPr>
        <w:t>（类）</w:t>
      </w:r>
      <w:r>
        <w:rPr>
          <w:rStyle w:val="14"/>
          <w:rFonts w:hint="eastAsia" w:ascii="仿宋_GB2312" w:hAnsi="仿宋_GB2312" w:eastAsia="仿宋_GB2312" w:cs="仿宋_GB2312"/>
          <w:b w:val="0"/>
          <w:bCs w:val="0"/>
          <w:color w:val="auto"/>
          <w:sz w:val="32"/>
          <w:szCs w:val="32"/>
          <w:highlight w:val="none"/>
          <w:lang w:eastAsia="zh-CN"/>
        </w:rPr>
        <w:t>农业农村</w:t>
      </w:r>
      <w:r>
        <w:rPr>
          <w:rStyle w:val="14"/>
          <w:rFonts w:hint="eastAsia" w:ascii="仿宋_GB2312" w:hAnsi="仿宋_GB2312" w:eastAsia="仿宋_GB2312" w:cs="仿宋_GB2312"/>
          <w:b w:val="0"/>
          <w:bCs w:val="0"/>
          <w:color w:val="auto"/>
          <w:sz w:val="32"/>
          <w:szCs w:val="32"/>
          <w:highlight w:val="none"/>
        </w:rPr>
        <w:t>（款）</w:t>
      </w:r>
      <w:r>
        <w:rPr>
          <w:rStyle w:val="14"/>
          <w:rFonts w:hint="eastAsia" w:ascii="仿宋_GB2312" w:hAnsi="仿宋_GB2312" w:eastAsia="仿宋_GB2312" w:cs="仿宋_GB2312"/>
          <w:b w:val="0"/>
          <w:bCs w:val="0"/>
          <w:color w:val="auto"/>
          <w:sz w:val="32"/>
          <w:szCs w:val="32"/>
          <w:highlight w:val="none"/>
          <w:lang w:eastAsia="zh-CN"/>
        </w:rPr>
        <w:t>事业运行</w:t>
      </w:r>
      <w:r>
        <w:rPr>
          <w:rStyle w:val="14"/>
          <w:rFonts w:hint="eastAsia" w:ascii="仿宋_GB2312" w:hAnsi="仿宋_GB2312" w:eastAsia="仿宋_GB2312" w:cs="仿宋_GB2312"/>
          <w:b w:val="0"/>
          <w:bCs w:val="0"/>
          <w:color w:val="auto"/>
          <w:sz w:val="32"/>
          <w:szCs w:val="32"/>
          <w:highlight w:val="none"/>
        </w:rPr>
        <w:t>（项）</w:t>
      </w:r>
      <w:r>
        <w:rPr>
          <w:rFonts w:hint="eastAsia" w:ascii="仿宋_GB2312" w:hAnsi="仿宋_GB2312" w:eastAsia="仿宋_GB2312" w:cs="仿宋_GB2312"/>
          <w:b w:val="0"/>
          <w:bCs w:val="0"/>
          <w:sz w:val="32"/>
          <w:szCs w:val="32"/>
          <w:lang w:eastAsia="zh-CN"/>
        </w:rPr>
        <w:t>指农业事业单位基本支出、事业单位设施、系统运行与资产维护等方面的支出</w:t>
      </w:r>
      <w:r>
        <w:rPr>
          <w:rFonts w:hint="eastAsia" w:ascii="仿宋_GB2312" w:hAnsi="仿宋_GB2312" w:eastAsia="仿宋_GB2312" w:cs="仿宋_GB2312"/>
          <w:sz w:val="32"/>
          <w:szCs w:val="32"/>
        </w:rPr>
        <w:t>。</w:t>
      </w:r>
    </w:p>
    <w:p w14:paraId="346AE1DF">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color w:val="auto"/>
          <w:sz w:val="32"/>
          <w:szCs w:val="32"/>
          <w:highlight w:val="none"/>
          <w:lang w:eastAsia="zh-CN"/>
        </w:rPr>
        <w:t>农林水支出</w:t>
      </w:r>
      <w:r>
        <w:rPr>
          <w:rStyle w:val="14"/>
          <w:rFonts w:hint="eastAsia" w:ascii="仿宋_GB2312" w:hAnsi="仿宋_GB2312" w:eastAsia="仿宋_GB2312" w:cs="仿宋_GB2312"/>
          <w:b w:val="0"/>
          <w:bCs w:val="0"/>
          <w:color w:val="auto"/>
          <w:sz w:val="32"/>
          <w:szCs w:val="32"/>
          <w:highlight w:val="none"/>
        </w:rPr>
        <w:t>（类）</w:t>
      </w:r>
      <w:r>
        <w:rPr>
          <w:rStyle w:val="14"/>
          <w:rFonts w:hint="eastAsia" w:ascii="仿宋_GB2312" w:hAnsi="仿宋_GB2312" w:eastAsia="仿宋_GB2312" w:cs="仿宋_GB2312"/>
          <w:b w:val="0"/>
          <w:bCs w:val="0"/>
          <w:color w:val="auto"/>
          <w:sz w:val="32"/>
          <w:szCs w:val="32"/>
          <w:highlight w:val="none"/>
          <w:lang w:eastAsia="zh-CN"/>
        </w:rPr>
        <w:t>林业和草原</w:t>
      </w:r>
      <w:r>
        <w:rPr>
          <w:rStyle w:val="14"/>
          <w:rFonts w:hint="eastAsia" w:ascii="仿宋_GB2312" w:hAnsi="仿宋_GB2312" w:eastAsia="仿宋_GB2312" w:cs="仿宋_GB2312"/>
          <w:b w:val="0"/>
          <w:bCs w:val="0"/>
          <w:color w:val="auto"/>
          <w:sz w:val="32"/>
          <w:szCs w:val="32"/>
          <w:highlight w:val="none"/>
        </w:rPr>
        <w:t>（款）</w:t>
      </w:r>
      <w:r>
        <w:rPr>
          <w:rFonts w:hint="eastAsia" w:ascii="仿宋_GB2312" w:hAnsi="仿宋_GB2312" w:eastAsia="仿宋_GB2312" w:cs="仿宋_GB2312"/>
          <w:sz w:val="32"/>
          <w:szCs w:val="32"/>
        </w:rPr>
        <w:t>林业草原防灾减灾</w:t>
      </w:r>
      <w:r>
        <w:rPr>
          <w:rStyle w:val="14"/>
          <w:rFonts w:hint="eastAsia" w:ascii="仿宋_GB2312" w:hAnsi="仿宋_GB2312" w:eastAsia="仿宋_GB2312" w:cs="仿宋_GB2312"/>
          <w:b w:val="0"/>
          <w:bCs w:val="0"/>
          <w:color w:val="auto"/>
          <w:sz w:val="32"/>
          <w:szCs w:val="32"/>
          <w:highlight w:val="none"/>
        </w:rPr>
        <w:t>（项）</w:t>
      </w:r>
      <w:r>
        <w:rPr>
          <w:rFonts w:hint="eastAsia" w:ascii="仿宋_GB2312" w:hAnsi="仿宋_GB2312" w:eastAsia="仿宋_GB2312" w:cs="仿宋_GB2312"/>
          <w:b w:val="0"/>
          <w:bCs w:val="0"/>
          <w:sz w:val="32"/>
          <w:szCs w:val="32"/>
          <w:lang w:eastAsia="zh-CN"/>
        </w:rPr>
        <w:t>指病虫害等有害生物灾害、森林草原防火、野生动物疫病灾害等支出</w:t>
      </w:r>
      <w:r>
        <w:rPr>
          <w:rFonts w:hint="eastAsia" w:ascii="仿宋_GB2312" w:hAnsi="仿宋_GB2312" w:eastAsia="仿宋_GB2312" w:cs="仿宋_GB2312"/>
          <w:sz w:val="32"/>
          <w:szCs w:val="32"/>
          <w:lang w:val="en-US" w:eastAsia="zh-CN"/>
        </w:rPr>
        <w:t>。</w:t>
      </w:r>
    </w:p>
    <w:p w14:paraId="4D7E0D0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b w:val="0"/>
          <w:bCs w:val="0"/>
          <w:color w:val="auto"/>
          <w:sz w:val="32"/>
          <w:szCs w:val="32"/>
          <w:highlight w:val="none"/>
        </w:rPr>
        <w:t>住房保障（类）住房改革（款）住房公积金（项）</w:t>
      </w:r>
      <w:r>
        <w:rPr>
          <w:rFonts w:hint="eastAsia" w:ascii="仿宋_GB2312" w:hAnsi="仿宋_GB2312" w:eastAsia="仿宋_GB2312" w:cs="仿宋_GB2312"/>
          <w:b w:val="0"/>
          <w:bCs w:val="0"/>
          <w:sz w:val="32"/>
          <w:szCs w:val="32"/>
          <w:lang w:eastAsia="zh-CN"/>
        </w:rPr>
        <w:t>指按规定比例为职工缴纳的住房公积金</w:t>
      </w:r>
      <w:r>
        <w:rPr>
          <w:rFonts w:hint="eastAsia" w:ascii="仿宋_GB2312" w:hAnsi="仿宋_GB2312" w:eastAsia="仿宋_GB2312" w:cs="仿宋_GB2312"/>
          <w:b w:val="0"/>
          <w:bCs w:val="0"/>
          <w:sz w:val="32"/>
          <w:szCs w:val="32"/>
          <w:lang w:val="en-US" w:eastAsia="zh-CN"/>
        </w:rPr>
        <w:t>。</w:t>
      </w:r>
    </w:p>
    <w:p w14:paraId="278E41A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三公”经费：纳入预决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维护费反映单位公务用车购置支出（含车辆购置税、牌照费）及按规定保留的公务用车燃料费、维修费、过路过桥费、保险费、安全奖励费用等支出；公务接待费反映单位按规定开支的各类公务接待（含外宾接待）费用。</w:t>
      </w:r>
    </w:p>
    <w:p w14:paraId="5196306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.机关运行经费：为保障行政单位（包含参照公务员法管理的事业单位）运行用于购买货物和服务的各项资金。包括办公及办公费、水费、电费、印刷费、邮电费、差旅费、会议费等费用开支。</w:t>
      </w:r>
    </w:p>
    <w:p w14:paraId="43FED5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40" w:lineRule="atLeast"/>
        <w:ind w:left="0" w:right="0" w:firstLine="640"/>
      </w:pPr>
    </w:p>
    <w:p w14:paraId="3C42E1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pPr>
      <w:r>
        <w:rPr>
          <w:rFonts w:hint="eastAsia" w:ascii="微软雅黑" w:hAnsi="微软雅黑" w:eastAsia="微软雅黑" w:cs="微软雅黑"/>
          <w:i w:val="0"/>
          <w:iCs w:val="0"/>
          <w:caps w:val="0"/>
          <w:color w:val="000000"/>
          <w:spacing w:val="0"/>
          <w:sz w:val="22"/>
          <w:szCs w:val="22"/>
        </w:rPr>
        <w:t> </w:t>
      </w:r>
    </w:p>
    <w:p w14:paraId="3D04D478">
      <w:pPr>
        <w:spacing w:line="600" w:lineRule="exact"/>
        <w:ind w:firstLine="640" w:firstLineChars="200"/>
        <w:rPr>
          <w:rFonts w:ascii="Times New Roman" w:hAnsi="Times New Roman" w:eastAsia="仿宋_GB2312" w:cs="Times New Roman"/>
          <w:sz w:val="32"/>
          <w:szCs w:val="32"/>
        </w:rPr>
      </w:pPr>
      <w:r>
        <w:rPr>
          <w:rFonts w:hint="default" w:ascii="仿宋_GB2312" w:hAnsi="仿宋_GB2312" w:eastAsia="仿宋_GB2312" w:cs="仿宋_GB2312"/>
          <w:i w:val="0"/>
          <w:iCs w:val="0"/>
          <w:caps w:val="0"/>
          <w:color w:val="000000"/>
          <w:spacing w:val="0"/>
          <w:sz w:val="32"/>
          <w:szCs w:val="32"/>
        </w:rPr>
        <w:t>附件：</w:t>
      </w: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收支总表</w:t>
      </w:r>
    </w:p>
    <w:p w14:paraId="11C88A74">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表1-1.</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收入总表</w:t>
      </w:r>
    </w:p>
    <w:p w14:paraId="6AE55F9E">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表1-2.</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支出总表</w:t>
      </w:r>
    </w:p>
    <w:p w14:paraId="4F1F7D5A">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表2.财政拨款收支预算总表</w:t>
      </w:r>
    </w:p>
    <w:p w14:paraId="7053A6FD">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表2-1.财政拨款支出预算表</w:t>
      </w:r>
    </w:p>
    <w:p w14:paraId="38195315">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表3.一般公共预算支出预算表</w:t>
      </w:r>
    </w:p>
    <w:p w14:paraId="7A33BC43">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表3-1.一般公共预算基本支出预算表</w:t>
      </w:r>
    </w:p>
    <w:p w14:paraId="24B87B87">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表3-2.一般公共预算项目支出预算表</w:t>
      </w:r>
    </w:p>
    <w:p w14:paraId="4EA58E2F">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表3-3.一般公共预算“三公”经费支出预算表</w:t>
      </w:r>
    </w:p>
    <w:p w14:paraId="125C5EE2">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表4.政府性基金支出预算表</w:t>
      </w:r>
    </w:p>
    <w:p w14:paraId="7E11EF07">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表4-1.政府性基金预算“三公”经费支出预算表</w:t>
      </w:r>
    </w:p>
    <w:p w14:paraId="005F1D61">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表5.国有资本经营预算支出预算表</w:t>
      </w:r>
    </w:p>
    <w:p w14:paraId="354BC109">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表6</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预算项目绩效目标表</w:t>
      </w:r>
      <w:r>
        <w:rPr>
          <w:rFonts w:hint="eastAsia" w:ascii="Times New Roman" w:hAnsi="Times New Roman" w:eastAsia="仿宋_GB2312" w:cs="Times New Roman"/>
          <w:sz w:val="32"/>
          <w:szCs w:val="32"/>
          <w:lang w:eastAsia="zh-CN"/>
        </w:rPr>
        <w:t>（代表“家、站”建设运行经费）</w:t>
      </w:r>
    </w:p>
    <w:p w14:paraId="0490CE14">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表6</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预算项目绩效目标表</w:t>
      </w:r>
      <w:r>
        <w:rPr>
          <w:rFonts w:hint="eastAsia" w:ascii="Times New Roman" w:hAnsi="Times New Roman" w:eastAsia="仿宋_GB2312" w:cs="Times New Roman"/>
          <w:sz w:val="32"/>
          <w:szCs w:val="32"/>
          <w:lang w:eastAsia="zh-CN"/>
        </w:rPr>
        <w:t>（村组干部基本报酬（25起））</w:t>
      </w:r>
    </w:p>
    <w:p w14:paraId="1C2DA458">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表6</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预算项目绩效目标表</w:t>
      </w:r>
      <w:r>
        <w:rPr>
          <w:rFonts w:hint="eastAsia" w:ascii="Times New Roman" w:hAnsi="Times New Roman" w:eastAsia="仿宋_GB2312" w:cs="Times New Roman"/>
          <w:sz w:val="32"/>
          <w:szCs w:val="32"/>
          <w:lang w:eastAsia="zh-CN"/>
        </w:rPr>
        <w:t>（村级公共服务经费）</w:t>
      </w:r>
    </w:p>
    <w:p w14:paraId="72CBC9C1">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表6</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预算项目绩效目标表</w:t>
      </w:r>
      <w:r>
        <w:rPr>
          <w:rFonts w:hint="eastAsia" w:ascii="Times New Roman" w:hAnsi="Times New Roman" w:eastAsia="仿宋_GB2312" w:cs="Times New Roman"/>
          <w:sz w:val="32"/>
          <w:szCs w:val="32"/>
          <w:lang w:eastAsia="zh-CN"/>
        </w:rPr>
        <w:t>（GM麻陇彝族乡综合应急救援分队相关经费）</w:t>
      </w:r>
    </w:p>
    <w:p w14:paraId="51C9DE26">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表7.</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整体支出绩效目标表</w:t>
      </w:r>
    </w:p>
    <w:p w14:paraId="55A5C6CF">
      <w:pPr>
        <w:spacing w:line="600" w:lineRule="exact"/>
        <w:ind w:firstLine="1050" w:firstLineChars="500"/>
      </w:pPr>
    </w:p>
    <w:p w14:paraId="23D807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16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3C1434-A388-4200-83F8-40EFD840EB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DD47AE5-6D41-4AD1-960F-0AC488338F84}"/>
  </w:font>
  <w:font w:name="楷体_GB2312">
    <w:panose1 w:val="02010609030101010101"/>
    <w:charset w:val="86"/>
    <w:family w:val="auto"/>
    <w:pitch w:val="default"/>
    <w:sig w:usb0="00000001" w:usb1="080E0000" w:usb2="00000000" w:usb3="00000000" w:csb0="00040000" w:csb1="00000000"/>
    <w:embedRegular r:id="rId3" w:fontKey="{B4ADFDEB-67DC-4886-9FF9-28D69B193D82}"/>
  </w:font>
  <w:font w:name="仿宋_GB2312">
    <w:panose1 w:val="02010609030101010101"/>
    <w:charset w:val="86"/>
    <w:family w:val="auto"/>
    <w:pitch w:val="default"/>
    <w:sig w:usb0="00000001" w:usb1="080E0000" w:usb2="00000000" w:usb3="00000000" w:csb0="00040000" w:csb1="00000000"/>
    <w:embedRegular r:id="rId4" w:fontKey="{2F6EBA07-CAC0-4EC1-B7EF-3FADBCC14C87}"/>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5" w:fontKey="{87BD84E7-7E81-4386-8F7A-DDCAA8D232F9}"/>
  </w:font>
  <w:font w:name="方正黑体_GBK">
    <w:panose1 w:val="03000509000000000000"/>
    <w:charset w:val="86"/>
    <w:family w:val="auto"/>
    <w:pitch w:val="default"/>
    <w:sig w:usb0="00000001" w:usb1="080E0000" w:usb2="00000000" w:usb3="00000000" w:csb0="00040000" w:csb1="00000000"/>
    <w:embedRegular r:id="rId6" w:fontKey="{BC5F3A89-F45E-4691-9666-0ECD85AB94A3}"/>
  </w:font>
  <w:font w:name="方正仿宋_GB2312">
    <w:panose1 w:val="02000000000000000000"/>
    <w:charset w:val="86"/>
    <w:family w:val="auto"/>
    <w:pitch w:val="default"/>
    <w:sig w:usb0="A00002BF" w:usb1="184F6CFA" w:usb2="00000012" w:usb3="00000000" w:csb0="00040001" w:csb1="00000000"/>
    <w:embedRegular r:id="rId7" w:fontKey="{611E1A3F-4450-4A45-A6AC-522979485925}"/>
  </w:font>
  <w:font w:name="方正楷体_GB2312">
    <w:panose1 w:val="02000000000000000000"/>
    <w:charset w:val="86"/>
    <w:family w:val="auto"/>
    <w:pitch w:val="default"/>
    <w:sig w:usb0="A00002BF" w:usb1="184F6CFA" w:usb2="00000012" w:usb3="00000000" w:csb0="00040001" w:csb1="00000000"/>
    <w:embedRegular r:id="rId8" w:fontKey="{2C79D27C-466F-42D5-806E-80FC827E2A9A}"/>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048C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061F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6061F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3EA3"/>
    <w:multiLevelType w:val="singleLevel"/>
    <w:tmpl w:val="9F013E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NTdkNjdmZDgzMjNiYzQ5MmFiYmQwNzBiNDY5N2YifQ=="/>
  </w:docVars>
  <w:rsids>
    <w:rsidRoot w:val="0B9E0742"/>
    <w:rsid w:val="01EB1803"/>
    <w:rsid w:val="022C6982"/>
    <w:rsid w:val="02EC3171"/>
    <w:rsid w:val="05087233"/>
    <w:rsid w:val="05EA3803"/>
    <w:rsid w:val="07283B5E"/>
    <w:rsid w:val="09411EDF"/>
    <w:rsid w:val="09B41925"/>
    <w:rsid w:val="09C6146A"/>
    <w:rsid w:val="0A233852"/>
    <w:rsid w:val="0B9E0742"/>
    <w:rsid w:val="0CA72900"/>
    <w:rsid w:val="0CDF4D1D"/>
    <w:rsid w:val="0D411534"/>
    <w:rsid w:val="0D6F24D2"/>
    <w:rsid w:val="0E074135"/>
    <w:rsid w:val="0F055977"/>
    <w:rsid w:val="0F9C5363"/>
    <w:rsid w:val="10F85FCD"/>
    <w:rsid w:val="1246139A"/>
    <w:rsid w:val="1AE71C76"/>
    <w:rsid w:val="1AF8344E"/>
    <w:rsid w:val="1C2C1601"/>
    <w:rsid w:val="1CC23D13"/>
    <w:rsid w:val="1E512BB8"/>
    <w:rsid w:val="1E9547D3"/>
    <w:rsid w:val="1F486865"/>
    <w:rsid w:val="21B2337A"/>
    <w:rsid w:val="21FA5CFD"/>
    <w:rsid w:val="22462569"/>
    <w:rsid w:val="22B61131"/>
    <w:rsid w:val="24D6622D"/>
    <w:rsid w:val="250A44A9"/>
    <w:rsid w:val="255B4D05"/>
    <w:rsid w:val="259D3E5E"/>
    <w:rsid w:val="263E0B11"/>
    <w:rsid w:val="29121B7F"/>
    <w:rsid w:val="294C32E2"/>
    <w:rsid w:val="2B4B28B0"/>
    <w:rsid w:val="2BF91E68"/>
    <w:rsid w:val="2D60110A"/>
    <w:rsid w:val="2F833F5A"/>
    <w:rsid w:val="2F866E22"/>
    <w:rsid w:val="2FD90DC0"/>
    <w:rsid w:val="30186259"/>
    <w:rsid w:val="32DC7485"/>
    <w:rsid w:val="32E17D88"/>
    <w:rsid w:val="34CA0497"/>
    <w:rsid w:val="35D47CA0"/>
    <w:rsid w:val="36820344"/>
    <w:rsid w:val="36E00AE7"/>
    <w:rsid w:val="377759CE"/>
    <w:rsid w:val="3A5B3385"/>
    <w:rsid w:val="3AC3717D"/>
    <w:rsid w:val="3C7B7D0F"/>
    <w:rsid w:val="3D9338CE"/>
    <w:rsid w:val="3E612F34"/>
    <w:rsid w:val="3F081602"/>
    <w:rsid w:val="3F681CC5"/>
    <w:rsid w:val="40754A75"/>
    <w:rsid w:val="412B7054"/>
    <w:rsid w:val="429B0443"/>
    <w:rsid w:val="46D85D5E"/>
    <w:rsid w:val="4CE70AA9"/>
    <w:rsid w:val="4D4131C2"/>
    <w:rsid w:val="4D4C1028"/>
    <w:rsid w:val="4D5335D5"/>
    <w:rsid w:val="4ED37B80"/>
    <w:rsid w:val="500C6545"/>
    <w:rsid w:val="52D03091"/>
    <w:rsid w:val="536966BB"/>
    <w:rsid w:val="53F2393D"/>
    <w:rsid w:val="54273E81"/>
    <w:rsid w:val="56097CE2"/>
    <w:rsid w:val="56220DA3"/>
    <w:rsid w:val="563A5ADF"/>
    <w:rsid w:val="566C6854"/>
    <w:rsid w:val="587847E5"/>
    <w:rsid w:val="58FE12B9"/>
    <w:rsid w:val="5B873132"/>
    <w:rsid w:val="5C854B9B"/>
    <w:rsid w:val="5D63417B"/>
    <w:rsid w:val="5DAA5381"/>
    <w:rsid w:val="5DB449D7"/>
    <w:rsid w:val="5E553D79"/>
    <w:rsid w:val="5F7E529D"/>
    <w:rsid w:val="606C1599"/>
    <w:rsid w:val="6262485A"/>
    <w:rsid w:val="62683FE2"/>
    <w:rsid w:val="634405AB"/>
    <w:rsid w:val="63BD18E0"/>
    <w:rsid w:val="65711413"/>
    <w:rsid w:val="68D03ED4"/>
    <w:rsid w:val="69747710"/>
    <w:rsid w:val="6A585D0E"/>
    <w:rsid w:val="6B803E4F"/>
    <w:rsid w:val="6F190B3E"/>
    <w:rsid w:val="6F9C351D"/>
    <w:rsid w:val="6FCD40BA"/>
    <w:rsid w:val="71E35433"/>
    <w:rsid w:val="71EA1411"/>
    <w:rsid w:val="731E4F5A"/>
    <w:rsid w:val="73A0182E"/>
    <w:rsid w:val="73DA4614"/>
    <w:rsid w:val="75C46E90"/>
    <w:rsid w:val="77071BC4"/>
    <w:rsid w:val="788C0EBB"/>
    <w:rsid w:val="78AE4FD0"/>
    <w:rsid w:val="7AAE3DDE"/>
    <w:rsid w:val="7B1215B2"/>
    <w:rsid w:val="7CA51C63"/>
    <w:rsid w:val="7CBE2D25"/>
    <w:rsid w:val="7E1D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autoRedefine/>
    <w:qFormat/>
    <w:uiPriority w:val="0"/>
    <w:pPr>
      <w:widowControl/>
      <w:pBdr>
        <w:top w:val="none" w:color="auto" w:sz="0" w:space="0"/>
        <w:left w:val="none" w:color="auto" w:sz="0" w:space="0"/>
        <w:bottom w:val="none" w:color="auto" w:sz="0" w:space="0"/>
        <w:right w:val="none" w:color="auto" w:sz="0" w:space="0"/>
      </w:pBdr>
      <w:spacing w:beforeAutospacing="0" w:after="150" w:afterAutospacing="0" w:line="600" w:lineRule="atLeast"/>
      <w:ind w:firstLine="640"/>
      <w:outlineLvl w:val="0"/>
    </w:pPr>
    <w:rPr>
      <w:rFonts w:ascii="黑体" w:hAnsi="宋体" w:eastAsia="黑体" w:cs="黑体"/>
      <w:color w:val="000000"/>
      <w:sz w:val="32"/>
      <w:szCs w:val="32"/>
    </w:rPr>
  </w:style>
  <w:style w:type="paragraph" w:styleId="4">
    <w:name w:val="heading 2"/>
    <w:basedOn w:val="3"/>
    <w:next w:val="1"/>
    <w:link w:val="18"/>
    <w:unhideWhenUsed/>
    <w:qFormat/>
    <w:uiPriority w:val="0"/>
    <w:pPr>
      <w:widowControl/>
      <w:pBdr>
        <w:top w:val="none" w:color="auto" w:sz="0" w:space="0"/>
        <w:left w:val="none" w:color="auto" w:sz="0" w:space="0"/>
        <w:bottom w:val="none" w:color="auto" w:sz="0" w:space="0"/>
        <w:right w:val="none" w:color="auto" w:sz="0" w:space="0"/>
      </w:pBdr>
      <w:spacing w:before="130" w:beforeAutospacing="0" w:after="150" w:afterAutospacing="0" w:line="600" w:lineRule="atLeast"/>
      <w:ind w:firstLine="675"/>
      <w:outlineLvl w:val="1"/>
    </w:pPr>
    <w:rPr>
      <w:rFonts w:ascii="楷体_GB2312" w:hAnsi="楷体_GB2312" w:eastAsia="楷体_GB2312" w:cs="楷体_GB2312"/>
      <w:b/>
      <w:color w:val="000000"/>
      <w:sz w:val="32"/>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5">
    <w:name w:val="Normal Indent"/>
    <w:basedOn w:val="1"/>
    <w:next w:val="1"/>
    <w:autoRedefine/>
    <w:qFormat/>
    <w:uiPriority w:val="99"/>
    <w:pPr>
      <w:ind w:firstLine="420" w:firstLineChars="200"/>
    </w:pPr>
  </w:style>
  <w:style w:type="paragraph" w:styleId="6">
    <w:name w:val="index 5"/>
    <w:next w:val="1"/>
    <w:qFormat/>
    <w:uiPriority w:val="0"/>
    <w:pPr>
      <w:widowControl w:val="0"/>
      <w:ind w:left="800" w:leftChars="800"/>
      <w:jc w:val="both"/>
    </w:pPr>
    <w:rPr>
      <w:rFonts w:ascii="Times New Roman" w:hAnsi="Times New Roman" w:eastAsia="仿宋_GB2312" w:cs="Times New Roman"/>
      <w:kern w:val="2"/>
      <w:sz w:val="21"/>
      <w:szCs w:val="24"/>
      <w:lang w:val="en-US" w:eastAsia="zh-CN" w:bidi="ar-SA"/>
    </w:rPr>
  </w:style>
  <w:style w:type="paragraph" w:styleId="7">
    <w:name w:val="Body Text"/>
    <w:basedOn w:val="1"/>
    <w:next w:val="6"/>
    <w:autoRedefine/>
    <w:qFormat/>
    <w:uiPriority w:val="0"/>
    <w:pPr>
      <w:spacing w:before="93" w:beforeLines="30"/>
    </w:pPr>
    <w:rPr>
      <w:rFonts w:ascii="仿宋_GB2312" w:eastAsia="仿宋_GB2312"/>
      <w:sz w:val="30"/>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autoRedefine/>
    <w:qFormat/>
    <w:uiPriority w:val="0"/>
    <w:pPr>
      <w:ind w:left="420" w:leftChars="200"/>
    </w:pPr>
  </w:style>
  <w:style w:type="character" w:styleId="14">
    <w:name w:val="Strong"/>
    <w:basedOn w:val="13"/>
    <w:autoRedefine/>
    <w:qFormat/>
    <w:uiPriority w:val="0"/>
    <w:rPr>
      <w:b/>
    </w:rPr>
  </w:style>
  <w:style w:type="character" w:styleId="15">
    <w:name w:val="Hyperlink"/>
    <w:basedOn w:val="13"/>
    <w:autoRedefine/>
    <w:qFormat/>
    <w:uiPriority w:val="0"/>
    <w:rPr>
      <w:color w:val="0000FF"/>
      <w:u w:val="single"/>
    </w:rPr>
  </w:style>
  <w:style w:type="paragraph" w:customStyle="1" w:styleId="16">
    <w:name w:val="List Paragraph"/>
    <w:basedOn w:val="1"/>
    <w:autoRedefine/>
    <w:qFormat/>
    <w:uiPriority w:val="99"/>
    <w:pPr>
      <w:ind w:firstLine="420" w:firstLineChars="200"/>
    </w:pPr>
  </w:style>
  <w:style w:type="paragraph" w:customStyle="1" w:styleId="17">
    <w:name w:val="WPSOffice手动目录 1"/>
    <w:autoRedefine/>
    <w:qFormat/>
    <w:uiPriority w:val="0"/>
    <w:pPr>
      <w:ind w:leftChars="0"/>
    </w:pPr>
    <w:rPr>
      <w:rFonts w:ascii="Times New Roman" w:hAnsi="Times New Roman" w:eastAsia="宋体" w:cs="Times New Roman"/>
      <w:sz w:val="20"/>
      <w:szCs w:val="20"/>
    </w:rPr>
  </w:style>
  <w:style w:type="character" w:customStyle="1" w:styleId="18">
    <w:name w:val="标题 2 Char"/>
    <w:link w:val="4"/>
    <w:autoRedefine/>
    <w:qFormat/>
    <w:uiPriority w:val="0"/>
    <w:rPr>
      <w:rFonts w:ascii="楷体_GB2312" w:hAnsi="楷体_GB2312" w:eastAsia="楷体_GB2312" w:cs="楷体_GB2312"/>
      <w:b/>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7124</Words>
  <Characters>7776</Characters>
  <Lines>0</Lines>
  <Paragraphs>0</Paragraphs>
  <TotalTime>5</TotalTime>
  <ScaleCrop>false</ScaleCrop>
  <LinksUpToDate>false</LinksUpToDate>
  <CharactersWithSpaces>7824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2024-03-19T01:52:00Z</dcterms:created>
  <dc:creator>Administrator</dc:creator>
  <cp:lastModifiedBy>识途。</cp:lastModifiedBy>
  <dcterms:modified xsi:type="dcterms:W3CDTF">2026-04-27T06:56:51Z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F5D9F17DE8454D7D9E50B2171C2575B4_13</vt:lpwstr>
  </property>
  <property fmtid="{D5CDD505-2E9C-101B-9397-08002B2CF9AE}" pid="4" name="KSOTemplateDocerSaveRecord">
    <vt:lpwstr>eyJoZGlkIjoiNGE1NTdkNjdmZDgzMjNiYzQ5MmFiYmQwNzBiNDY5N2YiLCJ1c2VySWQiOiI2ODA0NzU0OTUifQ==</vt:lpwstr>
  </property>
</Properties>
</file>