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B1FA" w14:textId="25FB21E3" w:rsidR="00A343F6" w:rsidRDefault="004F377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Toc15378442"/>
      <w:bookmarkStart w:id="1" w:name="_Toc15396476"/>
      <w:bookmarkStart w:id="2" w:name="_Toc15377426"/>
      <w:bookmarkStart w:id="3" w:name="_Toc15377194"/>
      <w:bookmarkStart w:id="4" w:name="_Toc15396598"/>
      <w:bookmarkStart w:id="5" w:name="_Toc47519987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米易县</w:t>
      </w:r>
      <w:bookmarkStart w:id="6" w:name="_Toc15396597"/>
      <w:bookmarkStart w:id="7" w:name="_Toc15377193"/>
      <w:bookmarkStart w:id="8" w:name="_Toc47519986"/>
      <w:bookmarkStart w:id="9" w:name="_Toc15377425"/>
      <w:bookmarkStart w:id="10" w:name="_Toc15396475"/>
      <w:bookmarkStart w:id="11" w:name="_Toc15378441"/>
      <w:bookmarkStart w:id="12" w:name="_Toc15306268"/>
      <w:r w:rsidR="00827FC3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疾病预防控制中心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</w:t>
      </w:r>
      <w:r w:rsidR="00AA5553">
        <w:rPr>
          <w:rFonts w:asciiTheme="majorEastAsia" w:eastAsiaTheme="majorEastAsia" w:hAnsiTheme="majorEastAsia" w:cstheme="majorEastAsia"/>
          <w:b/>
          <w:bCs/>
          <w:sz w:val="44"/>
          <w:szCs w:val="44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</w:t>
      </w:r>
      <w:bookmarkEnd w:id="6"/>
      <w:bookmarkEnd w:id="7"/>
      <w:bookmarkEnd w:id="8"/>
      <w:bookmarkEnd w:id="9"/>
      <w:bookmarkEnd w:id="10"/>
      <w:bookmarkEnd w:id="11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单位“三公”经费单位</w:t>
      </w:r>
      <w:bookmarkEnd w:id="0"/>
      <w:bookmarkEnd w:id="1"/>
      <w:bookmarkEnd w:id="2"/>
      <w:bookmarkEnd w:id="3"/>
      <w:bookmarkEnd w:id="4"/>
      <w:bookmarkEnd w:id="5"/>
      <w:bookmarkEnd w:id="12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预算公开安排情况说明</w:t>
      </w:r>
    </w:p>
    <w:p w14:paraId="75337C98" w14:textId="77777777" w:rsidR="00A343F6" w:rsidRDefault="00A343F6">
      <w:pPr>
        <w:spacing w:line="60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</w:p>
    <w:p w14:paraId="25A29A67" w14:textId="69523958" w:rsidR="00A343F6" w:rsidRDefault="004F377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米易县</w:t>
      </w:r>
      <w:r w:rsidR="00827FC3">
        <w:rPr>
          <w:rFonts w:ascii="仿宋_GB2312" w:eastAsia="仿宋_GB2312" w:hAnsi="仿宋_GB2312" w:cs="仿宋_GB2312" w:hint="eastAsia"/>
          <w:sz w:val="32"/>
          <w:szCs w:val="32"/>
        </w:rPr>
        <w:t>疾病预防控制中心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2025年单位使用财政拨款安排“三公”经费预算</w:t>
      </w:r>
      <w:r w:rsidR="00827FC3">
        <w:rPr>
          <w:rFonts w:ascii="仿宋_GB2312" w:eastAsia="仿宋_GB2312" w:hAnsi="仿宋_GB2312" w:cs="仿宋_GB2312"/>
          <w:sz w:val="32"/>
          <w:szCs w:val="32"/>
        </w:rPr>
        <w:t>108000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14:paraId="0E39E4F2" w14:textId="39961E0F" w:rsidR="00A343F6" w:rsidRDefault="004F3777">
      <w:pPr>
        <w:spacing w:line="600" w:lineRule="exact"/>
        <w:ind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bookmarkStart w:id="13" w:name="_Toc22477"/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（一）因公出国（境）经费与202</w:t>
      </w:r>
      <w:r w:rsidR="00827FC3"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年预算持平</w:t>
      </w:r>
      <w:bookmarkEnd w:id="13"/>
    </w:p>
    <w:p w14:paraId="4D460710" w14:textId="77777777" w:rsidR="00A343F6" w:rsidRDefault="004F3777">
      <w:pPr>
        <w:spacing w:line="60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根据市外事侨务办（台办）批准的2025年因公临时出国（境）安排，拟安排出国（境）团组0次, 0人。</w:t>
      </w:r>
    </w:p>
    <w:p w14:paraId="0B83E622" w14:textId="14EBD676" w:rsidR="00A343F6" w:rsidRDefault="004F3777">
      <w:pPr>
        <w:numPr>
          <w:ilvl w:val="0"/>
          <w:numId w:val="1"/>
        </w:numPr>
        <w:spacing w:line="600" w:lineRule="exact"/>
        <w:ind w:firstLine="640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bookmarkStart w:id="14" w:name="_Toc15048"/>
      <w:r>
        <w:rPr>
          <w:rFonts w:ascii="仿宋_GB2312" w:eastAsia="仿宋_GB2312" w:hAnsi="仿宋_GB2312" w:cs="仿宋_GB2312" w:hint="eastAsia"/>
          <w:b/>
          <w:sz w:val="32"/>
          <w:szCs w:val="32"/>
        </w:rPr>
        <w:t>公务接待费与202</w:t>
      </w:r>
      <w:r w:rsidR="001E27B5"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年预算持平</w:t>
      </w:r>
      <w:bookmarkEnd w:id="14"/>
    </w:p>
    <w:p w14:paraId="2A2592BE" w14:textId="059A9A41" w:rsidR="00A343F6" w:rsidRDefault="004F3777">
      <w:pPr>
        <w:spacing w:line="60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</w:t>
      </w:r>
      <w:r w:rsidR="00827FC3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年安排公务接待费预算</w:t>
      </w:r>
      <w:r w:rsidR="00827FC3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800.00元。</w:t>
      </w:r>
    </w:p>
    <w:p w14:paraId="17E1D8AC" w14:textId="50229105" w:rsidR="00A343F6" w:rsidRDefault="004F3777">
      <w:pPr>
        <w:spacing w:line="600" w:lineRule="exact"/>
        <w:ind w:firstLine="640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bookmarkStart w:id="15" w:name="_Toc10510"/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（三）公务用车购置及运行维护费与202</w:t>
      </w:r>
      <w:r w:rsidR="001E27B5"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年预算持平</w:t>
      </w:r>
      <w:bookmarkEnd w:id="15"/>
    </w:p>
    <w:p w14:paraId="3D3E71C5" w14:textId="77777777" w:rsidR="00827FC3" w:rsidRPr="00827FC3" w:rsidRDefault="00827FC3" w:rsidP="00827FC3">
      <w:pPr>
        <w:suppressAutoHyphens/>
        <w:spacing w:line="58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16" w:name="_Toc610"/>
      <w:bookmarkStart w:id="17" w:name="_Toc16138"/>
      <w:r w:rsidRPr="00827FC3">
        <w:rPr>
          <w:rFonts w:ascii="仿宋_GB2312" w:eastAsia="仿宋_GB2312" w:hAnsi="仿宋_GB2312" w:cs="仿宋_GB2312" w:hint="eastAsia"/>
          <w:sz w:val="32"/>
          <w:szCs w:val="32"/>
        </w:rPr>
        <w:t>单位现有公务用车5辆，其中：轿车（含7座以下商务车、城市越野车）1辆，7座以上19座（含19座）以下客车0辆，越野车2辆，货车及19座以上客车2辆，摩托车0辆。</w:t>
      </w:r>
    </w:p>
    <w:p w14:paraId="1F9F63F1" w14:textId="2EC9BFC2" w:rsidR="00827FC3" w:rsidRPr="00827FC3" w:rsidRDefault="00827FC3" w:rsidP="00827FC3">
      <w:pPr>
        <w:suppressAutoHyphens/>
        <w:spacing w:line="58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827FC3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E27B5">
        <w:rPr>
          <w:rFonts w:ascii="仿宋_GB2312" w:eastAsia="仿宋_GB2312" w:hAnsi="仿宋_GB2312" w:cs="仿宋_GB2312"/>
          <w:sz w:val="32"/>
          <w:szCs w:val="32"/>
        </w:rPr>
        <w:t>6</w:t>
      </w:r>
      <w:r w:rsidRPr="00827FC3">
        <w:rPr>
          <w:rFonts w:ascii="仿宋_GB2312" w:eastAsia="仿宋_GB2312" w:hAnsi="仿宋_GB2312" w:cs="仿宋_GB2312" w:hint="eastAsia"/>
          <w:sz w:val="32"/>
          <w:szCs w:val="32"/>
        </w:rPr>
        <w:t>年安排公务用车购置费0万元，购置公务用车0辆，其中：轿车（含7座以下商务车、城市越野车）0辆，7座以上19座（含19座）以下客车0辆，越野车0辆，货车及19座以上客车0辆，摩托车0辆。</w:t>
      </w:r>
    </w:p>
    <w:p w14:paraId="5E8CD5A0" w14:textId="77777777" w:rsidR="00827FC3" w:rsidRDefault="00827FC3" w:rsidP="00827FC3">
      <w:pPr>
        <w:suppressAutoHyphens/>
        <w:spacing w:line="58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827FC3">
        <w:rPr>
          <w:rFonts w:ascii="仿宋_GB2312" w:eastAsia="仿宋_GB2312" w:hAnsi="仿宋_GB2312" w:cs="仿宋_GB2312" w:hint="eastAsia"/>
          <w:sz w:val="32"/>
          <w:szCs w:val="32"/>
        </w:rPr>
        <w:t>2026年安排公务用车运行维护费106200元，用于5辆公务用车燃油、维修、车辆通行等方面支出，主要保障.艾滋病防治、重大传染病防控、免疫规划等工作开展。</w:t>
      </w:r>
    </w:p>
    <w:p w14:paraId="2B2E7782" w14:textId="11C6C1BD" w:rsidR="00A343F6" w:rsidRPr="00827FC3" w:rsidRDefault="004F3777" w:rsidP="00827FC3">
      <w:pPr>
        <w:suppressAutoHyphens/>
        <w:spacing w:line="580" w:lineRule="exac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827FC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“三公”经费非财政拨款预算安排情况说明</w:t>
      </w:r>
      <w:bookmarkEnd w:id="16"/>
      <w:bookmarkEnd w:id="17"/>
    </w:p>
    <w:p w14:paraId="746A82FA" w14:textId="602A3927" w:rsidR="00A343F6" w:rsidRDefault="004F3777">
      <w:pPr>
        <w:suppressAutoHyphens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米易县</w:t>
      </w:r>
      <w:r w:rsidR="00827FC3">
        <w:rPr>
          <w:rFonts w:ascii="仿宋_GB2312" w:eastAsia="仿宋_GB2312" w:hAnsi="仿宋_GB2312" w:cs="仿宋_GB2312" w:hint="eastAsia"/>
          <w:sz w:val="32"/>
          <w:szCs w:val="32"/>
        </w:rPr>
        <w:t>疾病预防控制中心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A01204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年单位没有使用非财政拨款安排“三公”经费预算。</w:t>
      </w:r>
    </w:p>
    <w:p w14:paraId="6C4DFBC6" w14:textId="77777777" w:rsidR="00A343F6" w:rsidRDefault="004F3777">
      <w:pPr>
        <w:suppressAutoHyphens/>
        <w:spacing w:line="580" w:lineRule="exact"/>
        <w:ind w:firstLine="640"/>
        <w:outlineLvl w:val="1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18" w:name="_Toc1008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（一）非财政拨款安排公务接待费情况说明</w:t>
      </w:r>
      <w:bookmarkEnd w:id="18"/>
    </w:p>
    <w:p w14:paraId="68DDE820" w14:textId="60DFB271" w:rsidR="00A343F6" w:rsidRDefault="004F3777">
      <w:pPr>
        <w:suppressAutoHyphens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E27B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年非财政拨款安排公务接待费与202</w:t>
      </w:r>
      <w:r w:rsidR="00A01204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年预算持平。</w:t>
      </w:r>
    </w:p>
    <w:p w14:paraId="0B29532A" w14:textId="6815FFF5" w:rsidR="00A343F6" w:rsidRDefault="004F3777">
      <w:pPr>
        <w:suppressAutoHyphens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E27B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年安排非财政拨款安排公务接待费0元。</w:t>
      </w:r>
    </w:p>
    <w:p w14:paraId="2BF1C526" w14:textId="77777777" w:rsidR="00A343F6" w:rsidRDefault="004F3777">
      <w:pPr>
        <w:suppressAutoHyphens/>
        <w:spacing w:line="580" w:lineRule="exact"/>
        <w:ind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bookmarkStart w:id="19" w:name="_Toc18783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（二）非财政拨款安排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公务用车购置及运行维护费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情况说明</w:t>
      </w:r>
      <w:bookmarkEnd w:id="19"/>
    </w:p>
    <w:p w14:paraId="0D8F9194" w14:textId="1D9EF8A7" w:rsidR="00A343F6" w:rsidRDefault="004F3777">
      <w:pPr>
        <w:suppressAutoHyphens/>
        <w:spacing w:line="58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非财政拨款安排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公务用车购置及运行维护费与202</w:t>
      </w:r>
      <w:r w:rsidR="001E27B5"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年预算持平。</w:t>
      </w:r>
    </w:p>
    <w:p w14:paraId="2346B13B" w14:textId="77777777" w:rsidR="00A01204" w:rsidRPr="00827FC3" w:rsidRDefault="00A01204" w:rsidP="00A01204">
      <w:pPr>
        <w:suppressAutoHyphens/>
        <w:spacing w:line="58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827FC3">
        <w:rPr>
          <w:rFonts w:ascii="仿宋_GB2312" w:eastAsia="仿宋_GB2312" w:hAnsi="仿宋_GB2312" w:cs="仿宋_GB2312" w:hint="eastAsia"/>
          <w:sz w:val="32"/>
          <w:szCs w:val="32"/>
        </w:rPr>
        <w:t>单位现有公务用车5辆，其中：轿车（含7座以下商务车、城市越野车）1辆，7座以上19座（含19座）以下客车0辆，越野车2辆，货车及19座以上客车2辆，摩托车0辆。</w:t>
      </w:r>
    </w:p>
    <w:p w14:paraId="628D4AB6" w14:textId="14B401F2" w:rsidR="00A343F6" w:rsidRDefault="004F3777">
      <w:pPr>
        <w:suppressAutoHyphens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E27B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年安排非财政拨款公务用车购置费0元，拟购置公务用车0辆，其中：轿车0辆，旅行车（含商务车）0辆，越野车0辆，大型客、货车0辆。</w:t>
      </w:r>
    </w:p>
    <w:p w14:paraId="630F4F3C" w14:textId="2605ED7A" w:rsidR="00A343F6" w:rsidRDefault="004F3777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E27B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年安排非财政拨款公务用车运行维护费0元。</w:t>
      </w:r>
    </w:p>
    <w:p w14:paraId="02B89941" w14:textId="77777777" w:rsidR="00A343F6" w:rsidRDefault="00A343F6">
      <w:pPr>
        <w:spacing w:line="600" w:lineRule="exact"/>
        <w:ind w:firstLine="640"/>
        <w:rPr>
          <w:rFonts w:ascii="仿宋_GB2312" w:eastAsia="仿宋_GB2312" w:hAnsi="Times New Roman"/>
          <w:sz w:val="32"/>
          <w:szCs w:val="32"/>
        </w:rPr>
      </w:pPr>
    </w:p>
    <w:p w14:paraId="139272D3" w14:textId="75EDDB12" w:rsidR="00A343F6" w:rsidRDefault="004F3777" w:rsidP="00827FC3">
      <w:pPr>
        <w:spacing w:line="600" w:lineRule="exact"/>
        <w:ind w:firstLineChars="1400" w:firstLine="44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米易县</w:t>
      </w:r>
      <w:r w:rsidR="00827FC3">
        <w:rPr>
          <w:rFonts w:ascii="仿宋_GB2312" w:eastAsia="仿宋_GB2312" w:hAnsi="Times New Roman" w:hint="eastAsia"/>
          <w:sz w:val="32"/>
          <w:szCs w:val="32"/>
        </w:rPr>
        <w:t>疾病预防控制中心</w:t>
      </w:r>
    </w:p>
    <w:p w14:paraId="3D0AFE58" w14:textId="45D39304" w:rsidR="00A343F6" w:rsidRDefault="004F3777">
      <w:pPr>
        <w:spacing w:line="600" w:lineRule="exact"/>
        <w:ind w:firstLineChars="1500" w:firstLine="4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202</w:t>
      </w:r>
      <w:r w:rsidR="00827FC3">
        <w:rPr>
          <w:rFonts w:ascii="仿宋_GB2312" w:eastAsia="仿宋_GB2312" w:hAnsi="Times New Roman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年</w:t>
      </w:r>
      <w:r w:rsidR="00827FC3"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月2</w:t>
      </w:r>
      <w:r w:rsidR="00B571BF"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日</w:t>
      </w:r>
    </w:p>
    <w:sectPr w:rsidR="00A343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303A" w14:textId="77777777" w:rsidR="00CD5556" w:rsidRDefault="00CD5556">
      <w:r>
        <w:separator/>
      </w:r>
    </w:p>
  </w:endnote>
  <w:endnote w:type="continuationSeparator" w:id="0">
    <w:p w14:paraId="531908AF" w14:textId="77777777" w:rsidR="00CD5556" w:rsidRDefault="00CD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EDA4" w14:textId="77777777" w:rsidR="00A343F6" w:rsidRDefault="00A343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D671" w14:textId="77777777" w:rsidR="00CD5556" w:rsidRDefault="00CD5556">
      <w:r>
        <w:separator/>
      </w:r>
    </w:p>
  </w:footnote>
  <w:footnote w:type="continuationSeparator" w:id="0">
    <w:p w14:paraId="7C61B097" w14:textId="77777777" w:rsidR="00CD5556" w:rsidRDefault="00CD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BDA5C6"/>
    <w:multiLevelType w:val="singleLevel"/>
    <w:tmpl w:val="99BDA5C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hiY2UwMjVlYzJkOTYwNjY3ZDU0OWJiODJjYmRlMTIifQ==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1E27B5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4F3777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27FC3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01204"/>
    <w:rsid w:val="00A343F6"/>
    <w:rsid w:val="00A844F2"/>
    <w:rsid w:val="00A924F3"/>
    <w:rsid w:val="00A95088"/>
    <w:rsid w:val="00AA5553"/>
    <w:rsid w:val="00AB7D3B"/>
    <w:rsid w:val="00AE5E1F"/>
    <w:rsid w:val="00AF4E3F"/>
    <w:rsid w:val="00B25311"/>
    <w:rsid w:val="00B44725"/>
    <w:rsid w:val="00B571BF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815B3"/>
    <w:rsid w:val="00CC6134"/>
    <w:rsid w:val="00CC79C3"/>
    <w:rsid w:val="00CD1C6A"/>
    <w:rsid w:val="00CD5556"/>
    <w:rsid w:val="00D1122D"/>
    <w:rsid w:val="00D1567C"/>
    <w:rsid w:val="00D8311B"/>
    <w:rsid w:val="00D86BB6"/>
    <w:rsid w:val="00E104E4"/>
    <w:rsid w:val="00E37E6C"/>
    <w:rsid w:val="00E84380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26C13F6"/>
    <w:rsid w:val="03F92369"/>
    <w:rsid w:val="06DE2FB2"/>
    <w:rsid w:val="0C526FE5"/>
    <w:rsid w:val="103E1D5B"/>
    <w:rsid w:val="125547BA"/>
    <w:rsid w:val="159E6171"/>
    <w:rsid w:val="19D67A05"/>
    <w:rsid w:val="2C21650C"/>
    <w:rsid w:val="2C3365DD"/>
    <w:rsid w:val="34F33B07"/>
    <w:rsid w:val="36C43C21"/>
    <w:rsid w:val="465325AE"/>
    <w:rsid w:val="4B3F4556"/>
    <w:rsid w:val="535724C1"/>
    <w:rsid w:val="553925B4"/>
    <w:rsid w:val="56B12A4C"/>
    <w:rsid w:val="65C626CC"/>
    <w:rsid w:val="68263B7F"/>
    <w:rsid w:val="69C44BE8"/>
    <w:rsid w:val="6F23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A266E"/>
  <w15:docId w15:val="{A87B34F2-50B4-48A3-9702-C44A9D06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nhideWhenUsed/>
    <w:qFormat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eastAsia="黑体" w:hAnsi="黑体"/>
      <w:sz w:val="36"/>
      <w:szCs w:val="36"/>
    </w:rPr>
  </w:style>
  <w:style w:type="character" w:styleId="a7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Company>Sky123.Org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陈忠林</dc:creator>
  <cp:lastModifiedBy>Lenovo</cp:lastModifiedBy>
  <cp:revision>18</cp:revision>
  <dcterms:created xsi:type="dcterms:W3CDTF">2021-03-02T02:15:00Z</dcterms:created>
  <dcterms:modified xsi:type="dcterms:W3CDTF">2026-04-27T01:34:00Z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eyJoZGlkIjoiNjBiY2ZhNTYyYzk4NTU0NThmYTRkZWVkNmQwZGVkMDEifQ==</vt:lpwstr>
  </property>
</Properties>
</file>