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2A71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firstLine="0"/>
        <w:jc w:val="center"/>
        <w:textAlignment w:val="auto"/>
        <w:rPr>
          <w:rFonts w:hint="eastAsia" w:ascii="方正小标宋_GBK" w:hAnsi="方正小标宋_GBK" w:eastAsia="方正小标宋_GBK" w:cs="方正小标宋_GBK"/>
          <w:i w:val="0"/>
          <w:iCs w:val="0"/>
          <w:caps w:val="0"/>
          <w:color w:val="auto"/>
          <w:spacing w:val="0"/>
          <w:sz w:val="44"/>
          <w:szCs w:val="44"/>
        </w:rPr>
      </w:pPr>
      <w:r>
        <w:rPr>
          <w:rFonts w:hint="eastAsia" w:ascii="方正小标宋_GBK" w:hAnsi="方正小标宋_GBK" w:eastAsia="方正小标宋_GBK" w:cs="方正小标宋_GBK"/>
          <w:i w:val="0"/>
          <w:iCs w:val="0"/>
          <w:caps w:val="0"/>
          <w:color w:val="auto"/>
          <w:spacing w:val="0"/>
          <w:sz w:val="44"/>
          <w:szCs w:val="44"/>
        </w:rPr>
        <w:t>国家税务总局 财政部 中国证监会</w:t>
      </w:r>
    </w:p>
    <w:p w14:paraId="4B2BDE7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firstLine="0"/>
        <w:jc w:val="center"/>
        <w:textAlignment w:val="auto"/>
        <w:rPr>
          <w:rFonts w:hint="eastAsia" w:ascii="微软雅黑" w:hAnsi="微软雅黑" w:eastAsia="微软雅黑" w:cs="微软雅黑"/>
          <w:i w:val="0"/>
          <w:iCs w:val="0"/>
          <w:caps w:val="0"/>
          <w:color w:val="auto"/>
          <w:spacing w:val="0"/>
          <w:sz w:val="48"/>
          <w:szCs w:val="48"/>
        </w:rPr>
      </w:pPr>
      <w:r>
        <w:rPr>
          <w:rFonts w:hint="eastAsia" w:ascii="方正小标宋_GBK" w:hAnsi="方正小标宋_GBK" w:eastAsia="方正小标宋_GBK" w:cs="方正小标宋_GBK"/>
          <w:i w:val="0"/>
          <w:iCs w:val="0"/>
          <w:caps w:val="0"/>
          <w:color w:val="auto"/>
          <w:spacing w:val="0"/>
          <w:sz w:val="44"/>
          <w:szCs w:val="44"/>
        </w:rPr>
        <w:t>关于进一步完善个人转让上市公司限售股所得个人所得税有关征管服务事项的公告</w:t>
      </w:r>
    </w:p>
    <w:p w14:paraId="0B0BD73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rPr>
          <w:color w:val="auto"/>
        </w:rPr>
      </w:pPr>
      <w:r>
        <w:rPr>
          <w:rFonts w:hint="eastAsia" w:ascii="微软雅黑" w:hAnsi="微软雅黑" w:eastAsia="微软雅黑" w:cs="微软雅黑"/>
          <w:i w:val="0"/>
          <w:iCs w:val="0"/>
          <w:caps w:val="0"/>
          <w:color w:val="auto"/>
          <w:spacing w:val="0"/>
          <w:sz w:val="21"/>
          <w:szCs w:val="21"/>
          <w:u w:val="none"/>
        </w:rPr>
        <w:fldChar w:fldCharType="begin"/>
      </w:r>
      <w:r>
        <w:rPr>
          <w:rFonts w:hint="eastAsia" w:ascii="微软雅黑" w:hAnsi="微软雅黑" w:eastAsia="微软雅黑" w:cs="微软雅黑"/>
          <w:i w:val="0"/>
          <w:iCs w:val="0"/>
          <w:caps w:val="0"/>
          <w:color w:val="auto"/>
          <w:spacing w:val="0"/>
          <w:sz w:val="21"/>
          <w:szCs w:val="21"/>
          <w:u w:val="none"/>
        </w:rPr>
        <w:instrText xml:space="preserve"> HYPERLINK "https://czt.sc.gov.cn/scczt/c102400/2025/1/2/645195b60eae473e8fa863ba2976a943.shtml" </w:instrText>
      </w:r>
      <w:r>
        <w:rPr>
          <w:rFonts w:hint="eastAsia" w:ascii="微软雅黑" w:hAnsi="微软雅黑" w:eastAsia="微软雅黑" w:cs="微软雅黑"/>
          <w:i w:val="0"/>
          <w:iCs w:val="0"/>
          <w:caps w:val="0"/>
          <w:color w:val="auto"/>
          <w:spacing w:val="0"/>
          <w:sz w:val="21"/>
          <w:szCs w:val="21"/>
          <w:u w:val="none"/>
        </w:rPr>
        <w:fldChar w:fldCharType="separate"/>
      </w:r>
      <w:r>
        <w:rPr>
          <w:rFonts w:hint="eastAsia" w:ascii="微软雅黑" w:hAnsi="微软雅黑" w:eastAsia="微软雅黑" w:cs="微软雅黑"/>
          <w:i w:val="0"/>
          <w:iCs w:val="0"/>
          <w:caps w:val="0"/>
          <w:color w:val="auto"/>
          <w:spacing w:val="0"/>
          <w:sz w:val="21"/>
          <w:szCs w:val="21"/>
          <w:u w:val="none"/>
        </w:rPr>
        <w:fldChar w:fldCharType="end"/>
      </w:r>
    </w:p>
    <w:p w14:paraId="7A9DCB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center"/>
        <w:rPr>
          <w:rFonts w:hint="eastAsia" w:ascii="Times New Roman" w:hAnsi="Times New Roman" w:eastAsia="方正仿宋_GBK" w:cs="方正仿宋_GBK"/>
          <w:i w:val="0"/>
          <w:iCs w:val="0"/>
          <w:caps w:val="0"/>
          <w:color w:val="auto"/>
          <w:spacing w:val="0"/>
          <w:sz w:val="32"/>
          <w:szCs w:val="32"/>
        </w:rPr>
      </w:pPr>
      <w:r>
        <w:rPr>
          <w:rFonts w:hint="eastAsia" w:ascii="Times New Roman" w:hAnsi="Times New Roman" w:eastAsia="方正仿宋_GBK" w:cs="方正仿宋_GBK"/>
          <w:i w:val="0"/>
          <w:iCs w:val="0"/>
          <w:caps w:val="0"/>
          <w:color w:val="auto"/>
          <w:spacing w:val="0"/>
          <w:kern w:val="0"/>
          <w:sz w:val="32"/>
          <w:szCs w:val="32"/>
          <w:u w:val="none"/>
          <w:lang w:val="en-US" w:eastAsia="zh-CN" w:bidi="ar"/>
        </w:rPr>
        <w:fldChar w:fldCharType="begin"/>
      </w:r>
      <w:r>
        <w:rPr>
          <w:rFonts w:hint="eastAsia" w:ascii="Times New Roman" w:hAnsi="Times New Roman" w:eastAsia="方正仿宋_GBK" w:cs="方正仿宋_GBK"/>
          <w:i w:val="0"/>
          <w:iCs w:val="0"/>
          <w:caps w:val="0"/>
          <w:color w:val="auto"/>
          <w:spacing w:val="0"/>
          <w:kern w:val="0"/>
          <w:sz w:val="32"/>
          <w:szCs w:val="32"/>
          <w:u w:val="none"/>
          <w:lang w:val="en-US" w:eastAsia="zh-CN" w:bidi="ar"/>
        </w:rPr>
        <w:instrText xml:space="preserve"> HYPERLINK "https://czt.sc.gov.cn/scczt/c102400/2025/1/2/645195b60eae473e8fa863ba2976a943.shtml" </w:instrText>
      </w:r>
      <w:r>
        <w:rPr>
          <w:rFonts w:hint="eastAsia" w:ascii="Times New Roman" w:hAnsi="Times New Roman" w:eastAsia="方正仿宋_GBK" w:cs="方正仿宋_GBK"/>
          <w:i w:val="0"/>
          <w:iCs w:val="0"/>
          <w:caps w:val="0"/>
          <w:color w:val="auto"/>
          <w:spacing w:val="0"/>
          <w:kern w:val="0"/>
          <w:sz w:val="32"/>
          <w:szCs w:val="32"/>
          <w:u w:val="none"/>
          <w:lang w:val="en-US" w:eastAsia="zh-CN" w:bidi="ar"/>
        </w:rPr>
        <w:fldChar w:fldCharType="separate"/>
      </w:r>
      <w:r>
        <w:rPr>
          <w:rFonts w:hint="eastAsia" w:ascii="Times New Roman" w:hAnsi="Times New Roman" w:eastAsia="方正仿宋_GBK" w:cs="方正仿宋_GBK"/>
          <w:i w:val="0"/>
          <w:iCs w:val="0"/>
          <w:caps w:val="0"/>
          <w:color w:val="auto"/>
          <w:spacing w:val="0"/>
          <w:kern w:val="0"/>
          <w:sz w:val="32"/>
          <w:szCs w:val="32"/>
          <w:u w:val="none"/>
          <w:lang w:val="en-US" w:eastAsia="zh-CN" w:bidi="ar"/>
        </w:rPr>
        <w:fldChar w:fldCharType="end"/>
      </w:r>
    </w:p>
    <w:p w14:paraId="34507CC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i w:val="0"/>
          <w:iCs w:val="0"/>
          <w:caps w:val="0"/>
          <w:color w:val="auto"/>
          <w:spacing w:val="0"/>
          <w:sz w:val="32"/>
          <w:szCs w:val="32"/>
        </w:rPr>
        <w:t>国家税务总局 财政部 中国证监会公告2024年第14号</w:t>
      </w:r>
    </w:p>
    <w:p w14:paraId="4352F7E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i w:val="0"/>
          <w:iCs w:val="0"/>
          <w:caps w:val="0"/>
          <w:color w:val="auto"/>
          <w:spacing w:val="0"/>
          <w:sz w:val="32"/>
          <w:szCs w:val="32"/>
        </w:rPr>
        <w:t> </w:t>
      </w:r>
    </w:p>
    <w:p w14:paraId="22BADE6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i w:val="0"/>
          <w:iCs w:val="0"/>
          <w:caps w:val="0"/>
          <w:color w:val="auto"/>
          <w:spacing w:val="0"/>
          <w:sz w:val="32"/>
          <w:szCs w:val="32"/>
        </w:rPr>
        <w:t>为推动构建全国统一大市场，更好发挥税收职能作用，根据《中华人民共和国个人所得税法》及其实施条例有关规定，现就完善个人转让上市公司限售股所得个人所得税有关征管服务事项公告如下：</w:t>
      </w:r>
    </w:p>
    <w:p w14:paraId="4A6F5B1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i w:val="0"/>
          <w:iCs w:val="0"/>
          <w:caps w:val="0"/>
          <w:color w:val="auto"/>
          <w:spacing w:val="0"/>
          <w:sz w:val="32"/>
          <w:szCs w:val="32"/>
        </w:rPr>
        <w:t>一、个人转让上市公司限售股所得缴纳个人所得税时，纳税地点为发行限售股的上市公司所在地。</w:t>
      </w:r>
    </w:p>
    <w:p w14:paraId="6694E61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i w:val="0"/>
          <w:iCs w:val="0"/>
          <w:caps w:val="0"/>
          <w:color w:val="auto"/>
          <w:spacing w:val="0"/>
          <w:sz w:val="32"/>
          <w:szCs w:val="32"/>
        </w:rPr>
        <w:t>二、个人股东开户的证券机构代扣代缴限售股转让所得个人所得税时，可优先通过自然人电子税务局网站、扣缴客户端远程办理申报，也可在证券机构所在地主管税务机关就近办理申报，税款在上市公司所在地解缴入库。</w:t>
      </w:r>
    </w:p>
    <w:p w14:paraId="05962DF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i w:val="0"/>
          <w:iCs w:val="0"/>
          <w:caps w:val="0"/>
          <w:color w:val="auto"/>
          <w:spacing w:val="0"/>
          <w:sz w:val="32"/>
          <w:szCs w:val="32"/>
        </w:rPr>
        <w:t>三、纳税人需自行申报清算或纳税的，可优先通过自然人电子税务局网站远程办理申报，也可到上市公司所在地主管税务机关办理申报。</w:t>
      </w:r>
    </w:p>
    <w:p w14:paraId="4E9A712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i w:val="0"/>
          <w:iCs w:val="0"/>
          <w:caps w:val="0"/>
          <w:color w:val="auto"/>
          <w:spacing w:val="0"/>
          <w:sz w:val="32"/>
          <w:szCs w:val="32"/>
        </w:rPr>
        <w:t>四、上市公司所在地主管税务机关负责限售股转让所得个人所得税征收管理，证券机构所在地主管税务机关予以协同管理。税务机关持续优化纳税服务，不断提升证券机构、纳税人申报纳税的便利度。</w:t>
      </w:r>
    </w:p>
    <w:p w14:paraId="4F1BD3B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i w:val="0"/>
          <w:iCs w:val="0"/>
          <w:caps w:val="0"/>
          <w:color w:val="auto"/>
          <w:spacing w:val="0"/>
          <w:sz w:val="32"/>
          <w:szCs w:val="32"/>
        </w:rPr>
        <w:t>五、个人转让全国中小企业股份转让系统挂牌公司、北京证券交易所上市公司原始股缴纳个人所得税的有关征管服务事项，依照本公告规定。</w:t>
      </w:r>
    </w:p>
    <w:p w14:paraId="074CD4F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i w:val="0"/>
          <w:iCs w:val="0"/>
          <w:caps w:val="0"/>
          <w:color w:val="auto"/>
          <w:spacing w:val="0"/>
          <w:sz w:val="32"/>
          <w:szCs w:val="32"/>
        </w:rPr>
        <w:t>六、本公告自发布之日起施行，《财政部 国家税务总局 证监会关于个人转让上市公司限售股所得征收个人所得税有关问题的通知》（财税〔2009〕167号）等规定与本公告不一致的，依照本公告执行。</w:t>
      </w:r>
    </w:p>
    <w:p w14:paraId="76E0DC5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i w:val="0"/>
          <w:iCs w:val="0"/>
          <w:caps w:val="0"/>
          <w:color w:val="auto"/>
          <w:spacing w:val="0"/>
          <w:sz w:val="32"/>
          <w:szCs w:val="32"/>
        </w:rPr>
        <w:t>特此公告。</w:t>
      </w:r>
    </w:p>
    <w:p w14:paraId="42A7B6D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i w:val="0"/>
          <w:iCs w:val="0"/>
          <w:caps w:val="0"/>
          <w:color w:val="auto"/>
          <w:spacing w:val="0"/>
          <w:sz w:val="32"/>
          <w:szCs w:val="32"/>
        </w:rPr>
        <w:t> </w:t>
      </w:r>
    </w:p>
    <w:p w14:paraId="06933F6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right"/>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i w:val="0"/>
          <w:iCs w:val="0"/>
          <w:caps w:val="0"/>
          <w:color w:val="auto"/>
          <w:spacing w:val="0"/>
          <w:sz w:val="32"/>
          <w:szCs w:val="32"/>
        </w:rPr>
        <w:t>                                                                             国家税务总局   财政部   中国证监会</w:t>
      </w:r>
    </w:p>
    <w:p w14:paraId="250CEA6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i w:val="0"/>
          <w:iCs w:val="0"/>
          <w:caps w:val="0"/>
          <w:color w:val="auto"/>
          <w:spacing w:val="0"/>
          <w:sz w:val="32"/>
          <w:szCs w:val="32"/>
          <w:lang w:val="en-US" w:eastAsia="zh-CN"/>
        </w:rPr>
        <w:t xml:space="preserve">                            </w:t>
      </w:r>
      <w:r>
        <w:rPr>
          <w:rFonts w:hint="eastAsia" w:ascii="Times New Roman" w:hAnsi="Times New Roman" w:eastAsia="方正仿宋_GBK" w:cs="方正仿宋_GBK"/>
          <w:i w:val="0"/>
          <w:iCs w:val="0"/>
          <w:caps w:val="0"/>
          <w:color w:val="auto"/>
          <w:spacing w:val="0"/>
          <w:sz w:val="32"/>
          <w:szCs w:val="32"/>
        </w:rPr>
        <w:t>2024年12月27日     </w:t>
      </w:r>
    </w:p>
    <w:p w14:paraId="7DF9A49E">
      <w:pPr>
        <w:keepNext w:val="0"/>
        <w:keepLines w:val="0"/>
        <w:pageBreakBefore w:val="0"/>
        <w:kinsoku/>
        <w:wordWrap/>
        <w:overflowPunct/>
        <w:topLinePunct w:val="0"/>
        <w:autoSpaceDE/>
        <w:autoSpaceDN/>
        <w:bidi w:val="0"/>
        <w:adjustRightInd/>
        <w:snapToGrid/>
        <w:spacing w:line="600" w:lineRule="exact"/>
        <w:ind w:left="0" w:right="0"/>
        <w:rPr>
          <w:rFonts w:hint="eastAsia" w:ascii="Times New Roman" w:hAnsi="Times New Roman" w:eastAsia="方正仿宋_GBK" w:cs="方正仿宋_GBK"/>
          <w:color w:val="auto"/>
          <w:sz w:val="32"/>
          <w:szCs w:val="32"/>
        </w:rPr>
      </w:pPr>
      <w:bookmarkStart w:id="0" w:name="_GoBack"/>
      <w:bookmarkEnd w:id="0"/>
    </w:p>
    <w:sectPr>
      <w:footerReference r:id="rId3" w:type="default"/>
      <w:pgSz w:w="11906" w:h="16838"/>
      <w:pgMar w:top="2098" w:right="1474" w:bottom="1984" w:left="1588" w:header="850" w:footer="1644" w:gutter="0"/>
      <w:paperSrc/>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6673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B950336">
                          <w:pPr>
                            <w:pStyle w:val="3"/>
                            <w:keepNext w:val="0"/>
                            <w:keepLines w:val="0"/>
                            <w:pageBreakBefore w:val="0"/>
                            <w:widowControl w:val="0"/>
                            <w:kinsoku/>
                            <w:wordWrap/>
                            <w:overflowPunct/>
                            <w:topLinePunct w:val="0"/>
                            <w:bidi w:val="0"/>
                            <w:adjustRightInd/>
                            <w:snapToGrid w:val="0"/>
                            <w:ind w:left="105" w:leftChars="50" w:right="105" w:rightChars="5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5B950336">
                    <w:pPr>
                      <w:pStyle w:val="3"/>
                      <w:keepNext w:val="0"/>
                      <w:keepLines w:val="0"/>
                      <w:pageBreakBefore w:val="0"/>
                      <w:widowControl w:val="0"/>
                      <w:kinsoku/>
                      <w:wordWrap/>
                      <w:overflowPunct/>
                      <w:topLinePunct w:val="0"/>
                      <w:bidi w:val="0"/>
                      <w:adjustRightInd/>
                      <w:snapToGrid w:val="0"/>
                      <w:ind w:left="105" w:leftChars="50" w:right="105" w:rightChars="5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xZDdkZjQ5NGJmOWYyYmFiNzk4NTI2YjM0ZDJlOWYifQ=="/>
  </w:docVars>
  <w:rsids>
    <w:rsidRoot w:val="00000000"/>
    <w:rsid w:val="1C735106"/>
    <w:rsid w:val="2A3E439B"/>
    <w:rsid w:val="34E40A61"/>
    <w:rsid w:val="3BA82BFD"/>
    <w:rsid w:val="49AE2DA6"/>
    <w:rsid w:val="4AD1544E"/>
    <w:rsid w:val="4B7C6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Hyperlink"/>
    <w:basedOn w:val="7"/>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11</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2025-10-20T07:27:00Z</dcterms:created>
  <dc:creator>Administrator</dc:creator>
  <cp:lastModifiedBy>刘鑫</cp:lastModifiedBy>
  <dcterms:modified xsi:type="dcterms:W3CDTF">2025-10-20T08:15:46Z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KSOTemplateDocerSaveRecord">
    <vt:lpwstr>eyJoZGlkIjoiYTVhN2ExOGRjZTIwNmIyZjdkYTZkYTUxNTFjN2VmZGIiLCJ1c2VySWQiOiI5NDc3Njg0NTUifQ==</vt:lpwstr>
  </property>
  <property fmtid="{D5CDD505-2E9C-101B-9397-08002B2CF9AE}" pid="4" name="ICV">
    <vt:lpwstr>96D8BDAE75264BCC93038AC15D2E6B02_12</vt:lpwstr>
  </property>
</Properties>
</file>