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672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米易县财政局</w:t>
      </w:r>
    </w:p>
    <w:p w14:paraId="56E28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预算绩效管理工作情况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开展情况</w:t>
      </w:r>
    </w:p>
    <w:p w14:paraId="23688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3AD199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夯实制度基础，健全管理体系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进一步完善预算绩效管理制度体系，厘清预算绩效管理工作流程，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2024年，制定印发了《米易县财政局关于加强全过程预算管理确保财政资金安全的通知》。截至目前，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累计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出台了《关于贯彻落实四川省全面实施预算绩效管理实施意见的工作方案》《米易县财政支出绩效评价管理暂行办法》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米易县县级预算事前绩效评估管理暂行办法》等11个制度文件，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涵盖预算绩效管理各个环节，“全方位、全过程、全覆盖”预算绩效管理制度体系搭建完成，为全面提升我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县预算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绩效管理质量提供有力制度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支撑。</w:t>
      </w:r>
    </w:p>
    <w:p w14:paraId="614BF1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二、强化宣传培训，提升管理能力。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持续加强预算绩效管理工作宣传和业务培训，提高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相关人员业务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，增强预算绩效管理意识。202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，在政府门户网站设置专栏，通过微信公众号、阳光米易等大力宣传和营造氛围，对预算绩效管理工作进行宣传报道。同时，找准着力点，将预算绩效管理纳入县委党校培训课程，并组织开展全县预算绩效相关培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次，对全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县村社干部、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财务人员和项目人员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460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余人开展预算绩效管理业务培训，培训内容涵盖事前、事中、事后等各个环节，切实增强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预算绩效管理工作人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员的业务能力和水平。</w:t>
      </w:r>
    </w:p>
    <w:p w14:paraId="681458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三、做实事前评估，严把项目入库。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对年度新出台的重大政策、新增专项预算项目和新增50万元以上的部门预算项目，年度预算增幅达到20%或增加金额50万元以上的延续性项目，延续执行三年以上的重点专项预算项目开展事前评估，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无评估报告或不予支持的项目不得入库。2024年，对年初预算项目270个全面开展事前绩效评估，涉及资金3.79亿元，并选取12个重点项目进行重点评价。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同时，按照“谁申请资金，谁设置目标”原则，各部门（单位）申报预算时同步申报绩效目标，对绩效目标进行全方面审查和监督，财政部门批复部门预算的同时，同步批复绩效目标。2024年，年初预算集中会审项目（政策）支出绩效目标270个。</w:t>
      </w:r>
    </w:p>
    <w:p w14:paraId="603FB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四、细化事中监控，优化预算执行。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依托预算管理一体化、直达资金监控等系统，强化预算绩效监控模块应用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2024年，对全县67个一级预算单位、52个二级预算单位的财政财务管理事项开展运行监控，选取6个部门进行重点监控，涉及资金9.17亿元。采取“绩效监控+预算执行”双监控的模式，深入分析预算执行进度、绩效目标实现程度等关键环节，对监控中发现的预算执行进度慢、绩效目标执行偏离度大等问题，及时处置，及时纠偏。</w:t>
      </w:r>
    </w:p>
    <w:p w14:paraId="0B51C1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五、突出评价重点，提高评价质量。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预算绩效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涵盖一般公共预算、政府性基金预算、国有资本经营预算，实现“三本预算”全覆盖。建立“部门（单位）全覆盖自评、财政部门重点抽评和第三方机构参与”的“三级评价”机制，对部门整体支出、项目（政策）支出等开展绩效评价。2024年，在部门、项目绩效自评全覆盖的基础上，重点选取10个部门（单位）开展整体支出绩效评价；对36个社会关注度高且切实惠及民生的政策（项目），重点开展绩效评价，涉及资金2.3亿元。</w:t>
      </w:r>
    </w:p>
    <w:p w14:paraId="23A6AF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hd w:val="clear" w:color="auto" w:fill="FFFFFF"/>
          <w:lang w:val="en-US" w:eastAsia="zh-CN" w:bidi="ar"/>
        </w:rPr>
        <w:t>五、严格结果应用，促进效能提升。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将预算绩效管理结果纳入政府绩效考核体系，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作为财政预算安排重要依据，进一步提高财政资金管理使用的透明度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2024年，开展重点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政策（项目）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绩效评价，根据绩效评价结果，为米易县扶持壮大烤烟产业发展政策调整完善提供参考，每年可节省财政资金760万元，节省幅度达40%。通过绩效运行监控，对因争取到位上级资金或项目变更等导致资金闲置的，追减县住房城乡建设局、县水利局等单位各类县级项目资金4624万元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大力推进绩效管理信息公开工作，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城乡义务教育补助经费-学生营养改善计划项目支出绩效评价报告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”和“高标准农田建设项目财政支出绩效评价报告”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对外公开。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B3A7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886EDD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2NzBmNjQ3NDE0NDczMTA2YTgwZjE5MGQ0NWFjOTYifQ=="/>
  </w:docVars>
  <w:rsids>
    <w:rsidRoot w:val="00F909C1"/>
    <w:rsid w:val="00040E14"/>
    <w:rsid w:val="000728DC"/>
    <w:rsid w:val="000873E4"/>
    <w:rsid w:val="000C5BFD"/>
    <w:rsid w:val="000E2873"/>
    <w:rsid w:val="001215E3"/>
    <w:rsid w:val="00166184"/>
    <w:rsid w:val="001B538A"/>
    <w:rsid w:val="001C2A43"/>
    <w:rsid w:val="001C6326"/>
    <w:rsid w:val="002C5784"/>
    <w:rsid w:val="002C68A2"/>
    <w:rsid w:val="002F71D9"/>
    <w:rsid w:val="003F0D6F"/>
    <w:rsid w:val="00423BED"/>
    <w:rsid w:val="0042634B"/>
    <w:rsid w:val="004730F8"/>
    <w:rsid w:val="004766C0"/>
    <w:rsid w:val="004A6A87"/>
    <w:rsid w:val="004F01B5"/>
    <w:rsid w:val="004F2553"/>
    <w:rsid w:val="005D5573"/>
    <w:rsid w:val="006250E7"/>
    <w:rsid w:val="00641FD9"/>
    <w:rsid w:val="006D4115"/>
    <w:rsid w:val="006E77B2"/>
    <w:rsid w:val="0071021B"/>
    <w:rsid w:val="0074143C"/>
    <w:rsid w:val="007D0668"/>
    <w:rsid w:val="00842C64"/>
    <w:rsid w:val="008D3A8D"/>
    <w:rsid w:val="008E5CB3"/>
    <w:rsid w:val="008F564D"/>
    <w:rsid w:val="008F6B91"/>
    <w:rsid w:val="009230E0"/>
    <w:rsid w:val="00A5667A"/>
    <w:rsid w:val="00B92B71"/>
    <w:rsid w:val="00BE4177"/>
    <w:rsid w:val="00BE7D6A"/>
    <w:rsid w:val="00CC767B"/>
    <w:rsid w:val="00CC7F30"/>
    <w:rsid w:val="00DE46DA"/>
    <w:rsid w:val="00E6774E"/>
    <w:rsid w:val="00E920C9"/>
    <w:rsid w:val="00F909C1"/>
    <w:rsid w:val="00F95423"/>
    <w:rsid w:val="00FF1883"/>
    <w:rsid w:val="02D90F12"/>
    <w:rsid w:val="03B23379"/>
    <w:rsid w:val="05492201"/>
    <w:rsid w:val="0F441F3D"/>
    <w:rsid w:val="0FB96FE3"/>
    <w:rsid w:val="10B4797A"/>
    <w:rsid w:val="11687EC6"/>
    <w:rsid w:val="11F62DB6"/>
    <w:rsid w:val="130D6053"/>
    <w:rsid w:val="14223F38"/>
    <w:rsid w:val="19AA2CBD"/>
    <w:rsid w:val="1C8451E7"/>
    <w:rsid w:val="238C2B30"/>
    <w:rsid w:val="299859E8"/>
    <w:rsid w:val="2A420BC2"/>
    <w:rsid w:val="32B921D7"/>
    <w:rsid w:val="3319567B"/>
    <w:rsid w:val="39497BD2"/>
    <w:rsid w:val="39B2605C"/>
    <w:rsid w:val="3A3F1610"/>
    <w:rsid w:val="3AFE46F2"/>
    <w:rsid w:val="3CB857D9"/>
    <w:rsid w:val="3CE835DE"/>
    <w:rsid w:val="44746735"/>
    <w:rsid w:val="48114073"/>
    <w:rsid w:val="4A666E7D"/>
    <w:rsid w:val="50D21250"/>
    <w:rsid w:val="53DD3680"/>
    <w:rsid w:val="57B07777"/>
    <w:rsid w:val="587414E5"/>
    <w:rsid w:val="594C2B5B"/>
    <w:rsid w:val="5B2856C3"/>
    <w:rsid w:val="6412774A"/>
    <w:rsid w:val="6A9835D1"/>
    <w:rsid w:val="6C800310"/>
    <w:rsid w:val="6CFE50F0"/>
    <w:rsid w:val="783A3528"/>
    <w:rsid w:val="78E273BC"/>
    <w:rsid w:val="7C1736C9"/>
    <w:rsid w:val="7FB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paragraph" w:styleId="4">
    <w:name w:val="Body Text"/>
    <w:basedOn w:val="1"/>
    <w:next w:val="5"/>
    <w:qFormat/>
    <w:uiPriority w:val="0"/>
    <w:rPr>
      <w:rFonts w:eastAsia="宋体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customStyle="1" w:styleId="13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329</Words>
  <Characters>1881</Characters>
  <Lines>15</Lines>
  <Paragraphs>4</Paragraphs>
  <TotalTime>20</TotalTime>
  <ScaleCrop>false</ScaleCrop>
  <LinksUpToDate>false</LinksUpToDate>
  <CharactersWithSpaces>2206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2024-05-14T23:51:00Z</dcterms:created>
  <dc:creator>南俊坤</dc:creator>
  <cp:lastModifiedBy>刘芹</cp:lastModifiedBy>
  <cp:lastPrinted>2024-11-05T08:33:00Z</cp:lastPrinted>
  <dcterms:modified xsi:type="dcterms:W3CDTF">2025-09-04T03:34:25Z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859853A99D48402BB2893C8681E7DC9C_12</vt:lpwstr>
  </property>
</Properties>
</file>