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0" w:lineRule="atLeast"/>
        <w:ind w:left="0" w:firstLine="0" w:firstLineChars="0"/>
        <w:jc w:val="center"/>
        <w:textAlignment w:val="auto"/>
        <w:rPr>
          <w:rFonts w:hint="default" w:ascii="Times New Roman" w:hAnsi="Times New Roman" w:eastAsia="方正小标宋_GBK" w:cs="Times New Roman"/>
          <w:b/>
          <w:bCs w:val="0"/>
          <w:kern w:val="0"/>
          <w:sz w:val="44"/>
          <w:szCs w:val="44"/>
          <w:highlight w:val="none"/>
        </w:rPr>
      </w:pPr>
      <w:r>
        <w:rPr>
          <w:rFonts w:hint="default" w:ascii="Times New Roman" w:hAnsi="Times New Roman" w:eastAsia="方正小标宋_GBK" w:cs="Times New Roman"/>
          <w:b/>
          <w:bCs w:val="0"/>
          <w:kern w:val="0"/>
          <w:sz w:val="44"/>
          <w:szCs w:val="44"/>
          <w:highlight w:val="none"/>
        </w:rPr>
        <w:t>米易县2024年财政决算（草案）的报告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both"/>
        <w:textAlignment w:val="auto"/>
        <w:rPr>
          <w:rFonts w:hint="eastAsia" w:ascii="Times New Roman" w:hAnsi="Times New Roman" w:eastAsia="方正楷体_GBK" w:cs="方正楷体_GBK"/>
          <w:spacing w:val="-18"/>
          <w:w w:val="88"/>
          <w:sz w:val="32"/>
          <w:szCs w:val="32"/>
        </w:rPr>
      </w:pPr>
      <w:r>
        <w:rPr>
          <w:rFonts w:hint="eastAsia" w:ascii="Times New Roman" w:hAnsi="Times New Roman" w:eastAsia="方正楷体_GBK" w:cs="方正楷体_GBK"/>
          <w:spacing w:val="-18"/>
          <w:w w:val="88"/>
          <w:sz w:val="32"/>
          <w:szCs w:val="32"/>
        </w:rPr>
        <w:t>（202</w:t>
      </w:r>
      <w:r>
        <w:rPr>
          <w:rFonts w:hint="eastAsia" w:ascii="Times New Roman" w:hAnsi="Times New Roman" w:eastAsia="方正楷体_GBK" w:cs="方正楷体_GBK"/>
          <w:spacing w:val="-18"/>
          <w:w w:val="88"/>
          <w:sz w:val="32"/>
          <w:szCs w:val="32"/>
          <w:lang w:val="en-US" w:eastAsia="zh-CN"/>
        </w:rPr>
        <w:t>5</w:t>
      </w:r>
      <w:r>
        <w:rPr>
          <w:rFonts w:hint="eastAsia" w:ascii="Times New Roman" w:hAnsi="Times New Roman" w:eastAsia="方正楷体_GBK" w:cs="方正楷体_GBK"/>
          <w:spacing w:val="-18"/>
          <w:w w:val="88"/>
          <w:sz w:val="32"/>
          <w:szCs w:val="32"/>
        </w:rPr>
        <w:t>年</w:t>
      </w:r>
      <w:r>
        <w:rPr>
          <w:rFonts w:hint="eastAsia" w:ascii="Times New Roman" w:hAnsi="Times New Roman" w:eastAsia="方正楷体_GBK" w:cs="方正楷体_GBK"/>
          <w:spacing w:val="-18"/>
          <w:w w:val="88"/>
          <w:sz w:val="32"/>
          <w:szCs w:val="32"/>
          <w:lang w:val="en-US" w:eastAsia="zh-CN"/>
        </w:rPr>
        <w:t>8</w:t>
      </w:r>
      <w:r>
        <w:rPr>
          <w:rFonts w:hint="eastAsia" w:ascii="Times New Roman" w:hAnsi="Times New Roman" w:eastAsia="方正楷体_GBK" w:cs="方正楷体_GBK"/>
          <w:spacing w:val="-18"/>
          <w:w w:val="88"/>
          <w:sz w:val="32"/>
          <w:szCs w:val="32"/>
        </w:rPr>
        <w:t>月</w:t>
      </w:r>
      <w:r>
        <w:rPr>
          <w:rFonts w:hint="eastAsia" w:ascii="Times New Roman" w:hAnsi="Times New Roman" w:eastAsia="方正楷体_GBK" w:cs="方正楷体_GBK"/>
          <w:spacing w:val="-18"/>
          <w:w w:val="88"/>
          <w:sz w:val="32"/>
          <w:szCs w:val="32"/>
          <w:lang w:val="en-US" w:eastAsia="zh-CN"/>
        </w:rPr>
        <w:t>27</w:t>
      </w:r>
      <w:r>
        <w:rPr>
          <w:rFonts w:hint="eastAsia" w:ascii="Times New Roman" w:hAnsi="Times New Roman" w:eastAsia="方正楷体_GBK" w:cs="方正楷体_GBK"/>
          <w:spacing w:val="-18"/>
          <w:w w:val="88"/>
          <w:sz w:val="32"/>
          <w:szCs w:val="32"/>
        </w:rPr>
        <w:t>日在米易县第</w:t>
      </w:r>
      <w:r>
        <w:rPr>
          <w:rFonts w:hint="eastAsia" w:ascii="Times New Roman" w:hAnsi="Times New Roman" w:eastAsia="方正楷体_GBK" w:cs="方正楷体_GBK"/>
          <w:spacing w:val="-18"/>
          <w:w w:val="88"/>
          <w:sz w:val="32"/>
          <w:szCs w:val="32"/>
          <w:lang w:eastAsia="zh-CN"/>
        </w:rPr>
        <w:t>十九</w:t>
      </w:r>
      <w:r>
        <w:rPr>
          <w:rFonts w:hint="eastAsia" w:ascii="Times New Roman" w:hAnsi="Times New Roman" w:eastAsia="方正楷体_GBK" w:cs="方正楷体_GBK"/>
          <w:spacing w:val="-18"/>
          <w:w w:val="88"/>
          <w:sz w:val="32"/>
          <w:szCs w:val="32"/>
        </w:rPr>
        <w:t>届人民代表大会常务委员会第</w:t>
      </w:r>
      <w:r>
        <w:rPr>
          <w:rFonts w:hint="eastAsia" w:ascii="Times New Roman" w:hAnsi="Times New Roman" w:eastAsia="方正楷体_GBK" w:cs="方正楷体_GBK"/>
          <w:spacing w:val="-18"/>
          <w:w w:val="88"/>
          <w:sz w:val="32"/>
          <w:szCs w:val="32"/>
          <w:lang w:eastAsia="zh-CN"/>
        </w:rPr>
        <w:t>四十一</w:t>
      </w:r>
      <w:r>
        <w:rPr>
          <w:rFonts w:hint="eastAsia" w:ascii="Times New Roman" w:hAnsi="Times New Roman" w:eastAsia="方正楷体_GBK" w:cs="方正楷体_GBK"/>
          <w:spacing w:val="-18"/>
          <w:w w:val="88"/>
          <w:sz w:val="32"/>
          <w:szCs w:val="32"/>
        </w:rPr>
        <w:t>次会议上）</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县人民政府</w:t>
      </w:r>
    </w:p>
    <w:p>
      <w:pPr>
        <w:pStyle w:val="3"/>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方正仿宋_GBK" w:hAnsi="方正仿宋_GBK" w:eastAsia="方正仿宋_GBK" w:cs="方正仿宋_GBK"/>
          <w:snapToGrid/>
          <w:spacing w:val="0"/>
          <w:kern w:val="21"/>
          <w:sz w:val="33"/>
          <w:szCs w:val="33"/>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今年县第十九届人民代表大会第五次会议审查批准了《米易县2024年财政预算执行情况和2025年财政预算（草案）的报告》，目前2024年财政决算已经汇编完成。根据《中华人民共和国预算法》《中华人民共和国预算法实施条例》相关规定，现将米易县2024年财政决算（草案）情况报告如下，请予审议。</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方正黑体_GBK" w:hAnsi="方正黑体_GBK" w:eastAsia="方正黑体_GBK" w:cs="方正黑体_GBK"/>
          <w:spacing w:val="0"/>
          <w:kern w:val="0"/>
          <w:sz w:val="32"/>
          <w:szCs w:val="32"/>
          <w:highlight w:val="none"/>
        </w:rPr>
      </w:pPr>
      <w:r>
        <w:rPr>
          <w:rFonts w:hint="eastAsia" w:ascii="方正黑体_GBK" w:hAnsi="方正黑体_GBK" w:eastAsia="方正黑体_GBK" w:cs="方正黑体_GBK"/>
          <w:spacing w:val="0"/>
          <w:kern w:val="0"/>
          <w:sz w:val="32"/>
          <w:szCs w:val="32"/>
          <w:highlight w:val="none"/>
        </w:rPr>
        <w:t>一、</w:t>
      </w:r>
      <w:r>
        <w:rPr>
          <w:rFonts w:hint="default" w:ascii="Times New Roman" w:hAnsi="Times New Roman" w:eastAsia="方正黑体_GBK" w:cs="Times New Roman"/>
          <w:spacing w:val="0"/>
          <w:kern w:val="0"/>
          <w:sz w:val="32"/>
          <w:szCs w:val="32"/>
          <w:highlight w:val="none"/>
        </w:rPr>
        <w:t>2024</w:t>
      </w:r>
      <w:r>
        <w:rPr>
          <w:rFonts w:hint="eastAsia" w:ascii="方正黑体_GBK" w:hAnsi="方正黑体_GBK" w:eastAsia="方正黑体_GBK" w:cs="方正黑体_GBK"/>
          <w:spacing w:val="0"/>
          <w:kern w:val="0"/>
          <w:sz w:val="32"/>
          <w:szCs w:val="32"/>
          <w:highlight w:val="none"/>
        </w:rPr>
        <w:t>年财政决算情况</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方正仿宋_GBK" w:hAnsi="方正仿宋_GBK" w:eastAsia="方正仿宋_GBK" w:cs="方正仿宋_GBK"/>
          <w:spacing w:val="0"/>
          <w:kern w:val="0"/>
          <w:sz w:val="32"/>
          <w:szCs w:val="32"/>
          <w:highlight w:val="none"/>
        </w:rPr>
      </w:pPr>
      <w:r>
        <w:rPr>
          <w:rFonts w:hint="default" w:ascii="Times New Roman" w:hAnsi="Times New Roman" w:eastAsia="方正仿宋_GBK" w:cs="Times New Roman"/>
          <w:spacing w:val="0"/>
          <w:kern w:val="0"/>
          <w:sz w:val="32"/>
          <w:szCs w:val="32"/>
          <w:highlight w:val="none"/>
        </w:rPr>
        <w:t>2024</w:t>
      </w:r>
      <w:r>
        <w:rPr>
          <w:rFonts w:hint="eastAsia" w:ascii="方正仿宋_GBK" w:hAnsi="方正仿宋_GBK" w:eastAsia="方正仿宋_GBK" w:cs="方正仿宋_GBK"/>
          <w:spacing w:val="0"/>
          <w:kern w:val="0"/>
          <w:sz w:val="32"/>
          <w:szCs w:val="32"/>
          <w:highlight w:val="none"/>
        </w:rPr>
        <w:t>年，全县财政工作在县委、县政府的坚强领导下，在县人大和县政协的监督支持下，坚定以习近平新时代中国特色社会主义思想为指导，深入学习贯彻党的二十大和二十届二中、三中全会精神，认真落实上级决策部署和县委、县政府工作要求，坚持积极的财政政策要适度加力、提质增效，集聚财源促发展，集中财力办大事，统筹做好稳增长、惠民生、防风险、促发展等各项工作，推动我县经济社会高质量发展取得新成效。</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楷体_GBK" w:hAnsi="方正楷体_GBK" w:eastAsia="方正楷体_GBK" w:cs="方正楷体_GBK"/>
          <w:b/>
          <w:spacing w:val="0"/>
          <w:kern w:val="0"/>
          <w:sz w:val="32"/>
          <w:szCs w:val="32"/>
          <w:highlight w:val="none"/>
        </w:rPr>
      </w:pPr>
      <w:r>
        <w:rPr>
          <w:rFonts w:hint="eastAsia" w:ascii="方正楷体_GBK" w:hAnsi="方正楷体_GBK" w:eastAsia="方正楷体_GBK" w:cs="方正楷体_GBK"/>
          <w:b/>
          <w:spacing w:val="0"/>
          <w:kern w:val="0"/>
          <w:sz w:val="32"/>
          <w:szCs w:val="32"/>
          <w:highlight w:val="none"/>
        </w:rPr>
        <w:t>（一）一般公共预算收支决算情况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2024年，县级一般公共预算收入167606万元，完成调整预算数167200万元的100.24%，同比增收1672万元，增长1.01%，剔除一次性因素后，同口径增长10.4%。其中：税收收入129824万元，完成调整预算数129600万元的100.17%，同比增收9619万元，增长8%；非税收入37782万元，同比减收7947万元，下降17.38%。一般公共预算支出295937万元，完成调整预算数324140万元的91.3%，同比增支28764万元，增长10.77%。</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一般公共预算收支平衡情况</w:t>
      </w:r>
      <w:r>
        <w:rPr>
          <w:rFonts w:hint="eastAsia" w:ascii="Times New Roman" w:hAnsi="Times New Roman" w:eastAsia="方正仿宋_GBK" w:cs="Times New Roman"/>
          <w:spacing w:val="0"/>
          <w:kern w:val="0"/>
          <w:sz w:val="32"/>
          <w:szCs w:val="32"/>
          <w:highlight w:val="none"/>
          <w:lang w:eastAsia="zh-CN"/>
        </w:rPr>
        <w:t>：</w:t>
      </w:r>
      <w:r>
        <w:rPr>
          <w:rFonts w:hint="default" w:ascii="Times New Roman" w:hAnsi="Times New Roman" w:eastAsia="方正仿宋_GBK" w:cs="Times New Roman"/>
          <w:spacing w:val="0"/>
          <w:kern w:val="0"/>
          <w:sz w:val="32"/>
          <w:szCs w:val="32"/>
          <w:highlight w:val="none"/>
        </w:rPr>
        <w:t>2024年，县级一般公共预算收入167606万元，上级补助收入120187万元，一般债务转贷收入27824万元，调入资金63</w:t>
      </w:r>
      <w:r>
        <w:rPr>
          <w:rFonts w:hint="eastAsia" w:ascii="Times New Roman" w:hAnsi="Times New Roman" w:eastAsia="方正仿宋_GBK" w:cs="Times New Roman"/>
          <w:spacing w:val="0"/>
          <w:kern w:val="0"/>
          <w:sz w:val="32"/>
          <w:szCs w:val="32"/>
          <w:highlight w:val="none"/>
          <w:lang w:val="en-US" w:eastAsia="zh-CN"/>
        </w:rPr>
        <w:t>7</w:t>
      </w:r>
      <w:r>
        <w:rPr>
          <w:rFonts w:hint="default" w:ascii="Times New Roman" w:hAnsi="Times New Roman" w:eastAsia="方正仿宋_GBK" w:cs="Times New Roman"/>
          <w:spacing w:val="0"/>
          <w:kern w:val="0"/>
          <w:sz w:val="32"/>
          <w:szCs w:val="32"/>
          <w:highlight w:val="none"/>
        </w:rPr>
        <w:t>万元，上年结转44528万元，动用预算稳定调节基金184万元，收入合计360966万元；一般公共预算支出295937万元，上解支出14387万元，调出资金32万元，一般债务还本支出22001万元，结转下年28203万元，安排预算稳定调节基金406万元，支出合计360966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楷体_GBK" w:hAnsi="方正楷体_GBK" w:eastAsia="方正楷体_GBK" w:cs="方正楷体_GBK"/>
          <w:b/>
          <w:spacing w:val="0"/>
          <w:kern w:val="0"/>
          <w:sz w:val="32"/>
          <w:szCs w:val="32"/>
          <w:highlight w:val="none"/>
        </w:rPr>
      </w:pPr>
      <w:r>
        <w:rPr>
          <w:rFonts w:hint="eastAsia" w:ascii="方正楷体_GBK" w:hAnsi="方正楷体_GBK" w:eastAsia="方正楷体_GBK" w:cs="方正楷体_GBK"/>
          <w:b/>
          <w:spacing w:val="0"/>
          <w:kern w:val="0"/>
          <w:sz w:val="32"/>
          <w:szCs w:val="32"/>
          <w:highlight w:val="none"/>
        </w:rPr>
        <w:t>（二）政府性基金预算收支决算情况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2024年，县级政府性基金预算收入20331万元，完成调整预算数20250万元的100.4%，同比增收</w:t>
      </w:r>
      <w:r>
        <w:rPr>
          <w:rFonts w:hint="default" w:ascii="Times New Roman" w:hAnsi="Times New Roman" w:eastAsia="方正仿宋_GBK" w:cs="Times New Roman"/>
          <w:color w:val="000000"/>
          <w:spacing w:val="0"/>
          <w:kern w:val="0"/>
          <w:sz w:val="32"/>
          <w:szCs w:val="32"/>
          <w:highlight w:val="none"/>
        </w:rPr>
        <w:t>7250</w:t>
      </w:r>
      <w:r>
        <w:rPr>
          <w:rFonts w:hint="default" w:ascii="Times New Roman" w:hAnsi="Times New Roman" w:eastAsia="方正仿宋_GBK" w:cs="Times New Roman"/>
          <w:spacing w:val="0"/>
          <w:kern w:val="0"/>
          <w:sz w:val="32"/>
          <w:szCs w:val="32"/>
          <w:highlight w:val="none"/>
        </w:rPr>
        <w:t>万元，增长55.42%。政府性基金预算支出81503万元，完成调整预算数110283万元的73.9%，同比增支21675万元，增长36.23%。</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政府性基金收支平衡情况：2024年，县级政府性基金预算收入20331万元，上级补助收入4514万元，专项债务转贷收入119660万元，调入资金32万元，上年结转23078万元，收入合计167615万元；政府性基金预算支出81503万元，专项债务还本支出57300万元，调出资金32万元，结转下年28780万元，支出合计167615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楷体_GBK" w:hAnsi="方正楷体_GBK" w:eastAsia="方正楷体_GBK" w:cs="方正楷体_GBK"/>
          <w:b/>
          <w:spacing w:val="0"/>
          <w:kern w:val="0"/>
          <w:sz w:val="32"/>
          <w:szCs w:val="32"/>
          <w:highlight w:val="none"/>
        </w:rPr>
      </w:pPr>
      <w:r>
        <w:rPr>
          <w:rFonts w:hint="eastAsia" w:ascii="方正楷体_GBK" w:hAnsi="方正楷体_GBK" w:eastAsia="方正楷体_GBK" w:cs="方正楷体_GBK"/>
          <w:b/>
          <w:spacing w:val="0"/>
          <w:kern w:val="0"/>
          <w:sz w:val="32"/>
          <w:szCs w:val="32"/>
          <w:highlight w:val="none"/>
        </w:rPr>
        <w:t>（三）国有资本经营预算收支决算情况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2024年，县级国有资本经营预算收入605万元，上级补助收入25万元，上年结转结余83万元，收入合计713万元；国有资本经营预算支出83万元，调出资金605万元，结转下年25万元，支出合计713万元。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楷体_GBK" w:hAnsi="方正楷体_GBK" w:eastAsia="方正楷体_GBK" w:cs="方正楷体_GBK"/>
          <w:b/>
          <w:spacing w:val="0"/>
          <w:kern w:val="0"/>
          <w:sz w:val="32"/>
          <w:szCs w:val="32"/>
          <w:highlight w:val="none"/>
        </w:rPr>
      </w:pPr>
      <w:r>
        <w:rPr>
          <w:rFonts w:hint="eastAsia" w:ascii="方正楷体_GBK" w:hAnsi="方正楷体_GBK" w:eastAsia="方正楷体_GBK" w:cs="方正楷体_GBK"/>
          <w:b/>
          <w:spacing w:val="0"/>
          <w:kern w:val="0"/>
          <w:sz w:val="32"/>
          <w:szCs w:val="32"/>
          <w:highlight w:val="none"/>
        </w:rPr>
        <w:t>（四）社会保险基金预算收支决算情况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按上级政策规定，从2018年起，全县社会保险基金上划市级统管，县级不再编制社会保险基金预算。</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方正黑体_GBK" w:hAnsi="方正黑体_GBK" w:eastAsia="方正黑体_GBK" w:cs="方正黑体_GBK"/>
          <w:spacing w:val="0"/>
          <w:kern w:val="0"/>
          <w:sz w:val="32"/>
          <w:szCs w:val="32"/>
          <w:highlight w:val="none"/>
        </w:rPr>
      </w:pPr>
      <w:r>
        <w:rPr>
          <w:rFonts w:hint="eastAsia" w:ascii="方正黑体_GBK" w:hAnsi="方正黑体_GBK" w:eastAsia="方正黑体_GBK" w:cs="方正黑体_GBK"/>
          <w:spacing w:val="0"/>
          <w:kern w:val="0"/>
          <w:sz w:val="32"/>
          <w:szCs w:val="32"/>
          <w:highlight w:val="none"/>
        </w:rPr>
        <w:t>二、地方政府债务情况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2023年末全县地方政府法定债务余额345062万元，2024年新增地方政府债券和因外债汇率变动增加政府债务合计147491万元，偿还到期政府债务43401万元，2024年末全县地方政府法定债务余额449152万元，在政府法定债务限额530509万元内，债务风险总体可控。</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方正黑体_GBK" w:hAnsi="方正黑体_GBK" w:eastAsia="方正黑体_GBK" w:cs="方正黑体_GBK"/>
          <w:spacing w:val="0"/>
          <w:kern w:val="0"/>
          <w:sz w:val="32"/>
          <w:szCs w:val="32"/>
          <w:highlight w:val="none"/>
        </w:rPr>
      </w:pPr>
      <w:r>
        <w:rPr>
          <w:rFonts w:hint="eastAsia" w:ascii="方正黑体_GBK" w:hAnsi="方正黑体_GBK" w:eastAsia="方正黑体_GBK" w:cs="方正黑体_GBK"/>
          <w:spacing w:val="0"/>
          <w:kern w:val="0"/>
          <w:sz w:val="32"/>
          <w:szCs w:val="32"/>
          <w:highlight w:val="none"/>
        </w:rPr>
        <w:t>三、财政支出挂账和存量资金盘活情况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楷体_GBK" w:hAnsi="方正楷体_GBK" w:eastAsia="方正楷体_GBK" w:cs="方正楷体_GBK"/>
          <w:b/>
          <w:spacing w:val="0"/>
          <w:kern w:val="0"/>
          <w:sz w:val="32"/>
          <w:szCs w:val="32"/>
          <w:highlight w:val="none"/>
        </w:rPr>
      </w:pPr>
      <w:r>
        <w:rPr>
          <w:rFonts w:hint="eastAsia" w:ascii="方正楷体_GBK" w:hAnsi="方正楷体_GBK" w:eastAsia="方正楷体_GBK" w:cs="方正楷体_GBK"/>
          <w:b/>
          <w:spacing w:val="0"/>
          <w:kern w:val="0"/>
          <w:sz w:val="32"/>
          <w:szCs w:val="32"/>
          <w:highlight w:val="none"/>
        </w:rPr>
        <w:t>（一）财政支出挂账情况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2024年，县财政共消化暂付款184万元，当年无新增。截至2024年12月31日，支出挂账累计余额78556万元。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楷体_GBK" w:hAnsi="方正楷体_GBK" w:eastAsia="方正楷体_GBK" w:cs="方正楷体_GBK"/>
          <w:b/>
          <w:spacing w:val="0"/>
          <w:kern w:val="0"/>
          <w:sz w:val="32"/>
          <w:szCs w:val="32"/>
          <w:highlight w:val="none"/>
        </w:rPr>
      </w:pPr>
      <w:r>
        <w:rPr>
          <w:rFonts w:hint="eastAsia" w:ascii="方正楷体_GBK" w:hAnsi="方正楷体_GBK" w:eastAsia="方正楷体_GBK" w:cs="方正楷体_GBK"/>
          <w:b/>
          <w:spacing w:val="0"/>
          <w:kern w:val="0"/>
          <w:sz w:val="32"/>
          <w:szCs w:val="32"/>
          <w:highlight w:val="none"/>
        </w:rPr>
        <w:t>（二）存量资金盘活情况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pacing w:val="0"/>
          <w:kern w:val="0"/>
          <w:sz w:val="32"/>
          <w:szCs w:val="32"/>
          <w:highlight w:val="none"/>
        </w:rPr>
      </w:pPr>
      <w:r>
        <w:rPr>
          <w:rFonts w:hint="default" w:ascii="Times New Roman" w:hAnsi="Times New Roman" w:eastAsia="方正仿宋_GBK" w:cs="Times New Roman"/>
          <w:spacing w:val="0"/>
          <w:kern w:val="0"/>
          <w:sz w:val="32"/>
          <w:szCs w:val="32"/>
          <w:highlight w:val="none"/>
        </w:rPr>
        <w:t>2024年，盘活全县各单位存量资金19103万元（同比增加11985万元，增长168.38%），上年结转92万元，合计19195万元。其中：存量资金安排支出17810万元，化解暂付款184万元，存量资金年终余额1201万元。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方正黑体_GBK" w:hAnsi="方正黑体_GBK" w:eastAsia="方正黑体_GBK" w:cs="方正黑体_GBK"/>
          <w:spacing w:val="0"/>
          <w:kern w:val="0"/>
          <w:sz w:val="32"/>
          <w:szCs w:val="32"/>
          <w:highlight w:val="none"/>
        </w:rPr>
      </w:pPr>
      <w:r>
        <w:rPr>
          <w:rFonts w:hint="eastAsia" w:ascii="方正黑体_GBK" w:hAnsi="方正黑体_GBK" w:eastAsia="方正黑体_GBK" w:cs="方正黑体_GBK"/>
          <w:spacing w:val="0"/>
          <w:kern w:val="0"/>
          <w:sz w:val="32"/>
          <w:szCs w:val="32"/>
          <w:highlight w:val="none"/>
        </w:rPr>
        <w:t>四、</w:t>
      </w:r>
      <w:r>
        <w:rPr>
          <w:rFonts w:hint="default" w:ascii="Times New Roman" w:hAnsi="Times New Roman" w:eastAsia="方正黑体_GBK" w:cs="Times New Roman"/>
          <w:spacing w:val="0"/>
          <w:kern w:val="0"/>
          <w:sz w:val="32"/>
          <w:szCs w:val="32"/>
          <w:highlight w:val="none"/>
        </w:rPr>
        <w:t>2024</w:t>
      </w:r>
      <w:r>
        <w:rPr>
          <w:rFonts w:hint="eastAsia" w:ascii="方正黑体_GBK" w:hAnsi="方正黑体_GBK" w:eastAsia="方正黑体_GBK" w:cs="方正黑体_GBK"/>
          <w:spacing w:val="0"/>
          <w:kern w:val="0"/>
          <w:sz w:val="32"/>
          <w:szCs w:val="32"/>
          <w:highlight w:val="none"/>
        </w:rPr>
        <w:t>年财政工作开展情况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楷体_GBK" w:hAnsi="方正楷体_GBK" w:eastAsia="方正楷体_GBK" w:cs="方正楷体_GBK"/>
          <w:b/>
          <w:bCs/>
          <w:spacing w:val="0"/>
          <w:kern w:val="0"/>
          <w:sz w:val="32"/>
          <w:szCs w:val="32"/>
          <w:highlight w:val="none"/>
        </w:rPr>
      </w:pPr>
      <w:r>
        <w:rPr>
          <w:rFonts w:hint="eastAsia" w:ascii="方正楷体_GBK" w:hAnsi="方正楷体_GBK" w:eastAsia="方正楷体_GBK" w:cs="方正楷体_GBK"/>
          <w:b/>
          <w:bCs/>
          <w:spacing w:val="0"/>
          <w:kern w:val="0"/>
          <w:sz w:val="32"/>
          <w:szCs w:val="32"/>
          <w:highlight w:val="none"/>
        </w:rPr>
        <w:t>（一）强化组织协作，壮大收入来源</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仿宋_GBK" w:hAnsi="方正仿宋_GBK" w:eastAsia="方正仿宋_GBK" w:cs="方正仿宋_GBK"/>
          <w:color w:val="000000"/>
          <w:spacing w:val="0"/>
          <w:kern w:val="0"/>
          <w:sz w:val="32"/>
          <w:szCs w:val="32"/>
          <w:highlight w:val="none"/>
        </w:rPr>
      </w:pPr>
      <w:r>
        <w:rPr>
          <w:rFonts w:hint="eastAsia" w:ascii="方正仿宋_GBK" w:hAnsi="方正仿宋_GBK" w:eastAsia="方正仿宋_GBK" w:cs="方正仿宋_GBK"/>
          <w:b/>
          <w:bCs/>
          <w:color w:val="000000"/>
          <w:spacing w:val="0"/>
          <w:kern w:val="0"/>
          <w:sz w:val="32"/>
          <w:szCs w:val="32"/>
          <w:highlight w:val="none"/>
        </w:rPr>
        <w:t>培财源强基础。</w:t>
      </w:r>
      <w:r>
        <w:rPr>
          <w:rFonts w:hint="eastAsia" w:ascii="方正仿宋_GBK" w:hAnsi="方正仿宋_GBK" w:eastAsia="方正仿宋_GBK" w:cs="方正仿宋_GBK"/>
          <w:color w:val="000000"/>
          <w:spacing w:val="0"/>
          <w:kern w:val="0"/>
          <w:sz w:val="32"/>
          <w:szCs w:val="32"/>
          <w:highlight w:val="none"/>
        </w:rPr>
        <w:t>坚决贯彻执行中央、省、市、县稳住经济增长若干措施，</w:t>
      </w:r>
      <w:r>
        <w:rPr>
          <w:rFonts w:hint="eastAsia" w:ascii="方正仿宋_GBK" w:hAnsi="方正仿宋_GBK" w:eastAsia="方正仿宋_GBK" w:cs="方正仿宋_GBK"/>
          <w:spacing w:val="0"/>
          <w:kern w:val="0"/>
          <w:sz w:val="32"/>
          <w:szCs w:val="32"/>
          <w:highlight w:val="none"/>
        </w:rPr>
        <w:t>全力推动延续优化完善税费优惠政策在米易落地生根，全年减免各项税费</w:t>
      </w:r>
      <w:r>
        <w:rPr>
          <w:rFonts w:hint="default" w:ascii="Times New Roman" w:hAnsi="Times New Roman" w:eastAsia="方正仿宋_GBK" w:cs="Times New Roman"/>
          <w:spacing w:val="0"/>
          <w:kern w:val="0"/>
          <w:sz w:val="32"/>
          <w:szCs w:val="32"/>
          <w:highlight w:val="none"/>
        </w:rPr>
        <w:t>6.77</w:t>
      </w:r>
      <w:r>
        <w:rPr>
          <w:rFonts w:hint="eastAsia" w:ascii="方正仿宋_GBK" w:hAnsi="方正仿宋_GBK" w:eastAsia="方正仿宋_GBK" w:cs="方正仿宋_GBK"/>
          <w:spacing w:val="0"/>
          <w:kern w:val="0"/>
          <w:sz w:val="32"/>
          <w:szCs w:val="32"/>
          <w:highlight w:val="none"/>
        </w:rPr>
        <w:t>亿元。大力实施财金互动，搭建政银企合作平台，与人民银行攀枝花市分行、攀枝花农商银行等签订政银战略合作协议</w:t>
      </w:r>
      <w:r>
        <w:rPr>
          <w:rFonts w:hint="eastAsia" w:ascii="方正仿宋_GBK" w:hAnsi="方正仿宋_GBK" w:eastAsia="方正仿宋_GBK" w:cs="方正仿宋_GBK"/>
          <w:color w:val="000000"/>
          <w:spacing w:val="0"/>
          <w:kern w:val="0"/>
          <w:sz w:val="32"/>
          <w:szCs w:val="32"/>
          <w:highlight w:val="none"/>
        </w:rPr>
        <w:t>，推动</w:t>
      </w:r>
      <w:r>
        <w:rPr>
          <w:rFonts w:hint="eastAsia" w:ascii="方正仿宋_GBK" w:hAnsi="方正仿宋_GBK" w:eastAsia="方正仿宋_GBK" w:cs="方正仿宋_GBK"/>
          <w:bCs/>
          <w:spacing w:val="0"/>
          <w:kern w:val="0"/>
          <w:sz w:val="32"/>
          <w:szCs w:val="32"/>
          <w:highlight w:val="none"/>
        </w:rPr>
        <w:t>支持金融机构降利率、延期限，</w:t>
      </w:r>
      <w:r>
        <w:rPr>
          <w:rFonts w:hint="eastAsia" w:ascii="方正仿宋_GBK" w:hAnsi="方正仿宋_GBK" w:eastAsia="方正仿宋_GBK" w:cs="方正仿宋_GBK"/>
          <w:spacing w:val="0"/>
          <w:kern w:val="0"/>
          <w:sz w:val="32"/>
          <w:szCs w:val="32"/>
          <w:highlight w:val="none"/>
        </w:rPr>
        <w:t>全年县域金融机构</w:t>
      </w:r>
      <w:r>
        <w:rPr>
          <w:rFonts w:hint="eastAsia" w:ascii="方正仿宋_GBK" w:hAnsi="方正仿宋_GBK" w:eastAsia="方正仿宋_GBK" w:cs="方正仿宋_GBK"/>
          <w:color w:val="000000"/>
          <w:spacing w:val="0"/>
          <w:kern w:val="0"/>
          <w:sz w:val="32"/>
          <w:szCs w:val="32"/>
          <w:highlight w:val="none"/>
        </w:rPr>
        <w:t>为企业授信</w:t>
      </w:r>
      <w:r>
        <w:rPr>
          <w:rFonts w:hint="default" w:ascii="Times New Roman" w:hAnsi="Times New Roman" w:eastAsia="方正仿宋_GBK" w:cs="Times New Roman"/>
          <w:color w:val="000000"/>
          <w:spacing w:val="0"/>
          <w:kern w:val="0"/>
          <w:sz w:val="32"/>
          <w:szCs w:val="32"/>
          <w:highlight w:val="none"/>
        </w:rPr>
        <w:t>33</w:t>
      </w:r>
      <w:r>
        <w:rPr>
          <w:rFonts w:hint="eastAsia" w:ascii="方正仿宋_GBK" w:hAnsi="方正仿宋_GBK" w:eastAsia="方正仿宋_GBK" w:cs="方正仿宋_GBK"/>
          <w:color w:val="000000"/>
          <w:spacing w:val="0"/>
          <w:kern w:val="0"/>
          <w:sz w:val="32"/>
          <w:szCs w:val="32"/>
          <w:highlight w:val="none"/>
        </w:rPr>
        <w:t>亿元、发放贷款</w:t>
      </w:r>
      <w:r>
        <w:rPr>
          <w:rFonts w:hint="default" w:ascii="Times New Roman" w:hAnsi="Times New Roman" w:eastAsia="方正仿宋_GBK" w:cs="Times New Roman"/>
          <w:spacing w:val="0"/>
          <w:kern w:val="0"/>
          <w:sz w:val="32"/>
          <w:szCs w:val="32"/>
          <w:highlight w:val="none"/>
        </w:rPr>
        <w:t>25</w:t>
      </w:r>
      <w:r>
        <w:rPr>
          <w:rFonts w:hint="eastAsia" w:ascii="方正仿宋_GBK" w:hAnsi="方正仿宋_GBK" w:eastAsia="方正仿宋_GBK" w:cs="方正仿宋_GBK"/>
          <w:spacing w:val="0"/>
          <w:kern w:val="0"/>
          <w:sz w:val="32"/>
          <w:szCs w:val="32"/>
          <w:highlight w:val="none"/>
        </w:rPr>
        <w:t>亿元</w:t>
      </w:r>
      <w:r>
        <w:rPr>
          <w:rFonts w:hint="eastAsia" w:ascii="方正仿宋_GBK" w:hAnsi="方正仿宋_GBK" w:eastAsia="方正仿宋_GBK" w:cs="方正仿宋_GBK"/>
          <w:color w:val="000000"/>
          <w:spacing w:val="0"/>
          <w:kern w:val="0"/>
          <w:sz w:val="32"/>
          <w:szCs w:val="32"/>
          <w:highlight w:val="none"/>
        </w:rPr>
        <w:t>。全面落实</w:t>
      </w:r>
      <w:r>
        <w:rPr>
          <w:rFonts w:hint="eastAsia" w:ascii="方正仿宋_GBK" w:hAnsi="方正仿宋_GBK" w:eastAsia="方正仿宋_GBK" w:cs="方正仿宋_GBK"/>
          <w:spacing w:val="0"/>
          <w:kern w:val="0"/>
          <w:sz w:val="32"/>
          <w:szCs w:val="32"/>
          <w:highlight w:val="none"/>
        </w:rPr>
        <w:t>经济持续回升向好政策措施，用好用活重大项目前期经费，推动</w:t>
      </w:r>
      <w:r>
        <w:rPr>
          <w:rFonts w:hint="default" w:ascii="Times New Roman" w:hAnsi="Times New Roman" w:eastAsia="方正仿宋_GBK" w:cs="Times New Roman"/>
          <w:spacing w:val="0"/>
          <w:kern w:val="0"/>
          <w:sz w:val="32"/>
          <w:szCs w:val="32"/>
          <w:highlight w:val="none"/>
        </w:rPr>
        <w:t>9</w:t>
      </w:r>
      <w:r>
        <w:rPr>
          <w:rFonts w:hint="eastAsia" w:ascii="方正仿宋_GBK" w:hAnsi="方正仿宋_GBK" w:eastAsia="方正仿宋_GBK" w:cs="方正仿宋_GBK"/>
          <w:spacing w:val="0"/>
          <w:kern w:val="0"/>
          <w:sz w:val="32"/>
          <w:szCs w:val="32"/>
          <w:highlight w:val="none"/>
        </w:rPr>
        <w:t>个省、市、县项目加快建设。及时拨付“两新”资金，</w:t>
      </w:r>
      <w:r>
        <w:rPr>
          <w:rFonts w:hint="eastAsia" w:ascii="方正仿宋_GBK" w:hAnsi="方正仿宋_GBK" w:eastAsia="方正仿宋_GBK" w:cs="方正仿宋_GBK"/>
          <w:color w:val="000000"/>
          <w:spacing w:val="0"/>
          <w:kern w:val="0"/>
          <w:sz w:val="32"/>
          <w:szCs w:val="32"/>
          <w:highlight w:val="none"/>
        </w:rPr>
        <w:t>用好</w:t>
      </w:r>
      <w:r>
        <w:rPr>
          <w:rFonts w:hint="eastAsia" w:ascii="方正仿宋_GBK" w:hAnsi="方正仿宋_GBK" w:eastAsia="方正仿宋_GBK" w:cs="方正仿宋_GBK"/>
          <w:spacing w:val="0"/>
          <w:kern w:val="0"/>
          <w:sz w:val="32"/>
          <w:szCs w:val="32"/>
          <w:highlight w:val="none"/>
        </w:rPr>
        <w:t>惠企政策，推动新增</w:t>
      </w:r>
      <w:r>
        <w:rPr>
          <w:rFonts w:hint="default" w:ascii="Times New Roman" w:hAnsi="Times New Roman" w:eastAsia="方正仿宋_GBK" w:cs="Times New Roman"/>
          <w:spacing w:val="0"/>
          <w:kern w:val="0"/>
          <w:sz w:val="32"/>
          <w:szCs w:val="32"/>
          <w:highlight w:val="none"/>
        </w:rPr>
        <w:t>17</w:t>
      </w:r>
      <w:r>
        <w:rPr>
          <w:rFonts w:hint="eastAsia" w:ascii="方正仿宋_GBK" w:hAnsi="方正仿宋_GBK" w:eastAsia="方正仿宋_GBK" w:cs="方正仿宋_GBK"/>
          <w:spacing w:val="0"/>
          <w:kern w:val="0"/>
          <w:sz w:val="32"/>
          <w:szCs w:val="32"/>
          <w:highlight w:val="none"/>
        </w:rPr>
        <w:t>户企业升规入统。</w:t>
      </w:r>
      <w:r>
        <w:rPr>
          <w:rFonts w:hint="eastAsia" w:ascii="方正仿宋_GBK" w:hAnsi="方正仿宋_GBK" w:eastAsia="方正仿宋_GBK" w:cs="方正仿宋_GBK"/>
          <w:color w:val="000000"/>
          <w:spacing w:val="0"/>
          <w:kern w:val="0"/>
          <w:sz w:val="32"/>
          <w:szCs w:val="32"/>
          <w:highlight w:val="none"/>
          <w:lang w:bidi="ar"/>
        </w:rPr>
        <w:t>下达园区建设、企业技改扩能等资金</w:t>
      </w:r>
      <w:r>
        <w:rPr>
          <w:rFonts w:hint="default" w:ascii="Times New Roman" w:hAnsi="Times New Roman" w:eastAsia="方正仿宋_GBK" w:cs="Times New Roman"/>
          <w:color w:val="000000"/>
          <w:spacing w:val="0"/>
          <w:kern w:val="0"/>
          <w:sz w:val="32"/>
          <w:szCs w:val="32"/>
          <w:highlight w:val="none"/>
          <w:lang w:bidi="ar"/>
        </w:rPr>
        <w:t>12269</w:t>
      </w:r>
      <w:r>
        <w:rPr>
          <w:rFonts w:hint="eastAsia" w:ascii="方正仿宋_GBK" w:hAnsi="方正仿宋_GBK" w:eastAsia="方正仿宋_GBK" w:cs="方正仿宋_GBK"/>
          <w:color w:val="000000"/>
          <w:spacing w:val="0"/>
          <w:kern w:val="0"/>
          <w:sz w:val="32"/>
          <w:szCs w:val="32"/>
          <w:highlight w:val="none"/>
          <w:lang w:bidi="ar"/>
        </w:rPr>
        <w:t>万元</w:t>
      </w:r>
      <w:r>
        <w:rPr>
          <w:rFonts w:hint="eastAsia" w:ascii="方正仿宋_GBK" w:hAnsi="方正仿宋_GBK" w:eastAsia="方正仿宋_GBK" w:cs="方正仿宋_GBK"/>
          <w:spacing w:val="0"/>
          <w:kern w:val="0"/>
          <w:sz w:val="32"/>
          <w:szCs w:val="32"/>
          <w:highlight w:val="none"/>
        </w:rPr>
        <w:t>，</w:t>
      </w:r>
      <w:r>
        <w:rPr>
          <w:rFonts w:hint="eastAsia" w:ascii="方正仿宋_GBK" w:hAnsi="方正仿宋_GBK" w:eastAsia="方正仿宋_GBK" w:cs="方正仿宋_GBK"/>
          <w:color w:val="000000"/>
          <w:spacing w:val="0"/>
          <w:kern w:val="0"/>
          <w:sz w:val="32"/>
          <w:szCs w:val="32"/>
          <w:highlight w:val="none"/>
          <w:lang w:bidi="ar"/>
        </w:rPr>
        <w:t>支持园区</w:t>
      </w:r>
      <w:r>
        <w:rPr>
          <w:rFonts w:hint="eastAsia" w:ascii="方正仿宋_GBK" w:hAnsi="方正仿宋_GBK" w:eastAsia="方正仿宋_GBK" w:cs="方正仿宋_GBK"/>
          <w:snapToGrid w:val="0"/>
          <w:spacing w:val="0"/>
          <w:kern w:val="0"/>
          <w:sz w:val="32"/>
          <w:szCs w:val="32"/>
          <w:highlight w:val="none"/>
        </w:rPr>
        <w:t>基础设施不断完善</w:t>
      </w:r>
      <w:r>
        <w:rPr>
          <w:rFonts w:hint="eastAsia" w:ascii="方正仿宋_GBK" w:hAnsi="方正仿宋_GBK" w:eastAsia="方正仿宋_GBK" w:cs="方正仿宋_GBK"/>
          <w:spacing w:val="0"/>
          <w:kern w:val="0"/>
          <w:sz w:val="32"/>
          <w:szCs w:val="32"/>
          <w:highlight w:val="none"/>
        </w:rPr>
        <w:t>，助力企业持续发展，培育新的经济增长点</w:t>
      </w:r>
      <w:r>
        <w:rPr>
          <w:rFonts w:hint="eastAsia" w:ascii="方正仿宋_GBK" w:hAnsi="方正仿宋_GBK" w:eastAsia="方正仿宋_GBK" w:cs="方正仿宋_GBK"/>
          <w:color w:val="000000"/>
          <w:spacing w:val="0"/>
          <w:kern w:val="0"/>
          <w:sz w:val="32"/>
          <w:szCs w:val="32"/>
          <w:highlight w:val="none"/>
          <w:lang w:bidi="ar"/>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仿宋_GBK" w:hAnsi="方正仿宋_GBK" w:eastAsia="方正仿宋_GBK" w:cs="方正仿宋_GBK"/>
          <w:color w:val="000000"/>
          <w:spacing w:val="0"/>
          <w:kern w:val="0"/>
          <w:sz w:val="32"/>
          <w:szCs w:val="32"/>
          <w:highlight w:val="none"/>
        </w:rPr>
      </w:pPr>
      <w:r>
        <w:rPr>
          <w:rFonts w:hint="eastAsia" w:ascii="方正仿宋_GBK" w:hAnsi="方正仿宋_GBK" w:eastAsia="方正仿宋_GBK" w:cs="方正仿宋_GBK"/>
          <w:b/>
          <w:bCs/>
          <w:spacing w:val="0"/>
          <w:kern w:val="0"/>
          <w:sz w:val="32"/>
          <w:szCs w:val="32"/>
          <w:highlight w:val="none"/>
        </w:rPr>
        <w:t>强协作抓收入。</w:t>
      </w:r>
      <w:r>
        <w:rPr>
          <w:rFonts w:hint="eastAsia" w:ascii="方正仿宋_GBK" w:hAnsi="方正仿宋_GBK" w:eastAsia="方正仿宋_GBK" w:cs="方正仿宋_GBK"/>
          <w:color w:val="000000"/>
          <w:spacing w:val="0"/>
          <w:kern w:val="0"/>
          <w:sz w:val="32"/>
          <w:szCs w:val="32"/>
          <w:highlight w:val="none"/>
        </w:rPr>
        <w:t>加强财税联动，强化收入形势分析研究，深入关注</w:t>
      </w:r>
      <w:r>
        <w:rPr>
          <w:rFonts w:hint="eastAsia" w:ascii="方正仿宋_GBK" w:hAnsi="方正仿宋_GBK" w:eastAsia="方正仿宋_GBK" w:cs="方正仿宋_GBK"/>
          <w:spacing w:val="0"/>
          <w:kern w:val="0"/>
          <w:sz w:val="32"/>
          <w:szCs w:val="32"/>
          <w:highlight w:val="none"/>
        </w:rPr>
        <w:t>重点企业、重点项目，督促推动新白马关联交易价格调整，强化重点税源企业管理。加强欠税清缴，开展风险扫描与应对，积蓄增收潜能</w:t>
      </w:r>
      <w:r>
        <w:rPr>
          <w:rFonts w:hint="eastAsia" w:ascii="方正仿宋_GBK" w:hAnsi="方正仿宋_GBK" w:eastAsia="方正仿宋_GBK" w:cs="方正仿宋_GBK"/>
          <w:color w:val="000000"/>
          <w:spacing w:val="0"/>
          <w:kern w:val="0"/>
          <w:sz w:val="32"/>
          <w:szCs w:val="32"/>
          <w:highlight w:val="none"/>
        </w:rPr>
        <w:t>，依法加大税收征管力度。</w:t>
      </w:r>
      <w:r>
        <w:rPr>
          <w:rFonts w:hint="eastAsia" w:ascii="方正仿宋_GBK" w:hAnsi="方正仿宋_GBK" w:eastAsia="方正仿宋_GBK" w:cs="方正仿宋_GBK"/>
          <w:spacing w:val="0"/>
          <w:kern w:val="0"/>
          <w:sz w:val="32"/>
          <w:szCs w:val="32"/>
          <w:highlight w:val="none"/>
        </w:rPr>
        <w:t>持续加强非税收入征缴和监管，确保非税收入足额依法依规入库</w:t>
      </w:r>
      <w:r>
        <w:rPr>
          <w:rFonts w:hint="eastAsia" w:ascii="方正仿宋_GBK" w:hAnsi="方正仿宋_GBK" w:eastAsia="方正仿宋_GBK" w:cs="方正仿宋_GBK"/>
          <w:color w:val="000000"/>
          <w:spacing w:val="0"/>
          <w:kern w:val="0"/>
          <w:sz w:val="32"/>
          <w:szCs w:val="32"/>
          <w:highlight w:val="none"/>
        </w:rPr>
        <w:t>。</w:t>
      </w:r>
      <w:r>
        <w:rPr>
          <w:rFonts w:hint="default" w:ascii="Times New Roman" w:hAnsi="Times New Roman" w:eastAsia="方正仿宋_GBK" w:cs="Times New Roman"/>
          <w:color w:val="000000"/>
          <w:spacing w:val="0"/>
          <w:kern w:val="0"/>
          <w:sz w:val="32"/>
          <w:szCs w:val="32"/>
          <w:highlight w:val="none"/>
        </w:rPr>
        <w:t>2024年，县级</w:t>
      </w:r>
      <w:r>
        <w:rPr>
          <w:rFonts w:hint="default" w:ascii="Times New Roman" w:hAnsi="Times New Roman" w:eastAsia="方正仿宋_GBK" w:cs="Times New Roman"/>
          <w:spacing w:val="0"/>
          <w:kern w:val="0"/>
          <w:sz w:val="32"/>
          <w:szCs w:val="32"/>
          <w:highlight w:val="none"/>
        </w:rPr>
        <w:t>一般公共预算收入完成167606万元，同口径增长10.4%，再创历史新高；税收收入完成129824万元，占一般公共预算收入的比重达77.46%，较上年提高5.02个百分点</w:t>
      </w:r>
      <w:r>
        <w:rPr>
          <w:rFonts w:hint="eastAsia" w:ascii="方正仿宋_GBK" w:hAnsi="方正仿宋_GBK" w:eastAsia="方正仿宋_GBK" w:cs="方正仿宋_GBK"/>
          <w:spacing w:val="0"/>
          <w:kern w:val="0"/>
          <w:sz w:val="32"/>
          <w:szCs w:val="32"/>
          <w:highlight w:val="none"/>
        </w:rPr>
        <w:t>，收入结构趋于稳定，收入质量</w:t>
      </w:r>
      <w:r>
        <w:rPr>
          <w:rFonts w:hint="eastAsia" w:ascii="方正仿宋_GBK" w:hAnsi="方正仿宋_GBK" w:eastAsia="方正仿宋_GBK" w:cs="方正仿宋_GBK"/>
          <w:color w:val="000000"/>
          <w:spacing w:val="0"/>
          <w:kern w:val="0"/>
          <w:sz w:val="32"/>
          <w:szCs w:val="32"/>
          <w:highlight w:val="none"/>
        </w:rPr>
        <w:t>不断提高。</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仿宋_GBK" w:hAnsi="方正仿宋_GBK" w:eastAsia="方正仿宋_GBK" w:cs="方正仿宋_GBK"/>
          <w:color w:val="000000"/>
          <w:spacing w:val="0"/>
          <w:kern w:val="0"/>
          <w:sz w:val="32"/>
          <w:szCs w:val="32"/>
          <w:highlight w:val="none"/>
        </w:rPr>
      </w:pPr>
      <w:r>
        <w:rPr>
          <w:rFonts w:hint="eastAsia" w:ascii="方正仿宋_GBK" w:hAnsi="方正仿宋_GBK" w:eastAsia="方正仿宋_GBK" w:cs="方正仿宋_GBK"/>
          <w:b/>
          <w:bCs/>
          <w:color w:val="000000"/>
          <w:spacing w:val="0"/>
          <w:kern w:val="0"/>
          <w:sz w:val="32"/>
          <w:szCs w:val="32"/>
          <w:highlight w:val="none"/>
        </w:rPr>
        <w:t>重研判筹资金。</w:t>
      </w:r>
      <w:r>
        <w:rPr>
          <w:rFonts w:hint="eastAsia" w:ascii="方正仿宋_GBK" w:hAnsi="方正仿宋_GBK" w:eastAsia="方正仿宋_GBK" w:cs="方正仿宋_GBK"/>
          <w:spacing w:val="0"/>
          <w:kern w:val="0"/>
          <w:sz w:val="32"/>
          <w:szCs w:val="32"/>
          <w:highlight w:val="none"/>
        </w:rPr>
        <w:t>抓住“建设共同富裕试验区”和安宁河流域高质量发展等有利契机，</w:t>
      </w:r>
      <w:r>
        <w:rPr>
          <w:rFonts w:hint="eastAsia" w:ascii="方正仿宋_GBK" w:hAnsi="方正仿宋_GBK" w:eastAsia="方正仿宋_GBK" w:cs="方正仿宋_GBK"/>
          <w:color w:val="000000"/>
          <w:spacing w:val="0"/>
          <w:kern w:val="0"/>
          <w:sz w:val="32"/>
          <w:szCs w:val="32"/>
          <w:highlight w:val="none"/>
        </w:rPr>
        <w:t>加强政策研判，</w:t>
      </w:r>
      <w:r>
        <w:rPr>
          <w:rFonts w:hint="eastAsia" w:ascii="方正仿宋_GBK" w:hAnsi="方正仿宋_GBK" w:eastAsia="方正仿宋_GBK" w:cs="方正仿宋_GBK"/>
          <w:spacing w:val="0"/>
          <w:kern w:val="0"/>
          <w:sz w:val="32"/>
          <w:szCs w:val="32"/>
          <w:highlight w:val="none"/>
        </w:rPr>
        <w:t>实时掌握国家政策导向和资金投向，有针对性储备申报项目。梳理“点对点”争资台账，加大对争资工作经费保障和考核评价，支持和引导部门</w:t>
      </w:r>
      <w:r>
        <w:rPr>
          <w:rFonts w:hint="eastAsia" w:ascii="方正仿宋_GBK" w:hAnsi="方正仿宋_GBK" w:eastAsia="方正仿宋_GBK" w:cs="方正仿宋_GBK"/>
          <w:color w:val="000000"/>
          <w:spacing w:val="0"/>
          <w:kern w:val="0"/>
          <w:sz w:val="32"/>
          <w:szCs w:val="32"/>
          <w:highlight w:val="none"/>
        </w:rPr>
        <w:t>奋力争取上级财力性补助资金、专项补助资金、债券资金。</w:t>
      </w:r>
      <w:r>
        <w:rPr>
          <w:rFonts w:hint="default" w:ascii="Times New Roman" w:hAnsi="Times New Roman" w:eastAsia="方正仿宋_GBK" w:cs="Times New Roman"/>
          <w:color w:val="000000"/>
          <w:spacing w:val="0"/>
          <w:kern w:val="0"/>
          <w:sz w:val="32"/>
          <w:szCs w:val="32"/>
          <w:highlight w:val="none"/>
        </w:rPr>
        <w:t>全年争取到位上级资金25.2亿元，同比增长37%，首次突破20亿元大关，</w:t>
      </w:r>
      <w:r>
        <w:rPr>
          <w:rFonts w:hint="default" w:ascii="Times New Roman" w:hAnsi="Times New Roman" w:eastAsia="方正仿宋_GBK" w:cs="Times New Roman"/>
          <w:spacing w:val="0"/>
          <w:kern w:val="0"/>
          <w:sz w:val="32"/>
          <w:szCs w:val="32"/>
          <w:highlight w:val="none"/>
        </w:rPr>
        <w:t>其中：争取到位增发国债资金4.39亿元，居全市县区第一；争取到新增债券资金10.65亿元，首次突破10亿元，为历年之最，其中争取到化债专项资金5.29亿元，极大</w:t>
      </w:r>
      <w:r>
        <w:rPr>
          <w:rFonts w:hint="default" w:ascii="Times New Roman" w:hAnsi="Times New Roman" w:eastAsia="方正仿宋_GBK" w:cs="Times New Roman"/>
          <w:color w:val="000000"/>
          <w:spacing w:val="0"/>
          <w:kern w:val="0"/>
          <w:sz w:val="32"/>
          <w:szCs w:val="32"/>
          <w:highlight w:val="none"/>
        </w:rPr>
        <w:t>缓解财政运行压力。</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eastAsia" w:ascii="方正楷体_GBK" w:hAnsi="方正楷体_GBK" w:eastAsia="方正楷体_GBK" w:cs="方正楷体_GBK"/>
          <w:b/>
          <w:bCs/>
          <w:spacing w:val="0"/>
          <w:kern w:val="0"/>
          <w:sz w:val="32"/>
          <w:szCs w:val="32"/>
          <w:highlight w:val="none"/>
          <w:lang w:val="en-US" w:eastAsia="zh-CN" w:bidi="ar-SA"/>
        </w:rPr>
      </w:pPr>
      <w:r>
        <w:rPr>
          <w:rFonts w:hint="eastAsia" w:ascii="方正楷体_GBK" w:hAnsi="方正楷体_GBK" w:eastAsia="方正楷体_GBK" w:cs="方正楷体_GBK"/>
          <w:b/>
          <w:bCs/>
          <w:spacing w:val="0"/>
          <w:kern w:val="0"/>
          <w:sz w:val="32"/>
          <w:szCs w:val="32"/>
          <w:highlight w:val="none"/>
          <w:lang w:val="en-US" w:eastAsia="zh-CN" w:bidi="ar-SA"/>
        </w:rPr>
        <w:t>（二）强化资金统筹，保障重点支出</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pacing w:val="0"/>
          <w:kern w:val="0"/>
          <w:sz w:val="32"/>
          <w:szCs w:val="32"/>
          <w:highlight w:val="none"/>
          <w:lang w:val="en-US" w:eastAsia="zh-CN" w:bidi="ar-SA"/>
        </w:rPr>
      </w:pPr>
      <w:r>
        <w:rPr>
          <w:rFonts w:hint="eastAsia" w:ascii="方正仿宋_GBK" w:hAnsi="方正仿宋_GBK" w:eastAsia="方正仿宋_GBK" w:cs="方正仿宋_GBK"/>
          <w:spacing w:val="0"/>
          <w:kern w:val="0"/>
          <w:sz w:val="32"/>
          <w:szCs w:val="32"/>
          <w:highlight w:val="none"/>
          <w:lang w:val="en-US" w:eastAsia="zh-CN" w:bidi="ar-SA"/>
        </w:rPr>
        <w:t>聚焦“建设共同富裕试验区”，统筹安排财政资金，全力保障县委、县政府重大决策部署落地落实，全年一般公共预算支出</w:t>
      </w:r>
      <w:r>
        <w:rPr>
          <w:rFonts w:hint="default" w:ascii="Times New Roman" w:hAnsi="Times New Roman" w:eastAsia="方正仿宋_GBK" w:cs="Times New Roman"/>
          <w:spacing w:val="11"/>
          <w:kern w:val="0"/>
          <w:sz w:val="32"/>
          <w:szCs w:val="32"/>
          <w:highlight w:val="none"/>
          <w:lang w:val="en-US" w:eastAsia="zh-CN" w:bidi="ar-SA"/>
        </w:rPr>
        <w:t>达295937万元，同比增长10.77%，其中民生支出占比稳定在65%</w:t>
      </w:r>
      <w:r>
        <w:rPr>
          <w:rFonts w:hint="eastAsia" w:ascii="方正仿宋_GBK" w:hAnsi="方正仿宋_GBK" w:eastAsia="方正仿宋_GBK" w:cs="方正仿宋_GBK"/>
          <w:spacing w:val="11"/>
          <w:kern w:val="0"/>
          <w:sz w:val="32"/>
          <w:szCs w:val="32"/>
          <w:highlight w:val="none"/>
          <w:lang w:val="en-US" w:eastAsia="zh-CN" w:bidi="ar-SA"/>
        </w:rPr>
        <w:t>以上。</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eastAsia" w:ascii="方正仿宋_GBK" w:hAnsi="方正仿宋_GBK" w:eastAsia="方正仿宋_GBK" w:cs="方正仿宋_GBK"/>
          <w:spacing w:val="0"/>
          <w:kern w:val="0"/>
          <w:sz w:val="32"/>
          <w:szCs w:val="32"/>
          <w:highlight w:val="none"/>
          <w:lang w:val="en-US" w:eastAsia="zh-CN" w:bidi="ar-SA"/>
        </w:rPr>
      </w:pPr>
      <w:r>
        <w:rPr>
          <w:rFonts w:hint="eastAsia" w:ascii="方正仿宋_GBK" w:hAnsi="方正仿宋_GBK" w:eastAsia="方正仿宋_GBK" w:cs="方正仿宋_GBK"/>
          <w:b/>
          <w:bCs/>
          <w:color w:val="000000"/>
          <w:spacing w:val="0"/>
          <w:kern w:val="0"/>
          <w:sz w:val="32"/>
          <w:szCs w:val="32"/>
          <w:highlight w:val="none"/>
          <w:lang w:val="en-US" w:eastAsia="zh-CN" w:bidi="ar-SA"/>
        </w:rPr>
        <w:t>重民生促发展。</w:t>
      </w:r>
      <w:r>
        <w:rPr>
          <w:rFonts w:hint="eastAsia" w:ascii="方正仿宋_GBK" w:hAnsi="方正仿宋_GBK" w:eastAsia="方正仿宋_GBK" w:cs="方正仿宋_GBK"/>
          <w:spacing w:val="0"/>
          <w:kern w:val="0"/>
          <w:sz w:val="32"/>
          <w:szCs w:val="32"/>
          <w:highlight w:val="none"/>
          <w:lang w:val="en-US" w:eastAsia="zh-CN" w:bidi="ar-SA"/>
        </w:rPr>
        <w:t>投入资金</w:t>
      </w:r>
      <w:r>
        <w:rPr>
          <w:rFonts w:hint="default" w:ascii="Times New Roman" w:hAnsi="Times New Roman" w:eastAsia="方正仿宋_GBK" w:cs="Times New Roman"/>
          <w:spacing w:val="0"/>
          <w:kern w:val="0"/>
          <w:sz w:val="32"/>
          <w:szCs w:val="32"/>
          <w:highlight w:val="none"/>
          <w:lang w:val="en-US" w:eastAsia="zh-CN" w:bidi="ar-SA"/>
        </w:rPr>
        <w:t>42319</w:t>
      </w:r>
      <w:r>
        <w:rPr>
          <w:rFonts w:hint="eastAsia" w:ascii="方正仿宋_GBK" w:hAnsi="方正仿宋_GBK" w:eastAsia="方正仿宋_GBK" w:cs="方正仿宋_GBK"/>
          <w:spacing w:val="0"/>
          <w:kern w:val="0"/>
          <w:sz w:val="32"/>
          <w:szCs w:val="32"/>
          <w:highlight w:val="none"/>
          <w:lang w:val="en-US" w:eastAsia="zh-CN" w:bidi="ar-SA"/>
        </w:rPr>
        <w:t>万元，全面完成教育“两个只增不减”目标任务。支持幼儿园建设，新增公办幼儿园学位</w:t>
      </w:r>
      <w:r>
        <w:rPr>
          <w:rFonts w:hint="default" w:ascii="Times New Roman" w:hAnsi="Times New Roman" w:eastAsia="方正仿宋_GBK" w:cs="Times New Roman"/>
          <w:spacing w:val="0"/>
          <w:kern w:val="0"/>
          <w:sz w:val="32"/>
          <w:szCs w:val="32"/>
          <w:highlight w:val="none"/>
          <w:lang w:val="en-US" w:eastAsia="zh-CN" w:bidi="ar-SA"/>
        </w:rPr>
        <w:t>450</w:t>
      </w:r>
      <w:r>
        <w:rPr>
          <w:rFonts w:hint="eastAsia" w:ascii="方正仿宋_GBK" w:hAnsi="方正仿宋_GBK" w:eastAsia="方正仿宋_GBK" w:cs="方正仿宋_GBK"/>
          <w:spacing w:val="0"/>
          <w:kern w:val="0"/>
          <w:sz w:val="32"/>
          <w:szCs w:val="32"/>
          <w:highlight w:val="none"/>
          <w:lang w:val="en-US" w:eastAsia="zh-CN" w:bidi="ar-SA"/>
        </w:rPr>
        <w:t>个，提高家庭经济困难学生生活补助标准，持续强化学生资助经费保障，</w:t>
      </w:r>
      <w:r>
        <w:rPr>
          <w:rFonts w:hint="eastAsia" w:ascii="方正仿宋_GBK" w:hAnsi="方正仿宋_GBK" w:eastAsia="方正仿宋_GBK" w:cs="方正仿宋_GBK"/>
          <w:color w:val="000000"/>
          <w:spacing w:val="0"/>
          <w:kern w:val="0"/>
          <w:sz w:val="32"/>
          <w:szCs w:val="32"/>
          <w:highlight w:val="none"/>
          <w:lang w:val="en-US" w:eastAsia="zh-CN" w:bidi="ar-SA"/>
        </w:rPr>
        <w:t>兑付各项教育资助资金</w:t>
      </w:r>
      <w:r>
        <w:rPr>
          <w:rFonts w:hint="default" w:ascii="Times New Roman" w:hAnsi="Times New Roman" w:eastAsia="方正仿宋_GBK" w:cs="Times New Roman"/>
          <w:color w:val="000000"/>
          <w:spacing w:val="0"/>
          <w:kern w:val="0"/>
          <w:sz w:val="32"/>
          <w:szCs w:val="32"/>
          <w:highlight w:val="none"/>
          <w:lang w:val="en-US" w:eastAsia="zh-CN" w:bidi="ar-SA"/>
        </w:rPr>
        <w:t>4540万元，</w:t>
      </w:r>
      <w:r>
        <w:rPr>
          <w:rFonts w:hint="default" w:ascii="Times New Roman" w:hAnsi="Times New Roman" w:eastAsia="方正仿宋_GBK" w:cs="Times New Roman"/>
          <w:spacing w:val="0"/>
          <w:kern w:val="0"/>
          <w:sz w:val="32"/>
          <w:szCs w:val="32"/>
          <w:highlight w:val="none"/>
          <w:lang w:val="en-US" w:eastAsia="zh-CN" w:bidi="ar-SA"/>
        </w:rPr>
        <w:t>资助学生6.38万人次，推动全县教育高水平优质均衡发展。投入资金26180</w:t>
      </w:r>
      <w:r>
        <w:rPr>
          <w:rFonts w:hint="eastAsia" w:ascii="方正仿宋_GBK" w:hAnsi="方正仿宋_GBK" w:eastAsia="方正仿宋_GBK" w:cs="方正仿宋_GBK"/>
          <w:spacing w:val="0"/>
          <w:kern w:val="0"/>
          <w:sz w:val="32"/>
          <w:szCs w:val="32"/>
          <w:highlight w:val="none"/>
          <w:lang w:val="en-US" w:eastAsia="zh-CN" w:bidi="ar-SA"/>
        </w:rPr>
        <w:t>万元，落实公共卫生和医疗保障政策，持续开展免费“两癌”“两筛”民生实事，推动县域医共体建设和公立医院综合改革。投入资金</w:t>
      </w:r>
      <w:r>
        <w:rPr>
          <w:rFonts w:hint="default" w:ascii="Times New Roman" w:hAnsi="Times New Roman" w:eastAsia="方正仿宋_GBK" w:cs="Times New Roman"/>
          <w:spacing w:val="0"/>
          <w:kern w:val="0"/>
          <w:sz w:val="32"/>
          <w:szCs w:val="32"/>
          <w:highlight w:val="none"/>
          <w:lang w:val="en-US" w:eastAsia="zh-CN" w:bidi="ar-SA"/>
        </w:rPr>
        <w:t>40523</w:t>
      </w:r>
      <w:r>
        <w:rPr>
          <w:rFonts w:hint="eastAsia" w:ascii="方正仿宋_GBK" w:hAnsi="方正仿宋_GBK" w:eastAsia="方正仿宋_GBK" w:cs="方正仿宋_GBK"/>
          <w:spacing w:val="0"/>
          <w:kern w:val="0"/>
          <w:sz w:val="32"/>
          <w:szCs w:val="32"/>
          <w:highlight w:val="none"/>
          <w:lang w:val="en-US" w:eastAsia="zh-CN" w:bidi="ar-SA"/>
        </w:rPr>
        <w:t>万元，强化社会事业保障。聚焦高校毕业生、下岗失业人员、农民工等重点群体就业，拨付创业就业补助资金</w:t>
      </w:r>
      <w:r>
        <w:rPr>
          <w:rFonts w:hint="default" w:ascii="Times New Roman" w:hAnsi="Times New Roman" w:eastAsia="方正仿宋_GBK" w:cs="Times New Roman"/>
          <w:spacing w:val="0"/>
          <w:kern w:val="0"/>
          <w:sz w:val="32"/>
          <w:szCs w:val="32"/>
          <w:highlight w:val="none"/>
          <w:lang w:val="en-US" w:eastAsia="zh-CN" w:bidi="ar-SA"/>
        </w:rPr>
        <w:t>1307</w:t>
      </w:r>
      <w:r>
        <w:rPr>
          <w:rFonts w:hint="eastAsia" w:ascii="方正仿宋_GBK" w:hAnsi="方正仿宋_GBK" w:eastAsia="方正仿宋_GBK" w:cs="方正仿宋_GBK"/>
          <w:spacing w:val="0"/>
          <w:kern w:val="0"/>
          <w:sz w:val="32"/>
          <w:szCs w:val="32"/>
          <w:highlight w:val="none"/>
          <w:lang w:val="en-US" w:eastAsia="zh-CN" w:bidi="ar-SA"/>
        </w:rPr>
        <w:t>万元，发放创业担保贷款</w:t>
      </w:r>
      <w:r>
        <w:rPr>
          <w:rFonts w:hint="default" w:ascii="Times New Roman" w:hAnsi="Times New Roman" w:eastAsia="方正仿宋_GBK" w:cs="Times New Roman"/>
          <w:spacing w:val="0"/>
          <w:kern w:val="0"/>
          <w:sz w:val="32"/>
          <w:szCs w:val="32"/>
          <w:highlight w:val="none"/>
          <w:lang w:val="en-US" w:eastAsia="zh-CN" w:bidi="ar-SA"/>
        </w:rPr>
        <w:t>3246</w:t>
      </w:r>
      <w:r>
        <w:rPr>
          <w:rFonts w:hint="eastAsia" w:ascii="方正仿宋_GBK" w:hAnsi="方正仿宋_GBK" w:eastAsia="方正仿宋_GBK" w:cs="方正仿宋_GBK"/>
          <w:spacing w:val="0"/>
          <w:kern w:val="0"/>
          <w:sz w:val="32"/>
          <w:szCs w:val="32"/>
          <w:highlight w:val="none"/>
          <w:lang w:val="en-US" w:eastAsia="zh-CN" w:bidi="ar-SA"/>
        </w:rPr>
        <w:t>万元，贴息</w:t>
      </w:r>
      <w:r>
        <w:rPr>
          <w:rFonts w:hint="default" w:ascii="Times New Roman" w:hAnsi="Times New Roman" w:eastAsia="方正仿宋_GBK" w:cs="Times New Roman"/>
          <w:spacing w:val="0"/>
          <w:kern w:val="0"/>
          <w:sz w:val="32"/>
          <w:szCs w:val="32"/>
          <w:highlight w:val="none"/>
          <w:lang w:val="en-US" w:eastAsia="zh-CN" w:bidi="ar-SA"/>
        </w:rPr>
        <w:t>279</w:t>
      </w:r>
      <w:r>
        <w:rPr>
          <w:rFonts w:hint="eastAsia" w:ascii="方正仿宋_GBK" w:hAnsi="方正仿宋_GBK" w:eastAsia="方正仿宋_GBK" w:cs="方正仿宋_GBK"/>
          <w:spacing w:val="0"/>
          <w:kern w:val="0"/>
          <w:sz w:val="32"/>
          <w:szCs w:val="32"/>
          <w:highlight w:val="none"/>
          <w:lang w:val="en-US" w:eastAsia="zh-CN" w:bidi="ar-SA"/>
        </w:rPr>
        <w:t>万元，扶持创业就业</w:t>
      </w:r>
      <w:r>
        <w:rPr>
          <w:rFonts w:hint="default" w:ascii="Times New Roman" w:hAnsi="Times New Roman" w:eastAsia="方正仿宋_GBK" w:cs="Times New Roman"/>
          <w:spacing w:val="0"/>
          <w:kern w:val="0"/>
          <w:sz w:val="32"/>
          <w:szCs w:val="32"/>
          <w:highlight w:val="none"/>
          <w:lang w:val="en-US" w:eastAsia="zh-CN" w:bidi="ar-SA"/>
        </w:rPr>
        <w:t>1369</w:t>
      </w:r>
      <w:r>
        <w:rPr>
          <w:rFonts w:hint="eastAsia" w:ascii="方正仿宋_GBK" w:hAnsi="方正仿宋_GBK" w:eastAsia="方正仿宋_GBK" w:cs="方正仿宋_GBK"/>
          <w:spacing w:val="0"/>
          <w:kern w:val="0"/>
          <w:sz w:val="32"/>
          <w:szCs w:val="32"/>
          <w:highlight w:val="none"/>
          <w:lang w:val="en-US" w:eastAsia="zh-CN" w:bidi="ar-SA"/>
        </w:rPr>
        <w:t>人。全面落实各项优抚政策，健全低收入群体托底机制，充分保障低收入群体利益。</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eastAsia" w:ascii="方正仿宋_GBK" w:hAnsi="方正仿宋_GBK" w:eastAsia="方正仿宋_GBK" w:cs="方正仿宋_GBK"/>
          <w:bCs/>
          <w:spacing w:val="0"/>
          <w:kern w:val="0"/>
          <w:sz w:val="32"/>
          <w:szCs w:val="32"/>
          <w:highlight w:val="none"/>
          <w:lang w:val="en-US" w:eastAsia="zh-CN" w:bidi="ar-SA"/>
        </w:rPr>
      </w:pPr>
      <w:r>
        <w:rPr>
          <w:rFonts w:hint="eastAsia" w:ascii="方正仿宋_GBK" w:hAnsi="方正仿宋_GBK" w:eastAsia="方正仿宋_GBK" w:cs="方正仿宋_GBK"/>
          <w:b/>
          <w:bCs/>
          <w:color w:val="000000"/>
          <w:spacing w:val="0"/>
          <w:kern w:val="0"/>
          <w:sz w:val="32"/>
          <w:szCs w:val="32"/>
          <w:highlight w:val="none"/>
          <w:lang w:val="en-US" w:eastAsia="zh-CN" w:bidi="ar-SA"/>
        </w:rPr>
        <w:t>强统筹促共富。</w:t>
      </w:r>
      <w:r>
        <w:rPr>
          <w:rFonts w:hint="eastAsia" w:ascii="方正仿宋_GBK" w:hAnsi="方正仿宋_GBK" w:eastAsia="方正仿宋_GBK" w:cs="方正仿宋_GBK"/>
          <w:spacing w:val="0"/>
          <w:kern w:val="0"/>
          <w:sz w:val="32"/>
          <w:szCs w:val="32"/>
          <w:highlight w:val="none"/>
          <w:lang w:val="en-US" w:eastAsia="zh-CN" w:bidi="ar-SA"/>
        </w:rPr>
        <w:t>统筹安排国债资金</w:t>
      </w:r>
      <w:r>
        <w:rPr>
          <w:rFonts w:hint="default" w:ascii="Times New Roman" w:hAnsi="Times New Roman" w:eastAsia="方正仿宋_GBK" w:cs="Times New Roman"/>
          <w:spacing w:val="0"/>
          <w:kern w:val="0"/>
          <w:sz w:val="32"/>
          <w:szCs w:val="32"/>
          <w:highlight w:val="none"/>
          <w:lang w:val="en-US" w:eastAsia="zh-CN" w:bidi="ar-SA"/>
        </w:rPr>
        <w:t>42373万元</w:t>
      </w:r>
      <w:r>
        <w:rPr>
          <w:rFonts w:hint="eastAsia" w:ascii="方正仿宋_GBK" w:hAnsi="方正仿宋_GBK" w:eastAsia="方正仿宋_GBK" w:cs="方正仿宋_GBK"/>
          <w:spacing w:val="0"/>
          <w:kern w:val="0"/>
          <w:sz w:val="32"/>
          <w:szCs w:val="32"/>
          <w:highlight w:val="none"/>
          <w:lang w:val="en-US" w:eastAsia="zh-CN" w:bidi="ar-SA"/>
        </w:rPr>
        <w:t>，有序推进高标准农田、红旗堰灌区建设、晃桥水库中型灌区续建配套及节水改造一系列国债资金项目实施，农田水利基础设施得到不断完善，为实现新时代更高水平“天府第二粮仓”奠定坚实基础。投入资金</w:t>
      </w:r>
      <w:r>
        <w:rPr>
          <w:rFonts w:hint="default" w:ascii="Times New Roman" w:hAnsi="Times New Roman" w:eastAsia="方正仿宋_GBK" w:cs="Times New Roman"/>
          <w:spacing w:val="0"/>
          <w:kern w:val="0"/>
          <w:sz w:val="32"/>
          <w:szCs w:val="32"/>
          <w:highlight w:val="none"/>
          <w:lang w:val="en-US" w:eastAsia="zh-CN" w:bidi="ar-SA"/>
        </w:rPr>
        <w:t>85963</w:t>
      </w:r>
      <w:r>
        <w:rPr>
          <w:rFonts w:hint="eastAsia" w:ascii="方正仿宋_GBK" w:hAnsi="方正仿宋_GBK" w:eastAsia="方正仿宋_GBK" w:cs="方正仿宋_GBK"/>
          <w:spacing w:val="0"/>
          <w:kern w:val="0"/>
          <w:sz w:val="32"/>
          <w:szCs w:val="32"/>
          <w:highlight w:val="none"/>
          <w:lang w:val="en-US" w:eastAsia="zh-CN" w:bidi="ar-SA"/>
        </w:rPr>
        <w:t>万元，巩固拓展脱贫攻坚成果同乡村振兴有效衔接。全面落实土地出让收入</w:t>
      </w:r>
      <w:r>
        <w:rPr>
          <w:rFonts w:hint="default" w:ascii="Times New Roman" w:hAnsi="Times New Roman" w:eastAsia="方正仿宋_GBK" w:cs="Times New Roman"/>
          <w:spacing w:val="0"/>
          <w:kern w:val="0"/>
          <w:sz w:val="32"/>
          <w:szCs w:val="32"/>
          <w:highlight w:val="none"/>
          <w:lang w:val="en-US" w:eastAsia="zh-CN" w:bidi="ar-SA"/>
        </w:rPr>
        <w:t>9%用于农业农村的政策，及时兑现耕地地力保护补贴和稻谷补贴政策2009万元，支持乡村振兴衔接项目66个、和美乡村建设5个。投入资金5111</w:t>
      </w:r>
      <w:r>
        <w:rPr>
          <w:rFonts w:hint="eastAsia" w:ascii="方正仿宋_GBK" w:hAnsi="方正仿宋_GBK" w:eastAsia="方正仿宋_GBK" w:cs="方正仿宋_GBK"/>
          <w:spacing w:val="0"/>
          <w:kern w:val="0"/>
          <w:sz w:val="32"/>
          <w:szCs w:val="32"/>
          <w:highlight w:val="none"/>
          <w:lang w:val="en-US" w:eastAsia="zh-CN" w:bidi="ar-SA"/>
        </w:rPr>
        <w:t>万元，支持打好“蓝天、碧水、净土”保卫战。实施农村生活污水治理“千村示范工程”，</w:t>
      </w:r>
      <w:r>
        <w:rPr>
          <w:rFonts w:hint="eastAsia" w:ascii="方正仿宋_GBK" w:hAnsi="方正仿宋_GBK" w:eastAsia="方正仿宋_GBK" w:cs="方正仿宋_GBK"/>
          <w:bCs/>
          <w:spacing w:val="0"/>
          <w:kern w:val="0"/>
          <w:sz w:val="32"/>
          <w:szCs w:val="32"/>
          <w:highlight w:val="none"/>
          <w:lang w:val="en-US" w:eastAsia="zh-CN" w:bidi="ar-SA"/>
        </w:rPr>
        <w:t>持续改善提升人居生活环境，建设美丽米易。</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eastAsia" w:ascii="方正仿宋_GBK" w:hAnsi="方正仿宋_GBK" w:eastAsia="方正仿宋_GBK" w:cs="方正仿宋_GBK"/>
          <w:color w:val="000000"/>
          <w:spacing w:val="0"/>
          <w:kern w:val="0"/>
          <w:sz w:val="32"/>
          <w:szCs w:val="32"/>
          <w:highlight w:val="none"/>
          <w:lang w:val="en-US" w:eastAsia="zh-CN" w:bidi="ar-SA"/>
        </w:rPr>
      </w:pPr>
      <w:r>
        <w:rPr>
          <w:rFonts w:hint="eastAsia" w:ascii="方正仿宋_GBK" w:hAnsi="方正仿宋_GBK" w:eastAsia="方正仿宋_GBK" w:cs="方正仿宋_GBK"/>
          <w:b/>
          <w:bCs/>
          <w:color w:val="000000"/>
          <w:spacing w:val="0"/>
          <w:kern w:val="0"/>
          <w:sz w:val="32"/>
          <w:szCs w:val="32"/>
          <w:highlight w:val="none"/>
          <w:lang w:val="en-US" w:eastAsia="zh-CN" w:bidi="ar-SA"/>
        </w:rPr>
        <w:t>保平安促和谐。</w:t>
      </w:r>
      <w:r>
        <w:rPr>
          <w:rFonts w:hint="eastAsia" w:ascii="方正仿宋_GBK" w:hAnsi="方正仿宋_GBK" w:eastAsia="方正仿宋_GBK" w:cs="方正仿宋_GBK"/>
          <w:bCs/>
          <w:spacing w:val="0"/>
          <w:kern w:val="0"/>
          <w:sz w:val="32"/>
          <w:szCs w:val="32"/>
          <w:highlight w:val="none"/>
          <w:lang w:val="en-US" w:eastAsia="zh-CN" w:bidi="ar-SA"/>
        </w:rPr>
        <w:t>安排资金</w:t>
      </w:r>
      <w:r>
        <w:rPr>
          <w:rFonts w:hint="default" w:ascii="Times New Roman" w:hAnsi="Times New Roman" w:eastAsia="方正仿宋_GBK" w:cs="Times New Roman"/>
          <w:bCs/>
          <w:spacing w:val="0"/>
          <w:kern w:val="0"/>
          <w:sz w:val="32"/>
          <w:szCs w:val="32"/>
          <w:highlight w:val="none"/>
          <w:lang w:val="en-US" w:eastAsia="zh-CN" w:bidi="ar-SA"/>
        </w:rPr>
        <w:t>3707万元，支持</w:t>
      </w:r>
      <w:r>
        <w:rPr>
          <w:rFonts w:hint="default" w:ascii="Times New Roman" w:hAnsi="Times New Roman" w:eastAsia="方正仿宋_GBK" w:cs="Times New Roman"/>
          <w:spacing w:val="0"/>
          <w:kern w:val="0"/>
          <w:sz w:val="32"/>
          <w:szCs w:val="32"/>
          <w:highlight w:val="none"/>
          <w:lang w:val="en-US" w:eastAsia="zh-CN" w:bidi="ar-SA"/>
        </w:rPr>
        <w:t>应急救援能力提升、开展地质灾害综合防治，提升防灾减灾能力。落实</w:t>
      </w:r>
      <w:r>
        <w:rPr>
          <w:rFonts w:hint="default" w:ascii="Times New Roman" w:hAnsi="Times New Roman" w:eastAsia="方正仿宋_GBK" w:cs="Times New Roman"/>
          <w:color w:val="000000"/>
          <w:spacing w:val="0"/>
          <w:kern w:val="0"/>
          <w:sz w:val="32"/>
          <w:szCs w:val="32"/>
          <w:highlight w:val="none"/>
          <w:lang w:val="en-US" w:eastAsia="zh-CN" w:bidi="ar-SA"/>
        </w:rPr>
        <w:t>资金</w:t>
      </w:r>
      <w:r>
        <w:rPr>
          <w:rFonts w:hint="default" w:ascii="Times New Roman" w:hAnsi="Times New Roman" w:eastAsia="方正仿宋_GBK" w:cs="Times New Roman"/>
          <w:spacing w:val="0"/>
          <w:kern w:val="0"/>
          <w:sz w:val="32"/>
          <w:szCs w:val="32"/>
          <w:highlight w:val="none"/>
          <w:lang w:val="en-US" w:eastAsia="zh-CN" w:bidi="ar-SA"/>
        </w:rPr>
        <w:t>3925万元</w:t>
      </w:r>
      <w:r>
        <w:rPr>
          <w:rFonts w:hint="default" w:ascii="Times New Roman" w:hAnsi="Times New Roman" w:eastAsia="方正仿宋_GBK" w:cs="Times New Roman"/>
          <w:color w:val="000000"/>
          <w:spacing w:val="0"/>
          <w:kern w:val="0"/>
          <w:sz w:val="32"/>
          <w:szCs w:val="32"/>
          <w:highlight w:val="none"/>
          <w:lang w:val="en-US" w:eastAsia="zh-CN" w:bidi="ar-SA"/>
        </w:rPr>
        <w:t>，用于全县公共安全、司法救助等方面，建设平安米易。落实资金</w:t>
      </w:r>
      <w:r>
        <w:rPr>
          <w:rFonts w:hint="default" w:ascii="Times New Roman" w:hAnsi="Times New Roman" w:eastAsia="方正仿宋_GBK" w:cs="Times New Roman"/>
          <w:spacing w:val="0"/>
          <w:kern w:val="0"/>
          <w:sz w:val="32"/>
          <w:szCs w:val="32"/>
          <w:highlight w:val="none"/>
          <w:lang w:val="en-US" w:eastAsia="zh-CN" w:bidi="ar-SA"/>
        </w:rPr>
        <w:t>16442万元</w:t>
      </w:r>
      <w:r>
        <w:rPr>
          <w:rFonts w:hint="default" w:ascii="Times New Roman" w:hAnsi="Times New Roman" w:eastAsia="方正仿宋_GBK" w:cs="Times New Roman"/>
          <w:color w:val="000000"/>
          <w:spacing w:val="0"/>
          <w:kern w:val="0"/>
          <w:sz w:val="32"/>
          <w:szCs w:val="32"/>
          <w:highlight w:val="none"/>
          <w:lang w:val="en-US" w:eastAsia="zh-CN" w:bidi="ar-SA"/>
        </w:rPr>
        <w:t>，支</w:t>
      </w:r>
      <w:r>
        <w:rPr>
          <w:rFonts w:hint="eastAsia" w:ascii="方正仿宋_GBK" w:hAnsi="方正仿宋_GBK" w:eastAsia="方正仿宋_GBK" w:cs="方正仿宋_GBK"/>
          <w:color w:val="000000"/>
          <w:spacing w:val="0"/>
          <w:kern w:val="0"/>
          <w:sz w:val="32"/>
          <w:szCs w:val="32"/>
          <w:highlight w:val="none"/>
          <w:lang w:val="en-US" w:eastAsia="zh-CN" w:bidi="ar-SA"/>
        </w:rPr>
        <w:t>持交通基础设施、老旧小区、燃气管道改造等工程建设，不断完善城乡路网、城乡社区、燃气等基础设施，建设和谐米易。</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eastAsia" w:ascii="方正楷体_GBK" w:hAnsi="方正楷体_GBK" w:eastAsia="方正楷体_GBK" w:cs="方正楷体_GBK"/>
          <w:b/>
          <w:bCs/>
          <w:spacing w:val="0"/>
          <w:kern w:val="0"/>
          <w:sz w:val="32"/>
          <w:szCs w:val="32"/>
          <w:highlight w:val="none"/>
          <w:lang w:val="en-US" w:eastAsia="zh-CN" w:bidi="ar-SA"/>
        </w:rPr>
      </w:pPr>
      <w:r>
        <w:rPr>
          <w:rFonts w:hint="eastAsia" w:ascii="方正楷体_GBK" w:hAnsi="方正楷体_GBK" w:eastAsia="方正楷体_GBK" w:cs="方正楷体_GBK"/>
          <w:b/>
          <w:bCs/>
          <w:spacing w:val="0"/>
          <w:kern w:val="0"/>
          <w:sz w:val="32"/>
          <w:szCs w:val="32"/>
          <w:highlight w:val="none"/>
          <w:lang w:val="en-US" w:eastAsia="zh-CN" w:bidi="ar-SA"/>
        </w:rPr>
        <w:t>（三）强化管理改革，推进效能治理</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eastAsia" w:ascii="方正仿宋_GBK" w:hAnsi="方正仿宋_GBK" w:eastAsia="方正仿宋_GBK" w:cs="方正仿宋_GBK"/>
          <w:spacing w:val="0"/>
          <w:kern w:val="0"/>
          <w:sz w:val="32"/>
          <w:szCs w:val="32"/>
          <w:highlight w:val="none"/>
          <w:lang w:val="en-US" w:eastAsia="zh-CN" w:bidi="ar"/>
        </w:rPr>
      </w:pPr>
      <w:r>
        <w:rPr>
          <w:rFonts w:hint="eastAsia" w:ascii="方正仿宋_GBK" w:hAnsi="方正仿宋_GBK" w:eastAsia="方正仿宋_GBK" w:cs="方正仿宋_GBK"/>
          <w:b/>
          <w:bCs/>
          <w:spacing w:val="0"/>
          <w:kern w:val="0"/>
          <w:sz w:val="32"/>
          <w:szCs w:val="32"/>
          <w:highlight w:val="none"/>
          <w:lang w:val="en-US" w:eastAsia="zh-CN" w:bidi="ar-SA"/>
        </w:rPr>
        <w:t>强管理重绩效。</w:t>
      </w:r>
      <w:r>
        <w:rPr>
          <w:rFonts w:hint="eastAsia" w:ascii="方正仿宋_GBK" w:hAnsi="方正仿宋_GBK" w:eastAsia="方正仿宋_GBK" w:cs="方正仿宋_GBK"/>
          <w:spacing w:val="0"/>
          <w:kern w:val="0"/>
          <w:sz w:val="32"/>
          <w:szCs w:val="32"/>
          <w:highlight w:val="none"/>
          <w:lang w:val="en-US" w:eastAsia="zh-CN" w:bidi="ar-SA"/>
        </w:rPr>
        <w:t>牢固树立“花钱必问效，无效必问责”的绩效管理理念，持续强化业务培训，加大项目事前绩效评估。</w:t>
      </w:r>
      <w:r>
        <w:rPr>
          <w:rFonts w:hint="default" w:ascii="Times New Roman" w:hAnsi="Times New Roman" w:eastAsia="方正仿宋_GBK" w:cs="Times New Roman"/>
          <w:spacing w:val="0"/>
          <w:kern w:val="0"/>
          <w:sz w:val="32"/>
          <w:szCs w:val="32"/>
          <w:highlight w:val="none"/>
          <w:lang w:val="en-US" w:eastAsia="zh-CN" w:bidi="ar-SA"/>
        </w:rPr>
        <w:t>2024年，在部门、项目绩效自评全覆盖的基础上，重点选取10个部门（单位）开展整体支出绩效评价。对36个社会关注度高、切实惠及民生的政策（项目），重点开展绩效评价，涉及资金2.3</w:t>
      </w:r>
      <w:r>
        <w:rPr>
          <w:rFonts w:hint="eastAsia" w:ascii="方正仿宋_GBK" w:hAnsi="方正仿宋_GBK" w:eastAsia="方正仿宋_GBK" w:cs="方正仿宋_GBK"/>
          <w:spacing w:val="0"/>
          <w:kern w:val="0"/>
          <w:sz w:val="32"/>
          <w:szCs w:val="32"/>
          <w:highlight w:val="none"/>
          <w:lang w:val="en-US" w:eastAsia="zh-CN" w:bidi="ar-SA"/>
        </w:rPr>
        <w:t>亿元，推动财政资金使用效益进一步提高。</w:t>
      </w:r>
      <w:r>
        <w:rPr>
          <w:rFonts w:hint="eastAsia" w:ascii="方正仿宋_GBK" w:hAnsi="方正仿宋_GBK" w:eastAsia="方正仿宋_GBK" w:cs="方正仿宋_GBK"/>
          <w:spacing w:val="0"/>
          <w:kern w:val="0"/>
          <w:sz w:val="32"/>
          <w:szCs w:val="32"/>
          <w:highlight w:val="none"/>
          <w:lang w:val="en-US" w:eastAsia="zh-CN" w:bidi="ar"/>
        </w:rPr>
        <w:t>完成全县财政电子票据改革，非税收入电子化收缴实现全覆盖。深入推进政府购买服务管理，印发《进一步推进乡镇政府购买服务工作的通知》、修订《米易县乡镇政府购买服务指导性目录》。扎实推进财税体制改革，完成新一轮城镇土地使用税征税范围和标准优化调整。持续优化金融生态环境，</w:t>
      </w:r>
      <w:r>
        <w:rPr>
          <w:rFonts w:hint="default" w:ascii="Times New Roman" w:hAnsi="Times New Roman" w:eastAsia="方正仿宋_GBK" w:cs="Times New Roman"/>
          <w:spacing w:val="0"/>
          <w:kern w:val="0"/>
          <w:sz w:val="32"/>
          <w:szCs w:val="32"/>
          <w:highlight w:val="none"/>
          <w:lang w:val="en-US" w:eastAsia="zh-CN" w:bidi="ar"/>
        </w:rPr>
        <w:t>2024</w:t>
      </w:r>
      <w:r>
        <w:rPr>
          <w:rFonts w:hint="eastAsia" w:ascii="方正仿宋_GBK" w:hAnsi="方正仿宋_GBK" w:eastAsia="方正仿宋_GBK" w:cs="方正仿宋_GBK"/>
          <w:spacing w:val="0"/>
          <w:kern w:val="0"/>
          <w:sz w:val="32"/>
          <w:szCs w:val="32"/>
          <w:highlight w:val="none"/>
          <w:lang w:val="en-US" w:eastAsia="zh-CN" w:bidi="ar"/>
        </w:rPr>
        <w:t>年，在全省金融生态环境评价中，我县排位同类县区第四名，继续保持领先水平。</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eastAsia" w:ascii="方正仿宋_GBK" w:hAnsi="方正仿宋_GBK" w:eastAsia="方正仿宋_GBK" w:cs="方正仿宋_GBK"/>
          <w:spacing w:val="0"/>
          <w:kern w:val="0"/>
          <w:sz w:val="32"/>
          <w:szCs w:val="32"/>
          <w:highlight w:val="none"/>
          <w:lang w:val="en-US" w:eastAsia="zh-CN" w:bidi="ar"/>
        </w:rPr>
      </w:pPr>
      <w:r>
        <w:rPr>
          <w:rFonts w:hint="eastAsia" w:ascii="方正仿宋_GBK" w:hAnsi="方正仿宋_GBK" w:eastAsia="方正仿宋_GBK" w:cs="方正仿宋_GBK"/>
          <w:b/>
          <w:bCs/>
          <w:spacing w:val="0"/>
          <w:kern w:val="0"/>
          <w:sz w:val="32"/>
          <w:szCs w:val="32"/>
          <w:highlight w:val="none"/>
          <w:lang w:val="en-US" w:eastAsia="zh-CN" w:bidi="ar"/>
        </w:rPr>
        <w:t>强监管促提升。</w:t>
      </w:r>
      <w:r>
        <w:rPr>
          <w:rFonts w:hint="eastAsia" w:ascii="方正仿宋_GBK" w:hAnsi="方正仿宋_GBK" w:eastAsia="方正仿宋_GBK" w:cs="方正仿宋_GBK"/>
          <w:spacing w:val="0"/>
          <w:kern w:val="0"/>
          <w:sz w:val="32"/>
          <w:szCs w:val="32"/>
          <w:highlight w:val="none"/>
          <w:lang w:val="en-US" w:eastAsia="zh-CN" w:bidi="ar-SA"/>
        </w:rPr>
        <w:t>加强财经纪律监督，开展财会专项行动，围绕减税降费政策落实、惠民惠农财政补贴资金“一卡通”发放、基层“三保”、地方政府债务等九个方面，坚持“当下改”与“长久立”相结合，做到举一反三，全面查漏补缺。</w:t>
      </w:r>
      <w:r>
        <w:rPr>
          <w:rFonts w:hint="default" w:ascii="Times New Roman" w:hAnsi="Times New Roman" w:eastAsia="方正仿宋_GBK" w:cs="Times New Roman"/>
          <w:spacing w:val="0"/>
          <w:kern w:val="0"/>
          <w:sz w:val="32"/>
          <w:szCs w:val="32"/>
          <w:highlight w:val="none"/>
          <w:lang w:val="en-US" w:eastAsia="zh-CN" w:bidi="ar-SA"/>
        </w:rPr>
        <w:t>2024年，对5</w:t>
      </w:r>
      <w:r>
        <w:rPr>
          <w:rFonts w:hint="eastAsia" w:ascii="方正仿宋_GBK" w:hAnsi="方正仿宋_GBK" w:eastAsia="方正仿宋_GBK" w:cs="方正仿宋_GBK"/>
          <w:spacing w:val="0"/>
          <w:kern w:val="0"/>
          <w:sz w:val="32"/>
          <w:szCs w:val="32"/>
          <w:highlight w:val="none"/>
          <w:lang w:val="en-US" w:eastAsia="zh-CN" w:bidi="ar-SA"/>
        </w:rPr>
        <w:t>家代理记账机构开展“无证经营”“虚假承诺”等专项清理，进一步规范会计服务市场秩序。组织全县</w:t>
      </w:r>
      <w:r>
        <w:rPr>
          <w:rFonts w:hint="default" w:ascii="Times New Roman" w:hAnsi="Times New Roman" w:eastAsia="方正仿宋_GBK" w:cs="Times New Roman"/>
          <w:spacing w:val="0"/>
          <w:kern w:val="0"/>
          <w:sz w:val="32"/>
          <w:szCs w:val="32"/>
          <w:highlight w:val="none"/>
          <w:lang w:val="en-US" w:eastAsia="zh-CN" w:bidi="ar-SA"/>
        </w:rPr>
        <w:t>118</w:t>
      </w:r>
      <w:r>
        <w:rPr>
          <w:rFonts w:hint="eastAsia" w:ascii="方正仿宋_GBK" w:hAnsi="方正仿宋_GBK" w:eastAsia="方正仿宋_GBK" w:cs="方正仿宋_GBK"/>
          <w:spacing w:val="0"/>
          <w:kern w:val="0"/>
          <w:sz w:val="32"/>
          <w:szCs w:val="32"/>
          <w:highlight w:val="none"/>
          <w:lang w:val="en-US" w:eastAsia="zh-CN" w:bidi="ar-SA"/>
        </w:rPr>
        <w:t>家行政事业单位全覆盖开展内部控制建设暨会计基础自查工作，抽取</w:t>
      </w:r>
      <w:r>
        <w:rPr>
          <w:rFonts w:hint="default" w:ascii="Times New Roman" w:hAnsi="Times New Roman" w:eastAsia="方正仿宋_GBK" w:cs="Times New Roman"/>
          <w:spacing w:val="0"/>
          <w:kern w:val="0"/>
          <w:sz w:val="32"/>
          <w:szCs w:val="32"/>
          <w:highlight w:val="none"/>
          <w:lang w:val="en-US" w:eastAsia="zh-CN" w:bidi="ar-SA"/>
        </w:rPr>
        <w:t>10</w:t>
      </w:r>
      <w:r>
        <w:rPr>
          <w:rFonts w:hint="eastAsia" w:ascii="方正仿宋_GBK" w:hAnsi="方正仿宋_GBK" w:eastAsia="方正仿宋_GBK" w:cs="方正仿宋_GBK"/>
          <w:spacing w:val="0"/>
          <w:kern w:val="0"/>
          <w:sz w:val="32"/>
          <w:szCs w:val="32"/>
          <w:highlight w:val="none"/>
          <w:lang w:val="en-US" w:eastAsia="zh-CN" w:bidi="ar-SA"/>
        </w:rPr>
        <w:t>家单位进行现场监督检查，确保财政政策不折不扣落实到位。</w:t>
      </w:r>
      <w:r>
        <w:rPr>
          <w:rFonts w:hint="eastAsia" w:ascii="方正仿宋_GBK" w:hAnsi="方正仿宋_GBK" w:eastAsia="方正仿宋_GBK" w:cs="方正仿宋_GBK"/>
          <w:bCs/>
          <w:spacing w:val="0"/>
          <w:kern w:val="0"/>
          <w:sz w:val="32"/>
          <w:szCs w:val="32"/>
          <w:highlight w:val="none"/>
          <w:lang w:val="en-US" w:eastAsia="zh-CN" w:bidi="ar-SA"/>
        </w:rPr>
        <w:t>持续优化县属国有企业产业布局，推动国有资本向重要领域集中，进一步提升米投集团市场化、专业化水平。加强投融资计划事前审核把关力度，存量债务衔接有力有序。</w:t>
      </w:r>
      <w:r>
        <w:rPr>
          <w:rFonts w:hint="eastAsia" w:ascii="方正仿宋_GBK" w:hAnsi="方正仿宋_GBK" w:eastAsia="方正仿宋_GBK" w:cs="方正仿宋_GBK"/>
          <w:spacing w:val="0"/>
          <w:kern w:val="0"/>
          <w:sz w:val="32"/>
          <w:szCs w:val="32"/>
          <w:highlight w:val="none"/>
          <w:lang w:val="en-US" w:eastAsia="zh-CN" w:bidi="ar-SA"/>
        </w:rPr>
        <w:t>落实分类监管考核机制，坚持以管资本为主加强国有资产监管，提高国有资本回报、维护国有资本安全，落实国有资产保值增值责任。开展行政事业单位国有资产清理，</w:t>
      </w:r>
      <w:r>
        <w:rPr>
          <w:rFonts w:hint="default" w:ascii="Times New Roman" w:hAnsi="Times New Roman" w:eastAsia="方正仿宋_GBK" w:cs="Times New Roman"/>
          <w:spacing w:val="0"/>
          <w:kern w:val="0"/>
          <w:sz w:val="32"/>
          <w:szCs w:val="32"/>
          <w:highlight w:val="none"/>
          <w:lang w:val="en-US" w:eastAsia="zh-CN" w:bidi="ar"/>
        </w:rPr>
        <w:t>2024年，通过划转、处置、出租出借等方式，盘活存量国有</w:t>
      </w:r>
      <w:r>
        <w:rPr>
          <w:rFonts w:hint="default" w:ascii="Times New Roman" w:hAnsi="Times New Roman" w:eastAsia="方正仿宋_GBK" w:cs="Times New Roman"/>
          <w:color w:val="000000"/>
          <w:spacing w:val="0"/>
          <w:kern w:val="0"/>
          <w:sz w:val="32"/>
          <w:szCs w:val="32"/>
          <w:highlight w:val="none"/>
          <w:lang w:val="en-US" w:eastAsia="zh-CN" w:bidi="ar-SA"/>
        </w:rPr>
        <w:t>资产800万元</w:t>
      </w:r>
      <w:r>
        <w:rPr>
          <w:rFonts w:hint="eastAsia" w:ascii="方正仿宋_GBK" w:hAnsi="方正仿宋_GBK" w:eastAsia="方正仿宋_GBK" w:cs="方正仿宋_GBK"/>
          <w:spacing w:val="0"/>
          <w:kern w:val="0"/>
          <w:sz w:val="32"/>
          <w:szCs w:val="32"/>
          <w:highlight w:val="none"/>
          <w:lang w:val="en-US" w:eastAsia="zh-CN" w:bidi="ar"/>
        </w:rPr>
        <w:t>，进一步提升国有资产管理效能。</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default" w:ascii="Times New Roman" w:hAnsi="Times New Roman" w:eastAsia="方正仿宋_GBK" w:cs="Times New Roman"/>
          <w:spacing w:val="0"/>
          <w:kern w:val="0"/>
          <w:sz w:val="32"/>
          <w:szCs w:val="32"/>
          <w:highlight w:val="none"/>
          <w:lang w:val="en-US" w:eastAsia="zh-CN" w:bidi="ar-SA"/>
        </w:rPr>
      </w:pPr>
      <w:r>
        <w:rPr>
          <w:rFonts w:hint="eastAsia" w:ascii="方正仿宋_GBK" w:hAnsi="方正仿宋_GBK" w:eastAsia="方正仿宋_GBK" w:cs="方正仿宋_GBK"/>
          <w:b/>
          <w:bCs/>
          <w:spacing w:val="0"/>
          <w:kern w:val="0"/>
          <w:sz w:val="32"/>
          <w:szCs w:val="32"/>
          <w:highlight w:val="none"/>
          <w:lang w:val="en-US" w:eastAsia="zh-CN" w:bidi="ar"/>
        </w:rPr>
        <w:t>强统筹提效能。</w:t>
      </w:r>
      <w:r>
        <w:rPr>
          <w:rFonts w:hint="eastAsia" w:ascii="方正仿宋_GBK" w:hAnsi="方正仿宋_GBK" w:eastAsia="方正仿宋_GBK" w:cs="方正仿宋_GBK"/>
          <w:spacing w:val="0"/>
          <w:kern w:val="0"/>
          <w:sz w:val="32"/>
          <w:szCs w:val="32"/>
          <w:highlight w:val="none"/>
          <w:lang w:val="en-US" w:eastAsia="zh-CN" w:bidi="ar-SA"/>
        </w:rPr>
        <w:t>牢固树立“过紧日子”思想，强化源头管理，夯实部门主体责任，大力压减“三公”经费及一般性支出</w:t>
      </w:r>
      <w:r>
        <w:rPr>
          <w:rFonts w:hint="eastAsia" w:ascii="方正仿宋_GBK" w:hAnsi="方正仿宋_GBK" w:eastAsia="方正仿宋_GBK" w:cs="方正仿宋_GBK"/>
          <w:bCs/>
          <w:spacing w:val="0"/>
          <w:kern w:val="0"/>
          <w:sz w:val="32"/>
          <w:szCs w:val="32"/>
          <w:highlight w:val="none"/>
          <w:lang w:val="en-US" w:eastAsia="zh-CN" w:bidi="ar-SA"/>
        </w:rPr>
        <w:t>。</w:t>
      </w:r>
      <w:r>
        <w:rPr>
          <w:rFonts w:hint="eastAsia" w:ascii="方正仿宋_GBK" w:hAnsi="方正仿宋_GBK" w:eastAsia="方正仿宋_GBK" w:cs="方正仿宋_GBK"/>
          <w:spacing w:val="0"/>
          <w:kern w:val="0"/>
          <w:sz w:val="32"/>
          <w:szCs w:val="32"/>
          <w:highlight w:val="none"/>
          <w:lang w:val="en-US" w:eastAsia="zh-CN" w:bidi="ar"/>
        </w:rPr>
        <w:t>加大“三项资金”清理盘活力度，全年共盘活</w:t>
      </w:r>
      <w:r>
        <w:rPr>
          <w:rFonts w:hint="eastAsia" w:ascii="方正仿宋_GBK" w:hAnsi="方正仿宋_GBK" w:eastAsia="方正仿宋_GBK" w:cs="方正仿宋_GBK"/>
          <w:color w:val="000000"/>
          <w:spacing w:val="0"/>
          <w:kern w:val="0"/>
          <w:sz w:val="32"/>
          <w:szCs w:val="32"/>
          <w:highlight w:val="none"/>
          <w:lang w:val="en-US" w:eastAsia="zh-CN" w:bidi="ar-SA"/>
        </w:rPr>
        <w:t>收回各类资金</w:t>
      </w:r>
      <w:r>
        <w:rPr>
          <w:rFonts w:hint="default" w:ascii="Times New Roman" w:hAnsi="Times New Roman" w:eastAsia="方正仿宋_GBK" w:cs="Times New Roman"/>
          <w:color w:val="000000"/>
          <w:spacing w:val="0"/>
          <w:kern w:val="0"/>
          <w:sz w:val="32"/>
          <w:szCs w:val="32"/>
          <w:highlight w:val="none"/>
          <w:lang w:val="en-US" w:eastAsia="zh-CN" w:bidi="ar-SA"/>
        </w:rPr>
        <w:t>19103万元，</w:t>
      </w:r>
      <w:r>
        <w:rPr>
          <w:rFonts w:hint="default" w:ascii="Times New Roman" w:hAnsi="Times New Roman" w:eastAsia="方正仿宋_GBK" w:cs="Times New Roman"/>
          <w:spacing w:val="0"/>
          <w:kern w:val="0"/>
          <w:sz w:val="32"/>
          <w:szCs w:val="32"/>
          <w:highlight w:val="none"/>
          <w:lang w:val="en-US" w:eastAsia="zh-CN" w:bidi="ar-SA"/>
        </w:rPr>
        <w:t>统筹用于经济社会发展及民生保障等领域</w:t>
      </w:r>
      <w:r>
        <w:rPr>
          <w:rFonts w:hint="default" w:ascii="Times New Roman" w:hAnsi="Times New Roman" w:eastAsia="方正仿宋_GBK" w:cs="Times New Roman"/>
          <w:color w:val="000000"/>
          <w:spacing w:val="0"/>
          <w:kern w:val="0"/>
          <w:sz w:val="32"/>
          <w:szCs w:val="32"/>
          <w:highlight w:val="none"/>
          <w:lang w:val="en-US" w:eastAsia="zh-CN" w:bidi="ar-SA"/>
        </w:rPr>
        <w:t>。落实中小微企业预留采购份额政策，全县政府采购项目完成216个，其中中小微企业中标占比84.27%。</w:t>
      </w:r>
      <w:r>
        <w:rPr>
          <w:rFonts w:hint="default" w:ascii="Times New Roman" w:hAnsi="Times New Roman" w:eastAsia="方正仿宋_GBK" w:cs="Times New Roman"/>
          <w:spacing w:val="0"/>
          <w:kern w:val="0"/>
          <w:sz w:val="32"/>
          <w:szCs w:val="32"/>
          <w:highlight w:val="none"/>
          <w:lang w:val="en-US" w:eastAsia="zh-CN" w:bidi="ar-SA"/>
        </w:rPr>
        <w:t>充分发挥财政评审职能作用，全年完成评审项目85个，送审总投资46015万元，审减金额2927万元，审减率6.36%，有效提升财政资金使用效能。</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3" w:firstLineChars="200"/>
        <w:textAlignment w:val="auto"/>
        <w:rPr>
          <w:rFonts w:hint="eastAsia" w:ascii="方正仿宋_GBK" w:hAnsi="方正仿宋_GBK" w:eastAsia="方正仿宋_GBK" w:cs="方正仿宋_GBK"/>
          <w:spacing w:val="0"/>
          <w:kern w:val="0"/>
          <w:sz w:val="32"/>
          <w:szCs w:val="32"/>
          <w:highlight w:val="none"/>
        </w:rPr>
      </w:pPr>
      <w:r>
        <w:rPr>
          <w:rFonts w:hint="eastAsia" w:ascii="方正仿宋_GBK" w:hAnsi="方正仿宋_GBK" w:eastAsia="方正仿宋_GBK" w:cs="方正仿宋_GBK"/>
          <w:b/>
          <w:bCs/>
          <w:spacing w:val="0"/>
          <w:kern w:val="0"/>
          <w:sz w:val="32"/>
          <w:szCs w:val="32"/>
          <w:highlight w:val="none"/>
        </w:rPr>
        <w:t>强审核防风险。</w:t>
      </w:r>
      <w:r>
        <w:rPr>
          <w:rFonts w:hint="eastAsia" w:ascii="方正仿宋_GBK" w:hAnsi="方正仿宋_GBK" w:eastAsia="方正仿宋_GBK" w:cs="方正仿宋_GBK"/>
          <w:spacing w:val="0"/>
          <w:kern w:val="0"/>
          <w:sz w:val="32"/>
          <w:szCs w:val="32"/>
          <w:highlight w:val="none"/>
        </w:rPr>
        <w:t>严格贯彻落实中央“三保”财政保障序列，建立县级“三保”清单，单列“三保”预算，强化审核监控，及时、足额兑现“三保”支出。加强财政资金统筹，实行财政库款调度资金预审制度，严格库款保障序列，严控财政支付风险。强化财政暂付款管理，严格执行</w:t>
      </w:r>
      <w:r>
        <w:rPr>
          <w:rFonts w:hint="eastAsia" w:ascii="方正仿宋_GBK" w:hAnsi="方正仿宋_GBK" w:eastAsia="方正仿宋_GBK" w:cs="方正仿宋_GBK"/>
          <w:spacing w:val="0"/>
          <w:kern w:val="0"/>
          <w:sz w:val="32"/>
          <w:szCs w:val="32"/>
          <w:highlight w:val="none"/>
          <w:lang w:val="en-US" w:eastAsia="zh-CN"/>
        </w:rPr>
        <w:t>“无预算、超预算资金不支出”原则</w:t>
      </w:r>
      <w:r>
        <w:rPr>
          <w:rFonts w:hint="eastAsia" w:ascii="方正仿宋_GBK" w:hAnsi="方正仿宋_GBK" w:eastAsia="方正仿宋_GBK" w:cs="方正仿宋_GBK"/>
          <w:spacing w:val="0"/>
          <w:kern w:val="0"/>
          <w:sz w:val="32"/>
          <w:szCs w:val="32"/>
          <w:highlight w:val="none"/>
        </w:rPr>
        <w:t>，确保财政暂付款总量只减不增。不断完善制度机制，强化监测预警，稳妥处置债务风险</w:t>
      </w:r>
      <w:r>
        <w:rPr>
          <w:rFonts w:hint="default" w:ascii="Times New Roman" w:hAnsi="Times New Roman" w:eastAsia="方正仿宋_GBK" w:cs="Times New Roman"/>
          <w:spacing w:val="0"/>
          <w:kern w:val="0"/>
          <w:sz w:val="32"/>
          <w:szCs w:val="32"/>
          <w:highlight w:val="none"/>
        </w:rPr>
        <w:t>，2024年，通过预算安排、争取上级化</w:t>
      </w:r>
      <w:r>
        <w:rPr>
          <w:rFonts w:hint="default" w:ascii="Times New Roman" w:hAnsi="Times New Roman" w:eastAsia="方正仿宋_GBK" w:cs="Times New Roman"/>
          <w:spacing w:val="11"/>
          <w:kern w:val="0"/>
          <w:sz w:val="32"/>
          <w:szCs w:val="32"/>
          <w:highlight w:val="none"/>
        </w:rPr>
        <w:t>债专项资金足额拨付债务本息12.01</w:t>
      </w:r>
      <w:r>
        <w:rPr>
          <w:rFonts w:hint="eastAsia" w:ascii="方正仿宋_GBK" w:hAnsi="方正仿宋_GBK" w:eastAsia="方正仿宋_GBK" w:cs="方正仿宋_GBK"/>
          <w:spacing w:val="11"/>
          <w:kern w:val="0"/>
          <w:sz w:val="32"/>
          <w:szCs w:val="32"/>
          <w:highlight w:val="none"/>
        </w:rPr>
        <w:t>亿元，超额完成全年化解任务。</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方正仿宋_GBK" w:hAnsi="方正仿宋_GBK" w:eastAsia="方正仿宋_GBK" w:cs="方正仿宋_GBK"/>
          <w:spacing w:val="6"/>
          <w:kern w:val="0"/>
          <w:sz w:val="32"/>
          <w:szCs w:val="32"/>
          <w:highlight w:val="none"/>
        </w:rPr>
      </w:pPr>
      <w:r>
        <w:rPr>
          <w:rFonts w:hint="default" w:ascii="Times New Roman" w:hAnsi="Times New Roman" w:eastAsia="方正仿宋_GBK" w:cs="Times New Roman"/>
          <w:spacing w:val="0"/>
          <w:kern w:val="0"/>
          <w:sz w:val="32"/>
          <w:szCs w:val="32"/>
          <w:highlight w:val="none"/>
        </w:rPr>
        <w:t>2024</w:t>
      </w:r>
      <w:r>
        <w:rPr>
          <w:rFonts w:hint="eastAsia" w:ascii="方正仿宋_GBK" w:hAnsi="方正仿宋_GBK" w:eastAsia="方正仿宋_GBK" w:cs="方正仿宋_GBK"/>
          <w:spacing w:val="0"/>
          <w:kern w:val="0"/>
          <w:sz w:val="32"/>
          <w:szCs w:val="32"/>
          <w:highlight w:val="none"/>
        </w:rPr>
        <w:t>年，在县委、县政府的坚强领导下，在县人大、县政协的监督指导下，全县财政工作运行较为平稳，决算情况总体较好，财政工作取得了较好的成绩，但仍存在收入增长动能不足，收支矛盾突出，历史欠账较多，风险防控</w:t>
      </w:r>
      <w:r>
        <w:rPr>
          <w:rFonts w:hint="eastAsia" w:ascii="方正仿宋_GBK" w:hAnsi="方正仿宋_GBK" w:eastAsia="方正仿宋_GBK" w:cs="方正仿宋_GBK"/>
          <w:bCs/>
          <w:spacing w:val="0"/>
          <w:kern w:val="0"/>
          <w:sz w:val="32"/>
          <w:szCs w:val="32"/>
          <w:highlight w:val="none"/>
        </w:rPr>
        <w:t>难度尚未根本减轻</w:t>
      </w:r>
      <w:r>
        <w:rPr>
          <w:rFonts w:hint="eastAsia" w:ascii="方正仿宋_GBK" w:hAnsi="方正仿宋_GBK" w:eastAsia="方正仿宋_GBK" w:cs="方正仿宋_GBK"/>
          <w:spacing w:val="0"/>
          <w:kern w:val="0"/>
          <w:sz w:val="32"/>
          <w:szCs w:val="32"/>
          <w:highlight w:val="none"/>
        </w:rPr>
        <w:t>等问</w:t>
      </w:r>
      <w:r>
        <w:rPr>
          <w:rFonts w:hint="eastAsia" w:ascii="方正仿宋_GBK" w:hAnsi="方正仿宋_GBK" w:eastAsia="方正仿宋_GBK" w:cs="方正仿宋_GBK"/>
          <w:spacing w:val="6"/>
          <w:kern w:val="0"/>
          <w:sz w:val="32"/>
          <w:szCs w:val="32"/>
          <w:highlight w:val="none"/>
        </w:rPr>
        <w:t>题。下一步，我们将高度重视，积极主动采取有力措施逐步加以解决。</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textAlignment w:val="auto"/>
        <w:rPr>
          <w:rFonts w:hint="eastAsia" w:ascii="方正仿宋_GBK" w:hAnsi="方正仿宋_GBK" w:eastAsia="方正仿宋_GBK" w:cs="方正仿宋_GBK"/>
          <w:spacing w:val="0"/>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pacing w:val="0"/>
          <w:kern w:val="0"/>
          <w:sz w:val="32"/>
          <w:szCs w:val="32"/>
          <w:highlight w:val="none"/>
          <w:lang w:val="en-US" w:eastAsia="zh-CN"/>
        </w:rPr>
      </w:pPr>
      <w:r>
        <w:rPr>
          <w:rFonts w:hint="eastAsia" w:ascii="方正仿宋_GBK" w:hAnsi="方正仿宋_GBK" w:eastAsia="方正仿宋_GBK" w:cs="方正仿宋_GBK"/>
          <w:spacing w:val="0"/>
          <w:kern w:val="0"/>
          <w:sz w:val="32"/>
          <w:szCs w:val="32"/>
          <w:highlight w:val="none"/>
          <w:lang w:eastAsia="zh-CN"/>
        </w:rPr>
        <w:t>附表：</w:t>
      </w:r>
      <w:r>
        <w:rPr>
          <w:rFonts w:hint="default" w:ascii="Times New Roman" w:hAnsi="Times New Roman" w:eastAsia="方正仿宋_GBK" w:cs="Times New Roman"/>
          <w:spacing w:val="0"/>
          <w:kern w:val="0"/>
          <w:sz w:val="32"/>
          <w:szCs w:val="32"/>
          <w:highlight w:val="none"/>
          <w:lang w:val="en-US" w:eastAsia="zh-CN"/>
        </w:rPr>
        <w:t>1.2024年度米易县一般公共预算收入决算表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2.2024年度米易县一般公共预算支出决算表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3.2024年度米易县一般公共预算转移性收支决算表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pacing w:val="-6"/>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4.</w:t>
      </w:r>
      <w:r>
        <w:rPr>
          <w:rFonts w:hint="eastAsia" w:ascii="Times New Roman" w:hAnsi="Times New Roman" w:eastAsia="方正仿宋_GBK" w:cs="Times New Roman"/>
          <w:spacing w:val="-6"/>
          <w:kern w:val="0"/>
          <w:sz w:val="32"/>
          <w:szCs w:val="32"/>
          <w:highlight w:val="none"/>
          <w:lang w:val="en-US" w:eastAsia="zh-CN"/>
        </w:rPr>
        <w:t>2024年度米易县一般公共预算决算功能分类录入表</w:t>
      </w:r>
    </w:p>
    <w:p>
      <w:pPr>
        <w:keepNext w:val="0"/>
        <w:keepLines w:val="0"/>
        <w:pageBreakBefore w:val="0"/>
        <w:widowControl w:val="0"/>
        <w:kinsoku/>
        <w:wordWrap/>
        <w:overflowPunct/>
        <w:topLinePunct w:val="0"/>
        <w:autoSpaceDE/>
        <w:autoSpaceDN/>
        <w:bidi w:val="0"/>
        <w:adjustRightInd w:val="0"/>
        <w:snapToGrid w:val="0"/>
        <w:spacing w:line="600" w:lineRule="exact"/>
        <w:ind w:left="1920" w:leftChars="800" w:hanging="320" w:hangingChars="10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5.2024年度米易县一般公共预算（基本）支出决算</w:t>
      </w:r>
      <w:r>
        <w:rPr>
          <w:rFonts w:hint="eastAsia" w:eastAsia="方正仿宋_GBK" w:cs="Times New Roman"/>
          <w:spacing w:val="0"/>
          <w:kern w:val="0"/>
          <w:sz w:val="32"/>
          <w:szCs w:val="32"/>
          <w:highlight w:val="none"/>
          <w:lang w:val="en-US" w:eastAsia="zh-CN"/>
        </w:rPr>
        <w:t>经</w:t>
      </w:r>
      <w:r>
        <w:rPr>
          <w:rFonts w:hint="eastAsia" w:ascii="Times New Roman" w:hAnsi="Times New Roman" w:eastAsia="方正仿宋_GBK" w:cs="Times New Roman"/>
          <w:spacing w:val="0"/>
          <w:kern w:val="0"/>
          <w:sz w:val="32"/>
          <w:szCs w:val="32"/>
          <w:highlight w:val="none"/>
          <w:lang w:val="en-US" w:eastAsia="zh-CN"/>
        </w:rPr>
        <w:t>济分类录入表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pacing w:val="-6"/>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6.</w:t>
      </w:r>
      <w:r>
        <w:rPr>
          <w:rFonts w:hint="eastAsia" w:ascii="Times New Roman" w:hAnsi="Times New Roman" w:eastAsia="方正仿宋_GBK" w:cs="Times New Roman"/>
          <w:spacing w:val="-6"/>
          <w:kern w:val="0"/>
          <w:sz w:val="32"/>
          <w:szCs w:val="32"/>
          <w:highlight w:val="none"/>
          <w:lang w:val="en-US" w:eastAsia="zh-CN"/>
        </w:rPr>
        <w:t>2024年度米易县政府性基金预算转移性收支决算表</w:t>
      </w:r>
    </w:p>
    <w:p>
      <w:pPr>
        <w:keepNext w:val="0"/>
        <w:keepLines w:val="0"/>
        <w:pageBreakBefore w:val="0"/>
        <w:widowControl w:val="0"/>
        <w:kinsoku/>
        <w:wordWrap/>
        <w:overflowPunct/>
        <w:topLinePunct w:val="0"/>
        <w:autoSpaceDE/>
        <w:autoSpaceDN/>
        <w:bidi w:val="0"/>
        <w:adjustRightInd w:val="0"/>
        <w:snapToGrid w:val="0"/>
        <w:spacing w:line="600" w:lineRule="exact"/>
        <w:ind w:left="1600" w:leftChars="800" w:firstLine="0" w:firstLineChars="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7.2024年度米易县政府性基金预算支出决算功能分类录入表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8.2024年度米易县国有资本经营收支决算表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9.2024年度米易县地方政府债务余额情况表</w:t>
      </w:r>
    </w:p>
    <w:p>
      <w:pPr>
        <w:keepNext w:val="0"/>
        <w:keepLines w:val="0"/>
        <w:pageBreakBefore w:val="0"/>
        <w:widowControl w:val="0"/>
        <w:kinsoku/>
        <w:wordWrap/>
        <w:overflowPunct/>
        <w:topLinePunct w:val="0"/>
        <w:autoSpaceDE/>
        <w:autoSpaceDN/>
        <w:bidi w:val="0"/>
        <w:adjustRightInd w:val="0"/>
        <w:snapToGrid w:val="0"/>
        <w:spacing w:line="600" w:lineRule="exact"/>
        <w:ind w:left="1600" w:leftChars="800" w:firstLine="0" w:firstLineChars="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10.2024年度米易县地方政府专项债务分项目余额情况表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11.2024年度米易县乡镇一般公共预算收支决算表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12.2024年度米易县乡镇政府性基金预算收支决算表</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textAlignment w:val="auto"/>
        <w:rPr>
          <w:rFonts w:hint="eastAsia" w:ascii="方正仿宋_GBK" w:hAnsi="方正仿宋_GBK" w:eastAsia="方正仿宋_GBK" w:cs="方正仿宋_GBK"/>
          <w:sz w:val="32"/>
          <w:szCs w:val="32"/>
        </w:rPr>
        <w:sectPr>
          <w:headerReference r:id="rId3" w:type="default"/>
          <w:footerReference r:id="rId4" w:type="default"/>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eastAsia="zh-CN"/>
        </w:rPr>
        <w:t>附表</w:t>
      </w:r>
      <w:r>
        <w:rPr>
          <w:rFonts w:hint="eastAsia" w:ascii="Times New Roman" w:hAnsi="Times New Roman" w:cs="Times New Roman"/>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jc w:val="center"/>
        <w:textAlignment w:val="auto"/>
        <w:rPr>
          <w:rFonts w:hint="default" w:ascii="Times New Roman" w:hAnsi="Times New Roman" w:eastAsia="方正小标宋_GBK" w:cs="Times New Roman"/>
          <w:b/>
          <w:bCs/>
          <w:sz w:val="44"/>
          <w:szCs w:val="44"/>
          <w:lang w:val="en-US" w:eastAsia="zh-CN" w:bidi="ar-SA"/>
        </w:rPr>
      </w:pPr>
      <w:r>
        <w:rPr>
          <w:rFonts w:hint="default" w:ascii="Times New Roman" w:hAnsi="Times New Roman" w:eastAsia="方正小标宋_GBK" w:cs="Times New Roman"/>
          <w:b/>
          <w:bCs/>
          <w:sz w:val="44"/>
          <w:szCs w:val="44"/>
          <w:lang w:val="en-US" w:eastAsia="zh-CN" w:bidi="ar-SA"/>
        </w:rPr>
        <w:t>2024年度米易县一般公共预算收入决算表</w:t>
      </w:r>
    </w:p>
    <w:p>
      <w:pPr>
        <w:keepNext w:val="0"/>
        <w:keepLines w:val="0"/>
        <w:pageBreakBefore w:val="0"/>
        <w:widowControl w:val="0"/>
        <w:kinsoku/>
        <w:wordWrap/>
        <w:overflowPunct/>
        <w:topLinePunct w:val="0"/>
        <w:autoSpaceDE/>
        <w:autoSpaceDN/>
        <w:bidi w:val="0"/>
        <w:adjustRightInd w:val="0"/>
        <w:snapToGrid w:val="0"/>
        <w:spacing w:line="0" w:lineRule="atLeast"/>
        <w:jc w:val="right"/>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bCs/>
          <w:sz w:val="18"/>
          <w:szCs w:val="18"/>
          <w:lang w:val="en-US" w:eastAsia="zh-CN"/>
        </w:rPr>
        <w:t>单位：万元</w:t>
      </w:r>
    </w:p>
    <w:tbl>
      <w:tblPr>
        <w:tblStyle w:val="13"/>
        <w:tblW w:w="9810" w:type="dxa"/>
        <w:jc w:val="center"/>
        <w:tblInd w:w="0" w:type="dxa"/>
        <w:tblLayout w:type="fixed"/>
        <w:tblCellMar>
          <w:top w:w="0" w:type="dxa"/>
          <w:left w:w="0" w:type="dxa"/>
          <w:bottom w:w="0" w:type="dxa"/>
          <w:right w:w="0" w:type="dxa"/>
        </w:tblCellMar>
      </w:tblPr>
      <w:tblGrid>
        <w:gridCol w:w="2970"/>
        <w:gridCol w:w="1680"/>
        <w:gridCol w:w="1650"/>
        <w:gridCol w:w="1515"/>
        <w:gridCol w:w="1995"/>
      </w:tblGrid>
      <w:tr>
        <w:tblPrEx>
          <w:tblLayout w:type="fixed"/>
          <w:tblCellMar>
            <w:top w:w="0" w:type="dxa"/>
            <w:left w:w="0" w:type="dxa"/>
            <w:bottom w:w="0" w:type="dxa"/>
            <w:right w:w="0" w:type="dxa"/>
          </w:tblCellMar>
        </w:tblPrEx>
        <w:trPr>
          <w:trHeight w:val="408" w:hRule="exact"/>
          <w:jc w:val="center"/>
        </w:trPr>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预算科目</w:t>
            </w:r>
          </w:p>
        </w:tc>
        <w:tc>
          <w:tcPr>
            <w:tcW w:w="16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2024年收入</w:t>
            </w:r>
          </w:p>
        </w:tc>
        <w:tc>
          <w:tcPr>
            <w:tcW w:w="16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2023年收入</w:t>
            </w:r>
          </w:p>
        </w:tc>
        <w:tc>
          <w:tcPr>
            <w:tcW w:w="3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比上年同期</w:t>
            </w:r>
          </w:p>
        </w:tc>
      </w:tr>
      <w:tr>
        <w:tblPrEx>
          <w:tblLayout w:type="fixed"/>
          <w:tblCellMar>
            <w:top w:w="0" w:type="dxa"/>
            <w:left w:w="0" w:type="dxa"/>
            <w:bottom w:w="0" w:type="dxa"/>
            <w:right w:w="0" w:type="dxa"/>
          </w:tblCellMar>
        </w:tblPrEx>
        <w:trPr>
          <w:trHeight w:val="408" w:hRule="exact"/>
          <w:jc w:val="center"/>
        </w:trPr>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黑体_GBK" w:cs="Times New Roman"/>
                <w:b w:val="0"/>
                <w:bCs/>
                <w:i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黑体_GBK" w:cs="Times New Roman"/>
                <w:b w:val="0"/>
                <w:bCs/>
                <w:i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黑体_GBK" w:cs="Times New Roman"/>
                <w:b w:val="0"/>
                <w:bCs/>
                <w:i w:val="0"/>
                <w:color w:val="000000"/>
                <w:sz w:val="18"/>
                <w:szCs w:val="18"/>
                <w:u w:val="none"/>
              </w:rPr>
            </w:pPr>
          </w:p>
        </w:tc>
        <w:tc>
          <w:tcPr>
            <w:tcW w:w="15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增减额</w:t>
            </w:r>
          </w:p>
        </w:tc>
        <w:tc>
          <w:tcPr>
            <w:tcW w:w="199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增、减%</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一、税收收入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129,824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120,205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9,619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8.00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增值税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48,334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47,843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491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1.03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企业所得税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21,835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18,932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2,903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15.33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个人所得税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1,871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2,166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-295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-13.62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资源税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20,532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19,415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1,117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5.75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城市维护建设税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4,145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4,175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-30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-0.72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房产税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3,383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3,329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54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1.62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印花税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1,278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1,286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-8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-0.62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城镇土地使用税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6,531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5,194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1,337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25.74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土地增值税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907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1,572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-665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-42.30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车船税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963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897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66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7.36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耕地占用税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13,893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8,057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5,836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72.43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契税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2,648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3,158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-510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-16.15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烟叶税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2,972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3,679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-707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-19.22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环境保护税</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479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502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-23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-4.58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其他税收收入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53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53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二、非税收入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37,782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45,729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-7,947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-17.38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国有资本经营收入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8"/>
                <w:szCs w:val="18"/>
                <w:u w:val="none"/>
              </w:rPr>
            </w:pP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b/>
                <w:i w:val="0"/>
                <w:color w:val="000000"/>
                <w:sz w:val="18"/>
                <w:szCs w:val="18"/>
                <w:u w:val="none"/>
              </w:rPr>
            </w:pP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国有资源（资产）有偿使用收入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10,926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36,164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-25,238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-69.79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行政事业性收费收入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3,252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2,272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980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43.13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罚没收入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4,114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1,679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2,435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145.03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专项收入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5,106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4,779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327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6.84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政府住房基金收入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93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93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其他收入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14,291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835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13,456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1,611.50 </w:t>
            </w:r>
          </w:p>
        </w:tc>
      </w:tr>
      <w:tr>
        <w:tblPrEx>
          <w:tblLayout w:type="fixed"/>
          <w:tblCellMar>
            <w:top w:w="0" w:type="dxa"/>
            <w:left w:w="0" w:type="dxa"/>
            <w:bottom w:w="0" w:type="dxa"/>
            <w:right w:w="0" w:type="dxa"/>
          </w:tblCellMar>
        </w:tblPrEx>
        <w:trPr>
          <w:trHeight w:val="408" w:hRule="exact"/>
          <w:jc w:val="center"/>
        </w:trPr>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地方一般公共预算收入合计</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167,606 </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165,934 </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1,672 </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 xml:space="preserve"> 1.01 </w:t>
            </w:r>
          </w:p>
        </w:tc>
      </w:tr>
    </w:tbl>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textAlignment w:val="auto"/>
        <w:rPr>
          <w:rFonts w:hint="eastAsia" w:ascii="方正仿宋_GBK" w:hAnsi="方正仿宋_GBK" w:eastAsia="方正仿宋_GBK" w:cs="方正仿宋_GBK"/>
          <w:sz w:val="21"/>
          <w:szCs w:val="21"/>
          <w:lang w:val="en-US" w:eastAsia="zh-CN"/>
        </w:rPr>
        <w:sectPr>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eastAsia="zh-CN"/>
        </w:rPr>
        <w:t>附表</w:t>
      </w:r>
      <w:r>
        <w:rPr>
          <w:rFonts w:hint="eastAsia" w:ascii="Times New Roman" w:hAnsi="Times New Roman" w:cs="Times New Roman"/>
          <w:lang w:val="en-US" w:eastAsia="zh-CN"/>
        </w:rPr>
        <w:t>2</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jc w:val="center"/>
        <w:textAlignment w:val="auto"/>
        <w:rPr>
          <w:rFonts w:hint="default" w:ascii="Times New Roman" w:hAnsi="Times New Roman" w:eastAsia="方正小标宋_GBK" w:cs="Times New Roman"/>
          <w:b/>
          <w:bCs/>
          <w:sz w:val="44"/>
          <w:szCs w:val="44"/>
          <w:lang w:val="en-US" w:eastAsia="zh-CN" w:bidi="ar-SA"/>
        </w:rPr>
      </w:pPr>
      <w:r>
        <w:rPr>
          <w:rFonts w:hint="default" w:ascii="Times New Roman" w:hAnsi="Times New Roman" w:eastAsia="方正小标宋_GBK" w:cs="Times New Roman"/>
          <w:b/>
          <w:bCs/>
          <w:sz w:val="44"/>
          <w:szCs w:val="44"/>
          <w:lang w:val="en-US" w:eastAsia="zh-CN" w:bidi="ar-SA"/>
        </w:rPr>
        <w:t>2024年度米易县一般公共预算支出决算表</w:t>
      </w:r>
    </w:p>
    <w:p>
      <w:pPr>
        <w:keepNext w:val="0"/>
        <w:keepLines w:val="0"/>
        <w:pageBreakBefore w:val="0"/>
        <w:widowControl w:val="0"/>
        <w:kinsoku/>
        <w:wordWrap/>
        <w:overflowPunct/>
        <w:topLinePunct w:val="0"/>
        <w:autoSpaceDE/>
        <w:autoSpaceDN/>
        <w:bidi w:val="0"/>
        <w:adjustRightInd w:val="0"/>
        <w:snapToGrid w:val="0"/>
        <w:spacing w:line="0" w:lineRule="atLeast"/>
        <w:jc w:val="right"/>
        <w:textAlignment w:val="auto"/>
        <w:rPr>
          <w:rFonts w:hint="eastAsia" w:ascii="方正仿宋_GBK" w:hAnsi="方正仿宋_GBK" w:eastAsia="方正仿宋_GBK" w:cs="方正仿宋_GBK"/>
          <w:b/>
          <w:bCs/>
          <w:sz w:val="18"/>
          <w:szCs w:val="18"/>
          <w:lang w:val="en-US" w:eastAsia="zh-CN"/>
        </w:rPr>
      </w:pPr>
      <w:r>
        <w:rPr>
          <w:rFonts w:hint="eastAsia" w:ascii="方正仿宋_GBK" w:hAnsi="方正仿宋_GBK" w:eastAsia="方正仿宋_GBK" w:cs="方正仿宋_GBK"/>
          <w:b/>
          <w:bCs/>
          <w:sz w:val="21"/>
          <w:szCs w:val="21"/>
          <w:lang w:val="en-US" w:eastAsia="zh-CN"/>
        </w:rPr>
        <w:t>单位：万元</w:t>
      </w:r>
    </w:p>
    <w:tbl>
      <w:tblPr>
        <w:tblStyle w:val="13"/>
        <w:tblW w:w="9615" w:type="dxa"/>
        <w:jc w:val="center"/>
        <w:tblInd w:w="0" w:type="dxa"/>
        <w:tblLayout w:type="fixed"/>
        <w:tblCellMar>
          <w:top w:w="0" w:type="dxa"/>
          <w:left w:w="0" w:type="dxa"/>
          <w:bottom w:w="0" w:type="dxa"/>
          <w:right w:w="0" w:type="dxa"/>
        </w:tblCellMar>
      </w:tblPr>
      <w:tblGrid>
        <w:gridCol w:w="3255"/>
        <w:gridCol w:w="1590"/>
        <w:gridCol w:w="1590"/>
        <w:gridCol w:w="1590"/>
        <w:gridCol w:w="1590"/>
      </w:tblGrid>
      <w:tr>
        <w:tblPrEx>
          <w:tblLayout w:type="fixed"/>
          <w:tblCellMar>
            <w:top w:w="0" w:type="dxa"/>
            <w:left w:w="0" w:type="dxa"/>
            <w:bottom w:w="0" w:type="dxa"/>
            <w:right w:w="0" w:type="dxa"/>
          </w:tblCellMar>
        </w:tblPrEx>
        <w:trPr>
          <w:trHeight w:val="390" w:hRule="atLeast"/>
          <w:jc w:val="center"/>
        </w:trPr>
        <w:tc>
          <w:tcPr>
            <w:tcW w:w="32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预算科目</w:t>
            </w:r>
          </w:p>
        </w:tc>
        <w:tc>
          <w:tcPr>
            <w:tcW w:w="1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2024年支出</w:t>
            </w:r>
          </w:p>
        </w:tc>
        <w:tc>
          <w:tcPr>
            <w:tcW w:w="1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2023年支出</w:t>
            </w:r>
          </w:p>
        </w:tc>
        <w:tc>
          <w:tcPr>
            <w:tcW w:w="3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比上年同期</w:t>
            </w:r>
          </w:p>
        </w:tc>
      </w:tr>
      <w:tr>
        <w:tblPrEx>
          <w:tblLayout w:type="fixed"/>
          <w:tblCellMar>
            <w:top w:w="0" w:type="dxa"/>
            <w:left w:w="0" w:type="dxa"/>
            <w:bottom w:w="0" w:type="dxa"/>
            <w:right w:w="0" w:type="dxa"/>
          </w:tblCellMar>
        </w:tblPrEx>
        <w:trPr>
          <w:trHeight w:val="390" w:hRule="atLeast"/>
          <w:jc w:val="center"/>
        </w:trPr>
        <w:tc>
          <w:tcPr>
            <w:tcW w:w="32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黑体_GBK" w:cs="Times New Roman"/>
                <w:b w:val="0"/>
                <w:bCs/>
                <w:i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黑体_GBK" w:cs="Times New Roman"/>
                <w:b w:val="0"/>
                <w:bCs/>
                <w:i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黑体_GBK" w:cs="Times New Roman"/>
                <w:b w:val="0"/>
                <w:bCs/>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增减额</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增、减%</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一般公共服务</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25,021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24,643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378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1.53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国防支出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109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16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93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581.25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公共安全支出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11,872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11,797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75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0.64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教育支出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42,319</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42,258</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61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0.14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科学技术支出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761</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851</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-90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-10.58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文化体育与传媒支出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3,462</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3,844</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-382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-9.94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社会保障和就业支出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40,523</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40,053</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470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1.17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卫生健康支出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26,180</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25,670</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510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1.99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节能环保支出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5,111</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4,676</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435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9.30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城乡社区支出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20,509</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23,443</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-2,934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-12.52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农林水支出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85,963</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50,828</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35,135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69.13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交通运输支出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3,458</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2,796</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662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23.68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资源勘探信息等支出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692</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1,128</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-436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-38.65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商业服务业等支出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346</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815</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-469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-57.55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金融支出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317</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89</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228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256.18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自然资源海洋气象等支出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6,968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5,134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1,834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35.72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住房保障支出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11,551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8,407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3,144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37.40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粮油物资储备支出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290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210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80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38.10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灾害防治及应急管理支出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3,707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2,243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1,464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65.27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债务付息支出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6,758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6,464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294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4.55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债务发行费用支出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20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37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-17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-45.95 </w:t>
            </w: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其他支出</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 xml:space="preserve"> 11,771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r>
      <w:tr>
        <w:tblPrEx>
          <w:tblLayout w:type="fixed"/>
          <w:tblCellMar>
            <w:top w:w="0" w:type="dxa"/>
            <w:left w:w="0" w:type="dxa"/>
            <w:bottom w:w="0" w:type="dxa"/>
            <w:right w:w="0" w:type="dxa"/>
          </w:tblCellMar>
        </w:tblPrEx>
        <w:trPr>
          <w:trHeight w:val="390" w:hRule="atLeast"/>
          <w:jc w:val="center"/>
        </w:trPr>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一般公共预算支出合计</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 xml:space="preserve"> 295,937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 xml:space="preserve"> 267,173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 xml:space="preserve"> 28,764 </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 xml:space="preserve"> 10.77 </w:t>
            </w:r>
          </w:p>
        </w:tc>
      </w:tr>
    </w:tbl>
    <w:p>
      <w:pPr>
        <w:ind w:left="0" w:leftChars="0" w:firstLine="0" w:firstLineChars="0"/>
        <w:rPr>
          <w:rFonts w:hint="eastAsia" w:ascii="方正仿宋_GBK" w:hAnsi="方正仿宋_GBK" w:eastAsia="方正仿宋_GBK" w:cs="方正仿宋_GBK"/>
          <w:sz w:val="18"/>
          <w:szCs w:val="18"/>
          <w:lang w:val="en-US" w:eastAsia="zh-CN"/>
        </w:rPr>
        <w:sectPr>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eastAsia="zh-CN"/>
        </w:rPr>
        <w:t>附表</w:t>
      </w:r>
      <w:r>
        <w:rPr>
          <w:rFonts w:hint="eastAsia" w:ascii="Times New Roman" w:hAnsi="Times New Roman" w:cs="Times New Roman"/>
          <w:lang w:val="en-US" w:eastAsia="zh-CN"/>
        </w:rPr>
        <w:t>3</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jc w:val="center"/>
        <w:textAlignment w:val="auto"/>
        <w:rPr>
          <w:rFonts w:hint="default" w:ascii="Times New Roman" w:hAnsi="Times New Roman" w:eastAsia="方正小标宋_GBK" w:cs="Times New Roman"/>
          <w:b/>
          <w:bCs/>
          <w:sz w:val="44"/>
          <w:szCs w:val="44"/>
          <w:lang w:val="en-US" w:eastAsia="zh-CN" w:bidi="ar-SA"/>
        </w:rPr>
      </w:pPr>
      <w:r>
        <w:rPr>
          <w:rFonts w:hint="default" w:ascii="Times New Roman" w:hAnsi="Times New Roman" w:eastAsia="方正小标宋_GBK" w:cs="Times New Roman"/>
          <w:b/>
          <w:bCs/>
          <w:spacing w:val="-20"/>
          <w:sz w:val="44"/>
          <w:szCs w:val="44"/>
          <w:lang w:val="en-US" w:eastAsia="zh-CN" w:bidi="ar-SA"/>
        </w:rPr>
        <w:t>2024年度米易县一般公共预算转移性收支决算表</w:t>
      </w:r>
    </w:p>
    <w:p>
      <w:pPr>
        <w:keepNext w:val="0"/>
        <w:keepLines w:val="0"/>
        <w:pageBreakBefore w:val="0"/>
        <w:widowControl w:val="0"/>
        <w:kinsoku/>
        <w:wordWrap/>
        <w:overflowPunct/>
        <w:topLinePunct w:val="0"/>
        <w:autoSpaceDE/>
        <w:autoSpaceDN/>
        <w:bidi w:val="0"/>
        <w:spacing w:line="0" w:lineRule="atLeast"/>
        <w:jc w:val="right"/>
        <w:textAlignment w:val="auto"/>
        <w:rPr>
          <w:rFonts w:hint="eastAsia" w:ascii="方正仿宋_GBK" w:hAnsi="方正仿宋_GBK" w:eastAsia="方正仿宋_GBK" w:cs="方正仿宋_GBK"/>
          <w:b/>
          <w:bCs/>
          <w:sz w:val="15"/>
          <w:szCs w:val="15"/>
          <w:lang w:val="en-US" w:eastAsia="zh-CN"/>
        </w:rPr>
      </w:pPr>
      <w:r>
        <w:rPr>
          <w:rFonts w:hint="eastAsia" w:ascii="方正仿宋_GBK" w:hAnsi="方正仿宋_GBK" w:eastAsia="方正仿宋_GBK" w:cs="方正仿宋_GBK"/>
          <w:b/>
          <w:bCs/>
          <w:sz w:val="15"/>
          <w:szCs w:val="15"/>
          <w:lang w:val="en-US" w:eastAsia="zh-CN"/>
        </w:rPr>
        <w:t>单位：万元</w:t>
      </w:r>
    </w:p>
    <w:tbl>
      <w:tblPr>
        <w:tblStyle w:val="13"/>
        <w:tblW w:w="10217" w:type="dxa"/>
        <w:jc w:val="center"/>
        <w:tblInd w:w="0" w:type="dxa"/>
        <w:tblLayout w:type="fixed"/>
        <w:tblCellMar>
          <w:top w:w="0" w:type="dxa"/>
          <w:left w:w="0" w:type="dxa"/>
          <w:bottom w:w="0" w:type="dxa"/>
          <w:right w:w="0" w:type="dxa"/>
        </w:tblCellMar>
      </w:tblPr>
      <w:tblGrid>
        <w:gridCol w:w="4232"/>
        <w:gridCol w:w="1013"/>
        <w:gridCol w:w="4098"/>
        <w:gridCol w:w="874"/>
      </w:tblGrid>
      <w:tr>
        <w:tblPrEx>
          <w:tblLayout w:type="fixed"/>
          <w:tblCellMar>
            <w:top w:w="0" w:type="dxa"/>
            <w:left w:w="0" w:type="dxa"/>
            <w:bottom w:w="0" w:type="dxa"/>
            <w:right w:w="0" w:type="dxa"/>
          </w:tblCellMar>
        </w:tblPrEx>
        <w:trPr>
          <w:trHeight w:val="340" w:hRule="exact"/>
          <w:jc w:val="center"/>
        </w:trPr>
        <w:tc>
          <w:tcPr>
            <w:tcW w:w="52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15"/>
                <w:szCs w:val="15"/>
                <w:u w:val="none"/>
              </w:rPr>
            </w:pPr>
            <w:r>
              <w:rPr>
                <w:rFonts w:hint="eastAsia" w:ascii="方正黑体_GBK" w:hAnsi="方正黑体_GBK" w:eastAsia="方正黑体_GBK" w:cs="方正黑体_GBK"/>
                <w:b w:val="0"/>
                <w:bCs/>
                <w:i w:val="0"/>
                <w:color w:val="000000"/>
                <w:kern w:val="0"/>
                <w:sz w:val="15"/>
                <w:szCs w:val="15"/>
                <w:u w:val="none"/>
                <w:lang w:val="en-US" w:eastAsia="zh-CN" w:bidi="ar"/>
              </w:rPr>
              <w:t>收入</w:t>
            </w:r>
          </w:p>
        </w:tc>
        <w:tc>
          <w:tcPr>
            <w:tcW w:w="49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15"/>
                <w:szCs w:val="15"/>
                <w:u w:val="none"/>
              </w:rPr>
            </w:pPr>
            <w:r>
              <w:rPr>
                <w:rFonts w:hint="eastAsia" w:ascii="方正黑体_GBK" w:hAnsi="方正黑体_GBK" w:eastAsia="方正黑体_GBK" w:cs="方正黑体_GBK"/>
                <w:b w:val="0"/>
                <w:bCs/>
                <w:i w:val="0"/>
                <w:color w:val="000000"/>
                <w:kern w:val="0"/>
                <w:sz w:val="15"/>
                <w:szCs w:val="15"/>
                <w:u w:val="none"/>
                <w:lang w:val="en-US" w:eastAsia="zh-CN" w:bidi="ar"/>
              </w:rPr>
              <w:t>支出</w:t>
            </w:r>
          </w:p>
        </w:tc>
      </w:tr>
      <w:tr>
        <w:tblPrEx>
          <w:tblLayout w:type="fixed"/>
          <w:tblCellMar>
            <w:top w:w="0" w:type="dxa"/>
            <w:left w:w="0" w:type="dxa"/>
            <w:bottom w:w="0" w:type="dxa"/>
            <w:right w:w="0" w:type="dxa"/>
          </w:tblCellMar>
        </w:tblPrEx>
        <w:trPr>
          <w:trHeight w:val="340" w:hRule="exac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15"/>
                <w:szCs w:val="15"/>
                <w:u w:val="none"/>
              </w:rPr>
            </w:pPr>
            <w:r>
              <w:rPr>
                <w:rFonts w:hint="eastAsia" w:ascii="方正黑体_GBK" w:hAnsi="方正黑体_GBK" w:eastAsia="方正黑体_GBK" w:cs="方正黑体_GBK"/>
                <w:b w:val="0"/>
                <w:bCs/>
                <w:i w:val="0"/>
                <w:color w:val="000000"/>
                <w:kern w:val="0"/>
                <w:sz w:val="15"/>
                <w:szCs w:val="15"/>
                <w:u w:val="none"/>
                <w:lang w:val="en-US" w:eastAsia="zh-CN" w:bidi="ar"/>
              </w:rPr>
              <w:t>项目</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15"/>
                <w:szCs w:val="15"/>
                <w:u w:val="none"/>
              </w:rPr>
            </w:pPr>
            <w:r>
              <w:rPr>
                <w:rFonts w:hint="eastAsia" w:ascii="方正黑体_GBK" w:hAnsi="方正黑体_GBK" w:eastAsia="方正黑体_GBK" w:cs="方正黑体_GBK"/>
                <w:b w:val="0"/>
                <w:bCs/>
                <w:i w:val="0"/>
                <w:color w:val="000000"/>
                <w:kern w:val="0"/>
                <w:sz w:val="15"/>
                <w:szCs w:val="15"/>
                <w:u w:val="none"/>
                <w:lang w:val="en-US" w:eastAsia="zh-CN" w:bidi="ar"/>
              </w:rPr>
              <w:t>执行数</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15"/>
                <w:szCs w:val="15"/>
                <w:u w:val="none"/>
              </w:rPr>
            </w:pPr>
            <w:r>
              <w:rPr>
                <w:rFonts w:hint="eastAsia" w:ascii="方正黑体_GBK" w:hAnsi="方正黑体_GBK" w:eastAsia="方正黑体_GBK" w:cs="方正黑体_GBK"/>
                <w:b w:val="0"/>
                <w:bCs/>
                <w:i w:val="0"/>
                <w:color w:val="000000"/>
                <w:kern w:val="0"/>
                <w:sz w:val="15"/>
                <w:szCs w:val="15"/>
                <w:u w:val="none"/>
                <w:lang w:val="en-US" w:eastAsia="zh-CN" w:bidi="ar"/>
              </w:rPr>
              <w:t>项目</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15"/>
                <w:szCs w:val="15"/>
                <w:u w:val="none"/>
              </w:rPr>
            </w:pPr>
            <w:r>
              <w:rPr>
                <w:rFonts w:hint="eastAsia" w:ascii="方正黑体_GBK" w:hAnsi="方正黑体_GBK" w:eastAsia="方正黑体_GBK" w:cs="方正黑体_GBK"/>
                <w:b w:val="0"/>
                <w:bCs/>
                <w:i w:val="0"/>
                <w:color w:val="000000"/>
                <w:kern w:val="0"/>
                <w:sz w:val="15"/>
                <w:szCs w:val="15"/>
                <w:u w:val="none"/>
                <w:lang w:val="en-US" w:eastAsia="zh-CN" w:bidi="ar"/>
              </w:rPr>
              <w:t>执行数</w:t>
            </w: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一般公共预算收入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167,606</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一般公共预算支出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295,937</w:t>
            </w: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上级补助收入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120,187</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补助下级支出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返还性收入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-356</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返还性支出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所得税基数返还收入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72</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所得税基数返还支出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成品油税费改革税收返还收入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700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成品油税费改革税收返还支出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增值税税收返还收入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5,866</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增值税税收返还支出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消费税税收返还收入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消费税税收返还支出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增值税“五五分享”税收返还收入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-6,689</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增值税“五五分享”税收返还支出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其他返还性收入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-306</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其他返还性支出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一般性转移支付收入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106,830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一般性转移支付支出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体制补助收入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体制补助支出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均衡性转移支付收入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28,274</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均衡性转移支付支出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县级基本财力保障机制奖补资金收入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3,637</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县级基本财力保障机制奖补资金支出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结算补助收入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-14,153</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结算补助支出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资源枯竭型城市转移支付补助收入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资源枯竭型城市转移支付补助支出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企业事业单位划转补助收入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96</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企业事业单位划转补助支出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产粮(油)大县奖励资金收入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产粮(油)大县奖励资金支出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重点生态功能区转移支付收入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1,200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重点生态功能区转移支付支出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固定数额补助收入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9,401</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固定数额补助支出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革命老区转移支付收入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革命老区转移支付支出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民族地区转移支付收入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民族地区转移支付支出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边境地区转移支付收入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边境地区转移支付支出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巩固脱贫攻坚成果衔接乡村振兴转移支付收入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5,378</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巩固脱贫攻坚成果衔接乡村振兴转移支付支出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一般公共服务共同财政事权转移支付收入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一般公共服务共同财政事权转移支付支出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外交共同财政事权转移支付收入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外交共同财政事权转移支付支出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国防共同财政事权转移支付收入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国防共同财政事权转移支付支出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公共安全共同财政事权转移支付收入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1,259</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公共安全共同财政事权转移支付支出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教育共同财政事权转移支付收入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8,227</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教育共同财政事权转移支付支出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科学技术共同财政事权转移支付收入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46</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科学技术共同财政事权转移支付支出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文化旅游体育与传媒共同财政事权转移支付收入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351</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文化旅游体育与传媒共同财政事权转移支付支出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社会保障和就业共同财政事权转移支付收入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6,541</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社会保障和就业共同财政事权转移支付支出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医疗卫生共同财政事权转移支付收入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4,204</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医疗卫生共同财政事权转移支付支出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节能环保共同财政事权转移支付收入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210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节能环保共同财政事权转移支付支出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城乡社区共同财政事权转移支付收入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城乡社区共同财政事权转移支付支出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农林水共同财政事权转移支付收入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49,023</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农林水共同财政事权转移支付支出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交通运输共同财政事权转移支付收入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1,642</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交通运输共同财政事权转移支付支出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资源勘探工业信息等共同财政事权转移支付收入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资源勘探工业信息等共同财政事权转移支付支出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商业服务业等共同财政事权转移支付收入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商业服务业等共同财政事权转移支付支出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金融共同财政事权转移支付收入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金融共同财政事权转移支付支出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自然资源海洋气象等共同财政事权转移支付收入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自然资源海洋气象等共同财政事权转移支付支出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住房保障共同财政事权转移支付收入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529</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住房保障共同财政事权转移支付支出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粮油物资储备共同财政事权转移支付收入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粮油物资储备共同财政事权转移支付支出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灾害防治及应急管理共同财政事权转移支付收入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251</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灾害防治及应急管理共同财政事权转移支付支出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其他共同财政事权转移支付收入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其他共同财政事权转移支付支出 </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其他一般性转移支付收入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714</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其他一般性转移支付支出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30"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专项转移支付收入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13,713</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专项转移支付支出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383"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一般公共服务</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50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一般公共服务</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383"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外交</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外交</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43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国防</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国防</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公共安全</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公共安全</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教育</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教育</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科学技术</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50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科学技术</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文化旅游体育与传媒</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12</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文化旅游体育与传媒</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社会保障和就业</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社会保障和就业</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卫生健康</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373</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卫生健康</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节能环保</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1,344</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节能环保</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城乡社区</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563</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城乡社区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农林水</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4,793</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农林水</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交通运输</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582</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交通运输</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资源勘探工业信息等</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269</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资源勘探工业信息等</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商业服务业等</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商业服务业等</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金融</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415</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金融</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自然资源海洋气象等</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自然资源海洋气象等</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住房保障</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3,100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住房保障</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粮油物资储备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粮油物资储备</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灾害防治及应急管理</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2,157</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灾害防治及应急管理</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下级上解收入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上解上级支出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14,387</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体制上解收入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体制上解支出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专项上解收入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专项上解支出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14,387</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待偿债再融资一般债券上年结余</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b/>
                <w:i w:val="0"/>
                <w:color w:val="000000"/>
                <w:sz w:val="15"/>
                <w:szCs w:val="15"/>
                <w:u w:val="none"/>
              </w:rPr>
            </w:pP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上年结余收入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44,528</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15"/>
                <w:szCs w:val="15"/>
                <w:u w:val="none"/>
              </w:rPr>
            </w:pP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调入资金   </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637</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调出资金</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32</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从政府性基金预算调入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32</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调出用于补充超长期特别国债偿债备付金的资金</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从国有资本经营预算调入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605</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调出用于偿还超长期特别国债本金的资金</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从其他资金调入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其他调出资金</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32</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债务收入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债务还本支出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22,001</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地方政府债务收入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地方政府一般债务还本支出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22,001</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一般债务收入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地方政府一般债券还本支出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21,720</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地方政府一般债券收入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地方政府向外国政府借款还本支出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地方政府向外国政府借款收入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地方政府向国际组织借款还本支出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281</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地方政府向国际组织借款收入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地方政府其他一般债务还本支出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地方政府其他一般债务收入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15"/>
                <w:szCs w:val="15"/>
                <w:u w:val="none"/>
              </w:rPr>
            </w:pP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债务转贷收入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27,824</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债务转贷支出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地方政府一般债务转贷收入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27,824</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地方政府一般债券转贷支出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地方政府一般债券转贷收入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27,824</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地方政府向外国政府借款转贷支出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地方政府向外国政府借款转贷收入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地方政府向国际组织借款转贷支出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地方政府向国际组织借款转贷收入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地方政府其他一般债务转贷支出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地方政府其他一般债务转贷收入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15"/>
                <w:szCs w:val="15"/>
                <w:u w:val="none"/>
              </w:rPr>
            </w:pP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国债转贷收入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补充预算周转金</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国债转贷资金上年结余</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拨付国债转贷资金数</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国债转贷转补助数</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国债转贷资金结余</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b/>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动用预算稳定调节基金</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184</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安排预算稳定调节基金</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406</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区域间转移性收入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区域间转移性支出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接受其他地区援助收入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援助其他地区支出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接受其他省(自治区、直辖市、计划单列市)援助收入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援助其他省(自治区、直辖市、计划单列市)支出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接受省内其他地市(区)援助收入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援助省内其他地市(区)支出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接受市内其他县市(区)援助收入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援助市内其他县市(区)支出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生态保护补偿转移性收入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生态保护补偿转移性支出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其他省(自治区、直辖市、计划单列市)横向生态保护补偿转移性收入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其他省(自治区、直辖市、计划单列市)横向生态保护补偿转移性支出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省内其他地市(区)横向生态保护补偿转移性收入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省内其他地市(区)横向生态保护补偿转移性支出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市内其他县市(区)横向生态保护补偿转移性收入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市内其他县市(区)横向生态保护补偿转移性支出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土地指标调剂转移性收入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土地指标调剂转移性支出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其他省(自治区、直辖市、计划单列市)横向土地指标调剂转移性收入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其他省(自治区、直辖市、计划单列市)横向土地指标调剂转移性支出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省内其他地市(区)横向土地指标调剂转移性收入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省内其他地市(区)横向土地指标调剂转移性支出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市内其他县市(区)横向土地指标调剂转移性收入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市内其他县市(区)横向土地指标调剂转移性支出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其他省(自治区、直辖市、计划单列市)其他转移性收入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其他省(自治区、直辖市、计划单列市)其他转移性支出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省内其他地市(区)其他转移性收入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 xml:space="preserve">    省内其他地市(区)其他转移性支出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市内其他县市(区)其他转移性收入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 xml:space="preserve">    市内其他县市(区)其他转移性支出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省补助计划单列市收入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计划单列市上解省支出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计划单列市上解省收入</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省补助计划单列市支出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15"/>
                <w:szCs w:val="15"/>
                <w:u w:val="none"/>
              </w:rPr>
            </w:pP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待偿债再融资一般债券结余</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b/>
                <w:i w:val="0"/>
                <w:color w:val="000000"/>
                <w:sz w:val="15"/>
                <w:szCs w:val="15"/>
                <w:u w:val="none"/>
              </w:rPr>
            </w:pP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年终结余</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28,203</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b/>
                <w:i w:val="0"/>
                <w:color w:val="000000"/>
                <w:sz w:val="15"/>
                <w:szCs w:val="15"/>
                <w:u w:val="none"/>
              </w:rPr>
            </w:pP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减:结转下年的支出</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28,203</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15"/>
                <w:szCs w:val="15"/>
                <w:u w:val="none"/>
              </w:rPr>
            </w:pP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15"/>
                <w:szCs w:val="15"/>
                <w:u w:val="none"/>
              </w:rPr>
            </w:pP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15"/>
                <w:szCs w:val="15"/>
                <w:u w:val="none"/>
              </w:rPr>
            </w:pPr>
            <w:r>
              <w:rPr>
                <w:rFonts w:hint="default" w:ascii="Times New Roman" w:hAnsi="Times New Roman" w:eastAsia="方正仿宋_GBK" w:cs="Times New Roman"/>
                <w:b/>
                <w:i w:val="0"/>
                <w:color w:val="000000"/>
                <w:kern w:val="0"/>
                <w:sz w:val="15"/>
                <w:szCs w:val="15"/>
                <w:u w:val="none"/>
                <w:lang w:val="en-US" w:eastAsia="zh-CN" w:bidi="ar"/>
              </w:rPr>
              <w:t>净结余</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15"/>
                <w:szCs w:val="15"/>
                <w:u w:val="none"/>
              </w:rPr>
            </w:pPr>
            <w:r>
              <w:rPr>
                <w:rFonts w:hint="default" w:ascii="Times New Roman" w:hAnsi="Times New Roman" w:eastAsia="方正仿宋_GBK" w:cs="Times New Roman"/>
                <w:i w:val="0"/>
                <w:color w:val="000000"/>
                <w:kern w:val="0"/>
                <w:sz w:val="15"/>
                <w:szCs w:val="15"/>
                <w:u w:val="none"/>
                <w:lang w:val="en-US" w:eastAsia="zh-CN" w:bidi="ar"/>
              </w:rPr>
              <w:t>0</w:t>
            </w:r>
          </w:p>
        </w:tc>
      </w:tr>
      <w:tr>
        <w:tblPrEx>
          <w:tblLayout w:type="fixed"/>
          <w:tblCellMar>
            <w:top w:w="0" w:type="dxa"/>
            <w:left w:w="0" w:type="dxa"/>
            <w:bottom w:w="0" w:type="dxa"/>
            <w:right w:w="0" w:type="dxa"/>
          </w:tblCellMar>
        </w:tblPrEx>
        <w:trPr>
          <w:trHeight w:val="285" w:hRule="atLeast"/>
          <w:jc w:val="center"/>
        </w:trPr>
        <w:tc>
          <w:tcPr>
            <w:tcW w:w="4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bCs/>
                <w:i w:val="0"/>
                <w:color w:val="000000"/>
                <w:sz w:val="15"/>
                <w:szCs w:val="15"/>
                <w:u w:val="none"/>
              </w:rPr>
            </w:pPr>
            <w:r>
              <w:rPr>
                <w:rFonts w:hint="default" w:ascii="Times New Roman" w:hAnsi="Times New Roman" w:eastAsia="方正仿宋_GBK" w:cs="Times New Roman"/>
                <w:b/>
                <w:bCs/>
                <w:i w:val="0"/>
                <w:color w:val="000000"/>
                <w:kern w:val="0"/>
                <w:sz w:val="15"/>
                <w:szCs w:val="15"/>
                <w:u w:val="none"/>
                <w:lang w:val="en-US" w:eastAsia="zh-CN" w:bidi="ar"/>
              </w:rPr>
              <w:t>收  入  总  计</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15"/>
                <w:szCs w:val="15"/>
                <w:u w:val="none"/>
              </w:rPr>
            </w:pPr>
            <w:r>
              <w:rPr>
                <w:rFonts w:hint="default" w:ascii="Times New Roman" w:hAnsi="Times New Roman" w:eastAsia="方正仿宋_GBK" w:cs="Times New Roman"/>
                <w:b/>
                <w:bCs/>
                <w:i w:val="0"/>
                <w:color w:val="000000"/>
                <w:kern w:val="0"/>
                <w:sz w:val="15"/>
                <w:szCs w:val="15"/>
                <w:u w:val="none"/>
                <w:lang w:val="en-US" w:eastAsia="zh-CN" w:bidi="ar"/>
              </w:rPr>
              <w:t>360,966</w:t>
            </w:r>
          </w:p>
        </w:tc>
        <w:tc>
          <w:tcPr>
            <w:tcW w:w="4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bCs/>
                <w:i w:val="0"/>
                <w:color w:val="000000"/>
                <w:sz w:val="15"/>
                <w:szCs w:val="15"/>
                <w:u w:val="none"/>
              </w:rPr>
            </w:pPr>
            <w:r>
              <w:rPr>
                <w:rFonts w:hint="default" w:ascii="Times New Roman" w:hAnsi="Times New Roman" w:eastAsia="方正仿宋_GBK" w:cs="Times New Roman"/>
                <w:b/>
                <w:bCs/>
                <w:i w:val="0"/>
                <w:color w:val="000000"/>
                <w:kern w:val="0"/>
                <w:sz w:val="15"/>
                <w:szCs w:val="15"/>
                <w:u w:val="none"/>
                <w:lang w:val="en-US" w:eastAsia="zh-CN" w:bidi="ar"/>
              </w:rPr>
              <w:t>支  出  总  计</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15"/>
                <w:szCs w:val="15"/>
                <w:u w:val="none"/>
              </w:rPr>
            </w:pPr>
            <w:r>
              <w:rPr>
                <w:rFonts w:hint="default" w:ascii="Times New Roman" w:hAnsi="Times New Roman" w:eastAsia="方正仿宋_GBK" w:cs="Times New Roman"/>
                <w:b/>
                <w:bCs/>
                <w:i w:val="0"/>
                <w:color w:val="000000"/>
                <w:kern w:val="0"/>
                <w:sz w:val="15"/>
                <w:szCs w:val="15"/>
                <w:u w:val="none"/>
                <w:lang w:val="en-US" w:eastAsia="zh-CN" w:bidi="ar"/>
              </w:rPr>
              <w:t>360,966</w:t>
            </w:r>
          </w:p>
        </w:tc>
      </w:tr>
    </w:tbl>
    <w:p>
      <w:pPr>
        <w:bidi w:val="0"/>
        <w:ind w:left="0" w:leftChars="0" w:firstLine="0" w:firstLineChars="0"/>
        <w:rPr>
          <w:rFonts w:hint="default"/>
          <w:lang w:val="en-US" w:eastAsia="zh-CN"/>
        </w:rPr>
        <w:sectPr>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eastAsia="zh-CN"/>
        </w:rPr>
        <w:t>附表</w:t>
      </w:r>
      <w:r>
        <w:rPr>
          <w:rFonts w:hint="eastAsia" w:ascii="Times New Roman" w:hAnsi="Times New Roman" w:cs="Times New Roman"/>
          <w:lang w:val="en-US" w:eastAsia="zh-CN"/>
        </w:rPr>
        <w:t>4</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jc w:val="center"/>
        <w:textAlignment w:val="auto"/>
        <w:rPr>
          <w:rFonts w:hint="default" w:ascii="Times New Roman" w:hAnsi="Times New Roman" w:eastAsia="方正小标宋_GBK" w:cs="Times New Roman"/>
          <w:b/>
          <w:bCs/>
          <w:sz w:val="44"/>
          <w:szCs w:val="44"/>
          <w:lang w:val="en-US" w:eastAsia="zh-CN" w:bidi="ar-SA"/>
        </w:rPr>
      </w:pPr>
      <w:r>
        <w:rPr>
          <w:rFonts w:hint="default" w:ascii="Times New Roman" w:hAnsi="Times New Roman" w:eastAsia="方正小标宋_GBK" w:cs="Times New Roman"/>
          <w:b/>
          <w:bCs/>
          <w:spacing w:val="-28"/>
          <w:sz w:val="44"/>
          <w:szCs w:val="44"/>
          <w:lang w:val="en-US" w:eastAsia="zh-CN" w:bidi="ar-SA"/>
        </w:rPr>
        <w:t>2024年度米易县一般公共预算决算功能分类录入表</w:t>
      </w:r>
    </w:p>
    <w:p>
      <w:pPr>
        <w:keepNext w:val="0"/>
        <w:keepLines w:val="0"/>
        <w:pageBreakBefore w:val="0"/>
        <w:widowControl w:val="0"/>
        <w:kinsoku/>
        <w:wordWrap/>
        <w:overflowPunct/>
        <w:topLinePunct w:val="0"/>
        <w:autoSpaceDE/>
        <w:autoSpaceDN/>
        <w:bidi w:val="0"/>
        <w:spacing w:line="0" w:lineRule="atLeast"/>
        <w:jc w:val="right"/>
        <w:textAlignment w:val="auto"/>
        <w:rPr>
          <w:rFonts w:hint="eastAsia" w:ascii="方正仿宋_GBK" w:hAnsi="方正仿宋_GBK" w:eastAsia="方正仿宋_GBK" w:cs="方正仿宋_GBK"/>
          <w:b/>
          <w:bCs/>
          <w:sz w:val="15"/>
          <w:szCs w:val="15"/>
          <w:lang w:val="en-US" w:eastAsia="zh-CN"/>
        </w:rPr>
      </w:pPr>
      <w:r>
        <w:rPr>
          <w:rFonts w:hint="eastAsia" w:ascii="方正仿宋_GBK" w:hAnsi="方正仿宋_GBK" w:eastAsia="方正仿宋_GBK" w:cs="方正仿宋_GBK"/>
          <w:b/>
          <w:bCs/>
          <w:sz w:val="15"/>
          <w:szCs w:val="15"/>
          <w:lang w:val="en-US" w:eastAsia="zh-CN"/>
        </w:rPr>
        <w:t>单位：万元</w:t>
      </w:r>
    </w:p>
    <w:tbl>
      <w:tblPr>
        <w:tblStyle w:val="13"/>
        <w:tblW w:w="9990" w:type="dxa"/>
        <w:jc w:val="center"/>
        <w:tblInd w:w="0" w:type="dxa"/>
        <w:tblLayout w:type="fixed"/>
        <w:tblCellMar>
          <w:top w:w="0" w:type="dxa"/>
          <w:left w:w="0" w:type="dxa"/>
          <w:bottom w:w="0" w:type="dxa"/>
          <w:right w:w="0" w:type="dxa"/>
        </w:tblCellMar>
      </w:tblPr>
      <w:tblGrid>
        <w:gridCol w:w="1095"/>
        <w:gridCol w:w="5490"/>
        <w:gridCol w:w="3405"/>
      </w:tblGrid>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科目编码</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科目名称</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一般公共预算支出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295,937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一般公共服务支出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25,021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人大事务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846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709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人大会议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人大立法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人大监督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人大代表履职能力提升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代表工作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人大信访工作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其他人大事务支出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政协事务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871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743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政协会议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委员视察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参政议政</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其他政协事务支出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政府办公厅(室)及相关机构事务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11,588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7,112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专项业务及机关事务管理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政务公开审批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参事事务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4,090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其他政府办公厅(室)及相关机构事务支出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发展与改革事务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战略规划与实施</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日常经济运行调节</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社会事业发展规划</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经济体制改革研究</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物价管理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其他发展与改革事务支出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统计信息事务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563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专项统计业务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统计管理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专项普查活动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统计抽样调查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其他统计信息事务支出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1,324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637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预算改革业务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财政国库业务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财政监察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财政委托业务支出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其他财政事务支出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税收事务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584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576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2010709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2010710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税收业务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2010750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其他税收事务支出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审计事务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审计业务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审计管理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其他审计事务支出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海关事务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缉私办案</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口岸管理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海关关务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关税征管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海关监管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检验检疫</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2010999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其他海关事务支出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纪检监察事务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1,223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793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大案要案查处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派驻派出机构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巡视工作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其他纪检监察事务支出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商贸事务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377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对外贸易管理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国际经济合作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外资管理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国内贸易管理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招商引资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其他商贸事务支出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知识产权事务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专利审批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知识产权战略和规划</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国际合作与交流</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知识产权宏观管理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商标管理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原产地地理标志管理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2011499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其他知识产权事务支出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民族事务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民族工作专项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2012350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其他民族事务支出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港澳台事务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港澳事务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台湾事务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2012550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其他港澳台事务支出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档案事务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2012604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档案馆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其他档案事务支出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民主党派及工商联事务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参政议政</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2012850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其他民主党派及工商联事务支出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群众团体事务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865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2012906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工会事务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2012950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2012999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其他群众团体事务支出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党委办公厅(室)及相关机构事务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1,481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678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631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其他党委办公厅(室)及相关机构事务支出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组织事务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918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373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公务员事务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2013250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其他组织事务支出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宣传事务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846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宣传管理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2013350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其他宣传事务支出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统战事务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宗教事务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华侨事务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2013450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其他统战事务支出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对外联络事务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2013550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其他对外联络事务支出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其他共产党事务支出(款)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2013650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其他共产党事务支出(项)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网信事务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信息安全事务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2013750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其他网信事务支出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市场监督管理事务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1,023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市场主体管理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市场秩序执法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质量基础</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药品事务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医疗器械事务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化妆品事务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2013815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质量安全监管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食品安全监管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其他市场监督管理事务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社会工作事务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2013904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专项业务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2013950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2013999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其他社会工作事务支出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20140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信访事务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2014001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2014002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2014003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2014004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信访业务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2014099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其他信访事务支出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其他一般公共服务支出(款)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2019901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国家赔偿费用支出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其他一般公共服务支出(项)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外交支出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外交管理事务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其他外交管理事务支出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驻外机构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驻外使领馆(团、处)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其他驻外机构支出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对外援助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援外优惠贷款贴息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对外援助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国际组织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国际组织会费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国际组织捐赠</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维和摊款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国际组织股金及基金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其他国际组织支出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对外合作与交流</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在华国际会议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国际交流活动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对外合作活动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其他对外合作与交流支出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对外宣传(款)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对外宣传(项)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边界勘界联检</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边界勘界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边界联检</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边界界桩维护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国际发展合作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2020850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其他国际发展合作支出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其他外交支出(款)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其他外交支出(项)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军费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现役部队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预备役部队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其他军费支出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国防科研事业(款)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国防科研事业(项)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专项工程(款)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专项工程(项)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国防动员</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兵役征集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经济动员</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人民防空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2030604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交通战备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2030607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民兵</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2030608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边海防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其他国防动员支出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其他国防支出(款)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其他国防支出(项)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公共安全支出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11,872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武装警察部队(款)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武装警察部队(项)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其他武装警察部队支出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公安</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8,764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6,717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1,607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2040219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2040220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执法办案</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2040221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特别业务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2040222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特勤业务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2040223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移民事务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其他公安支出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国家安全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安全业务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2040350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其他国家安全支出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检察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2040409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“两房”建设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2040410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检察监督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2040450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其他检察支出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法院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案件审判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案件执行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“两庭”建设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其他法院支出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司法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638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基层司法业务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普法宣传</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律师管理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公共法律服务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国家统一法律职业资格考试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社区矫正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法治建设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其他司法支出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监狱</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罪犯生活及医疗卫生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监狱业务及罪犯改造</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狱政设施建设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其他监狱支出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强制隔离戒毒</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强制隔离戒毒人员生活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强制隔离戒毒人员教育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所政设施建设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其他强制隔离戒毒支出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国家保密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2040904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保密技术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2040905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保密管理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2040950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2040999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其他国家保密支出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缉私警察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2041001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2041002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2041006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2041007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缉私业务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2041099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其他缉私警察支出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其他公共安全支出(款)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1,369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2049902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国家司法救助支出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2049999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其他公共安全支出(项)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1,369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教育支出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42,319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教育管理事务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694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其他教育管理事务支出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普通教育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38,387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学前教育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3,329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小学教育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20,961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初中教育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10,246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高中教育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3,828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高等教育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其他普通教育支出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职业教育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初等职业教育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中等职业教育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技校教育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高等职业教育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其他职业教育支出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成人教育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成人初等教育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成人中等教育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成人高等教育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成人广播电视教育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其他成人教育支出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广播电视教育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广播电视学校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教育电视台</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其他广播电视教育支出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留学教育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出国留学教育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来华留学教育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其他留学教育支出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特殊教育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特殊学校教育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工读学校教育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其他特殊教育支出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进修及培训</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教师进修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干部教育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培训支出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退役士兵能力提升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其他进修及培训</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教育费附加安排的支出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农村中小学校舍建设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农村中小学教学设施</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城市中小学校舍建设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2050904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城市中小学教学设施</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2050905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中等职业学校教学设施</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其他教育费附加安排的支出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2,571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其他教育支出(款)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其他教育支出(项)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科学技术支出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761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科学技术管理事务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375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其他科学技术管理事务支出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基础研究</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机构运行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自然科学基金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实验室及相关设施</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重大科学工程</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专项基础科研</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专项技术基础</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科技人才队伍建设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其他基础研究支出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应用研究</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机构运行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社会公益研究</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高技术研究</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专项科研试制</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其他应用研究支出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技术研究与开发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机构运行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科技成果转化与扩散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共性技术研究与开发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其他技术研究与开发支出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科技条件与服务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机构运行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技术创新服务体系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科技条件专项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其他科技条件与服务支出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社会科学</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社会科学研究机构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社会科学研究</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社科基金支出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其他社会科学支出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科学技术普及</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机构运行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科普活动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青少年科技活动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学术交流活动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2060705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科技馆站</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其他科学技术普及支出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科技交流与合作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国际交流与合作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重大科技合作项目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其他科技交流与合作支出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科技重大项目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科技重大专项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重点研发计划</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2060999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其他科技重大项目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其他科学技术支出(款)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科技奖励</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核应急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转制科研机构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其他科学技术支出(项)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文化旅游体育与传媒支出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3,462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文化和旅游</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1,634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465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图书馆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文化展示及纪念机构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艺术表演场所</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艺术表演团体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文化活动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群众文化</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文化和旅游交流与合作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文化创作与保护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文化和旅游市场管理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旅游宣传</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文化和旅游管理事务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其他文化和旅游支出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780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文物保护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博物馆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历史名城与古迹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其他文物支出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体育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运动项目管理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体育竞赛</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体育训练</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体育场馆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群众体育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体育交流与合作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其他体育支出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新闻出版电影</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新闻通讯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出版发行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版权管理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电影</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其他新闻出版电影支出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广播电视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2070806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监测监管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2070807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传输发射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2070808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广播电视事务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其他广播电视支出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其他文化旅游体育与传媒支出(款)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1,195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2079902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宣传文化发展专项支出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2079903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文化产业发展专项支出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其他文化旅游体育与传媒支出(项)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961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社会保障和就业支出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40,523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人力资源和社会保障管理事务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1,227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604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322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综合业务管理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劳动保障监察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就业管理事务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社会保险业务管理事务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社会保险经办机构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劳动关系和维权</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公共就业服务和职业技能鉴定机构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劳动人事争议调解仲裁</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政府特殊津贴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资助留学回国人员</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2080115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博士后日常经费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引进人才费用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其他人力资源和社会保障管理事务支出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5,342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572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社会组织管理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行政区划和地名管理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2080208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基层政权建设和社区治理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4,569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其他民政管理事务支出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补充全国社会保障基金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用一般公共预算补充基金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行政事业单位养老支出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13,619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行政单位离退休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1,652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事业单位离退休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2,728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离退休人员管理机构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机关事业单位基本养老保险缴费支出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7,395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机关事业单位职业年金缴费支出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1,844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对机关事业单位基本养老保险基金的补助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对机关事业单位职业年金的补助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其他行政事业单位养老支出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企业改革补助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企业关闭破产补助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厂办大集体改革补助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其他企业改革发展补助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就业补助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1,307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就业创业服务补贴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职业培训补贴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社会保险补贴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444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公益性岗位补贴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职业技能鉴定补贴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就业见习补贴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高技能人才培养补助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促进创业补贴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其他就业补助支出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抚恤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2,528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死亡抚恤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887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伤残抚恤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在乡复员、退伍军人生活补助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义务兵优待</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农村籍退役士兵老年生活补助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光荣院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褒扬纪念</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其他优抚支出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退役安置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退役士兵安置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军队移交政府的离退休人员安置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军队移交政府离退休干部管理机构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2080904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退役士兵管理教育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2080905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军队转业干部安置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2080999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其他退役安置支出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社会福利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2081001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儿童福利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2081002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老年福利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484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2081003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康复辅具</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2081004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殡葬</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2081005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社会福利事业单位</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2081006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养老服务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2081099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其他社会福利支出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残疾人事业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775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残疾人康复</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残疾人就业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残疾人体育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残疾人生活和护理补贴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其他残疾人事业支出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红十字事业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2081650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其他红十字事业支出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最低生活保障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3,638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城市最低生活保障金支出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2081902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农村最低生活保障金支出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3,383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临时救助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2082001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临时救助支出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2082002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流浪乞讨人员救助支出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特困人员救助供养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1,092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城市特困人员救助供养支出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农村特困人员救助供养支出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1,081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补充道路交通事故社会救助基金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对道路交通事故社会救助基金的补助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交强险罚款收入补助基金支出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其他生活救助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其他城市生活救助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其他农村生活救助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财政对基本养老保险基金的补助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财政对企业职工基本养老保险基金的补助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财政对城乡居民基本养老保险基金的补助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财政对其他基本养老保险基金的补助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财政对其他社会保险基金的补助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财政对失业保险基金的补助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财政对工伤保险基金的补助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其他财政对社会保险基金的补助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退役军人管理事务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拥军优属</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军供保障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2082899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其他退役军人事务管理支出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20830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财政代缴社会保险费支出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2083001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财政代缴城乡居民基本养老保险费支出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2083099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财政代缴其他社会保险费支出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其他社会保障和就业支出(款)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7,600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其他社会保障和就业支出(项)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7,600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卫生健康支出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26,180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卫生健康管理事务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其他卫生健康管理事务支出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公立医院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4,181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综合医院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3,058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中医(民族)医院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传染病医院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职业病防治医院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精神病医院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妇幼保健医院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儿童医院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其他专科医院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福利医院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行业医院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处理医疗欠费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康复医院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优抚医院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其他公立医院支出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基层医疗卫生机构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5,467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城市社区卫生机构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乡镇卫生院</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4,201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其他基层医疗卫生机构支出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835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公共卫生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4,879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疾病预防控制机构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1,090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卫生监督机构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妇幼保健机构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694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精神卫生机构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应急救治机构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采供血机构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其他专业公共卫生机构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基本公共卫生服务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2,239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重大公共卫生服务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446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突发公共卫生事件应急处置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其他公共卫生支出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计划生育事务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1,567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2100716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计划生育机构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2100717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计划生育服务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其他计划生育事务支出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1,361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行政事业单位医疗</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7,630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行政单位医疗</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1,368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事业单位医疗</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3,215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公务员医疗补助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3,047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其他行政事业单位医疗支出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财政对基本医疗保险基金的补助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1,103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财政对职工基本医疗保险基金的补助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财政对城乡居民基本医疗保险基金的补助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1,103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财政对其他基本医疗保险基金的补助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医疗救助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城乡医疗救助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疾病应急救助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其他医疗救助支出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优抚对象医疗</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优抚对象医疗补助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其他优抚对象医疗支出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医疗保障管理事务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医疗保障政策管理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医疗保障经办事务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其他医疗保障管理事务支出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老龄卫生健康事务(款)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老龄卫生健康事务(项)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中医药事务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中医(民族医)药专项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其他中医药事务支出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疾病预防控制事务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2101899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其他疾病预防控制事务支出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其他卫生健康支出(款)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其他卫生健康支出(项)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节能环保支出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5,111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环境保护管理事务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生态环境保护宣传</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环境保护法规、规划及标准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生态环境国际合作及履约</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生态环境保护行政许可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应对气候变化管理事务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其他环境保护管理事务支出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环境监测与监察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建设项目环评审查与监督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核与辐射安全监督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其他环境监测与监察支出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污染防治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大气</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水体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噪声</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固体废弃物与化学品</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放射源和放射性废物监管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辐射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其他污染防治支出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自然生态保护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4,521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生态保护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农村环境保护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3,232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生物及物种资源保护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草原生态修复治理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2110406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自然保护地</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其他自然生态保护支出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森林保护修复</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森林管护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社会保险补助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政策性社会性支出补助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天然林保护工程建设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停伐补助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其他森林保护修复支出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风沙荒漠治理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京津风沙源治理工程建设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其他风沙荒漠治理支出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退牧还草</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退牧还草工程建设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其他退牧还草支出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已垦草原退耕还草(款)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2110901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已垦草原退耕还草(项)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能源节约利用(款)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2111001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能源节约利用(项)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污染减排</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生态环境监测与信息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生态环境执法监察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减排专项支出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清洁生产专项支出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其他污染减排支出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可再生能源(款)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可再生能源(项)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循环经济(款)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循环经济(项)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能源管理事务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能源科技装备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能源行业管理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能源管理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农村电网建设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2111499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其他能源管理事务支出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其他节能环保支出(款)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其他节能环保支出(项)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城乡社区支出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20,509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城乡社区管理事务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9,272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城管执法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工程建设标准规范编制与监管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工程建设管理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市政公用行业市场监管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住宅建设与房地产市场监管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执业资格注册、资质审查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其他城乡社区管理事务支出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3,101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城乡社区规划与管理(款)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城乡社区规划与管理(项)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城乡社区公共设施</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4,978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小城镇基础设施建设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其他城乡社区公共设施支出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4,978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城乡社区环境卫生(款)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2,372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城乡社区环境卫生(项)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2,372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建设市场管理与监督(款)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建设市场管理与监督(项)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其他城乡社区支出(款)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3,870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其他城乡社区支出(项)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3,870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农林水支出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85,963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农业农村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15,513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678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1,978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农垦运行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科技转化与推广服务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病虫害控制</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农产品质量安全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执法监管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统计监测与信息服务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行业业务管理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对外交流与合作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2130119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防灾救灾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2130120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稳定农民收入补贴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1,844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2130121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农业结构调整补贴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2130122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农业生产发展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648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2130124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农村合作经济</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2130125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农产品加工与促销</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2130126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农村社会事业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2130135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农业生态资源保护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2130142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乡村道路建设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3,268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2130148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渔业发展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2130152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对高校毕业生到基层任职补助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2130153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耕地建设与利用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3,080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其他农业农村支出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林业和草原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4,256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658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森林资源培育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技术推广与转化</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森林资源管理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森林生态效益补偿</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动植物保护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湿地保护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执法与监督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2130217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防沙治沙</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2130220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对外合作与交流</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2130221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产业化管理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2130223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2130226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林区公共支出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2130227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贷款贴息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2130234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林业草原防灾减灾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1,640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2130236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草原管理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2130237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行业业务管理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2130238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退耕还林还草</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其他林业和草原支出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873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48,991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823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水利行业业务管理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水利工程建设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14,291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水利工程运行与维护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长江黄河等流域管理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水利前期工作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水利执法监督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水土保持</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10,517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水资源节约管理与保护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水质监测</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水文测报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防汛</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1,571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抗旱</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602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农村水利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19,113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水利技术推广</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国际河流治理与管理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2130319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江河湖库水系综合整治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2130321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大中型水库移民后期扶持专项支出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2130322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水利安全监督</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2130333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2130334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水利建设征地及移民支出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2130335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农村供水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2130336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南水北调工程建设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2130337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南水北调工程管理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其他水利支出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630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巩固脱贫攻坚成果衔接乡村振兴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9,677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农村基础设施建设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2,318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生产发展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4,715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社会发展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795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贷款奖补和贴息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“三西”农业建设专项补助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其他巩固脱贫攻坚成果衔接乡村振兴支出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1,488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农村综合改革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1,618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对村级公益事业建设的补助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944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国有农场办社会职能改革补助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2130705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对村民委员会和村党支部的补助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554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2130706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对村集体经济组织的补助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2130707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农村综合改革示范试点补助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其他农村综合改革支出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普惠金融发展支出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3,323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支持农村金融机构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农业保险保费补贴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2,807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创业担保贷款贴息及奖补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2130805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补充创业担保贷款基金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其他普惠金融发展支出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目标价格补贴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棉花目标价格补贴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2130999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其他目标价格补贴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其他农林水支出(款)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2139901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化解其他公益性乡村债务支出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其他农林水支出(项)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交通运输支出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3,458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公路水路运输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3,058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公路养护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交通运输信息化建设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公路和运输安全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公路运输管理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公路和运输技术标准化建设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2140122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水运建设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2140123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航道维护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2140127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船舶检验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2140128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救助打捞</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2140129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内河运输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2140130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远洋运输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2140131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海事管理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2140133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航标事业发展支出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2140136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水路运输管理支出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2140138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口岸建设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其他公路水路运输支出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554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铁路运输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铁路路网建设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铁路还贷专项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铁路安全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铁路专项运输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行业监管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其他铁路运输支出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民用航空运输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机场建设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空管系统建设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民航还贷专项支出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民用航空安全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民航专项运输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其他民用航空运输支出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邮政业支出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行业监管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邮政普遍服务与特殊服务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其他邮政业支出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其他交通运输支出(款)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公共交通运营补助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其他交通运输支出(项)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资源勘探工业信息等支出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692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资源勘探开发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煤炭勘探开采和洗选</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石油和天然气勘探开采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黑色金属矿勘探和采选</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有色金属矿勘探和采选</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非金属矿勘探和采选</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其他资源勘探业支出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制造业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415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纺织业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医药制造业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非金属矿物制品业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通信设备、计算机及其他电子设备制造业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交通运输设备制造业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电气机械及器材制造业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工艺品及其他制造业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石油加工、炼焦及核燃料加工业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化学原料及化学制品制造业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黑色金属冶炼及压延加工业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2150215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有色金属冶炼及压延加工业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其他制造业支出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415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建筑业</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其他建筑业支出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工业和信息产业监管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战备应急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专用通信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无线电及信息通信监管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工程建设及运行维护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2150517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产业发展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其他工业和信息产业监管支出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国有资产监管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国有企业监事会专项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2150705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中央企业专项管理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其他国有资产监管支出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支持中小企业发展和管理支出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2150801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2150802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2150803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2150804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科技型中小企业技术创新基金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2150805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中小企业发展专项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2150806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减免房租补贴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2150899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其他支持中小企业发展和管理支出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其他资源勘探工业信息等支出(款)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黄金事务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2159904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技术改造支出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2159905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中药材扶持资金支出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2159906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重点产业振兴和技术改造项目贷款贴息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其他资源勘探工业信息等支出(项)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商业服务业等支出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346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商业流通事务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食品流通安全补贴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2160217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市场监测及信息管理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2160218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民贸企业补贴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2160219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民贸民品贷款贴息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其他商业流通事务支出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涉外发展服务支出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2160603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2160607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外商投资环境建设补助资金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其他涉外发展服务支出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其他商业服务业等支出(款)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2169901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服务业基础设施建设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2169999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其他商业服务业等支出(项)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金融支出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金融部门行政支出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安全防卫</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金融部门其他行政支出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金融部门监管支出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货币发行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金融服务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反假币</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重点金融机构监管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金融稽查与案件处理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金融行业电子化建设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从业人员资格考试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反洗钱</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金融部门其他监管支出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金融发展支出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政策性银行亏损补贴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利息费用补贴支出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补充资本金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风险基金补助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其他金融发展支出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金融调控支出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中央银行亏损补贴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其他金融调控支出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其他金融支出(款)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2179902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重点企业贷款贴息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其他金融支出(项)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援助其他地区支出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一般公共服务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教育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文化旅游体育与传媒</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卫生健康</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节能环保</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农业农村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交通运输</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住房保障</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自然资源海洋气象等支出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6,968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自然资源事务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6,908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自然资源规划及管理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自然资源利用与保护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1,338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自然资源社会公益服务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自然资源行业业务管理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自然资源调查与确权登记</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土地资源储备支出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4,502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地质矿产资源与环境调查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地质勘查与矿产资源管理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2200115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地质转产项目财政贴息</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2200116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国外风险勘查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2200119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地质勘查基金(周转金)支出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海域与海岛管理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自然资源国际合作与海洋权益维护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自然资源卫星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极地考察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深海调查与资源开发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海港航标维护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海水淡化</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无居民海岛使用金支出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海洋战略规划与预警监测</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2200129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基础测绘与地理信息监管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571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其他自然资源事务支出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气象事务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气象事业机构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气象探测</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气象信息传输及管理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气象预报预测</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气象服务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气象装备保障维护</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气象基础设施建设与维修</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气象卫星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气象法规与标准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气象资金审计稽查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其他气象事务支出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其他自然资源海洋气象等支出(款)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其他自然资源海洋气象等支出(项)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住房保障支出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11,551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保障性安居工程支出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6,357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廉租住房</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沉陷区治理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棚户区改造</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少数民族地区游牧民定居工程</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农村危房改造</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公共租赁住房</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保障性住房租金补贴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老旧小区改造</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470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住房租赁市场发展</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保障性租赁住房</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其他保障性安居工程支出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5,500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住房改革支出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5,194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住房公积金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5,194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提租补贴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购房补贴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城乡社区住宅</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公有住房建设和维修改造支出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住房公积金管理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其他城乡社区住宅支出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粮油物资储备支出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粮油物资事务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财务和审计支出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信息统计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专项业务活动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国家粮油差价补贴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2220112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粮食财务挂账利息补贴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2220113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粮食财务挂账消化款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2220114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处理陈化粮补贴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2220115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粮食风险基金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2220118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粮油市场调控专项资金</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2220119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设施建设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2220120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设施安全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2220121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物资保管保养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其他粮油物资事务支出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能源储备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石油储备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天然铀储备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2220304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煤炭储备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2220305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成品油储备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2220306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天然气储备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其他能源储备支出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粮油储备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储备粮油补贴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储备粮油差价补贴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储备粮(油)库建设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最低收购价政策支出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其他粮油储备支出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重要商品储备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棉花储备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食糖储备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肉类储备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化肥储备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农药储备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边销茶储备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羊毛储备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医药储备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食盐储备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战略物资储备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2220511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应急物资储备</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其他重要商品储备支出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灾害防治及应急管理支出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3,707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应急管理事务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973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32</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灾害风险防治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国务院安委会专项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安全监管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266</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应急救援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应急管理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2240199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其他应急管理支出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消防救援事务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353</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2240204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消防应急救援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2240250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其他消防救援事务支出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矿山安全</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2240401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2240402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2240403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2240404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矿山安全监察事务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矿山应急救援事务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2240450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事业运行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其他矿山安全支出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地震事务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行政运行</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一般行政管理事务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机关服务</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地震监测</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2240505</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地震预测预报</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地震灾害预防</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地震应急救援</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2240508</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地震环境探察</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2240509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防震减灾信息管理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2240510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防震减灾基础管理</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2240550</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地震事业机构</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2240599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其他地震事务支出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22406</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自然灾害防治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2,255</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2240601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地质灾害防治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2,174</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2240602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森林草原防灾减灾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2240699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其他自然灾害防治支出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81</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22407</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自然灾害救灾及恢复重建支出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2240703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自然灾害救灾补助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67</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2240704</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自然灾害灾后重建补助</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2240799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其他自然灾害救灾及恢复重建支出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其他灾害防治及应急管理支出(款)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其他灾害防治及应急管理支出(项)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其他支出(类)</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2299999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债务付息支出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6,758</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中央政府国内债务付息支出(款)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中央政府国内债务付息支出(项)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中央政府国外债务付息支出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中央政府境外发行主权债券付息支出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2320202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中央政府向外国政府借款付息支出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中央政府向国际金融组织借款付息支出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2320299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中央政府其他国外借款付息支出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地方政府一般债务付息支出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6,758 </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地方政府一般债券付息支出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6,449 </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地方政府向外国政府借款付息支出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地方政府向国际组织借款付息支出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309 </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2320399</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地方政府其他一般债务付息支出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债务发行费用支出</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20 </w:t>
            </w:r>
          </w:p>
        </w:tc>
      </w:tr>
      <w:tr>
        <w:tblPrEx>
          <w:tblLayout w:type="fixed"/>
          <w:tblCellMar>
            <w:top w:w="0" w:type="dxa"/>
            <w:left w:w="0" w:type="dxa"/>
            <w:bottom w:w="0" w:type="dxa"/>
            <w:right w:w="0" w:type="dxa"/>
          </w:tblCellMar>
        </w:tblPrEx>
        <w:trPr>
          <w:trHeight w:val="300"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中央政府国内债务发行费用支出(款)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2"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2330101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中央政府国内债务发行费用支出(项)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02"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23302</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中央政府国外债务发行费用支出(款)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2"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2330201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中央政府国外债务发行费用支出(项)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02"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23303</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地方政府一般债务发行费用支出(款)</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20 </w:t>
            </w:r>
          </w:p>
        </w:tc>
      </w:tr>
      <w:tr>
        <w:tblPrEx>
          <w:tblLayout w:type="fixed"/>
          <w:tblCellMar>
            <w:top w:w="0" w:type="dxa"/>
            <w:left w:w="0" w:type="dxa"/>
            <w:bottom w:w="0" w:type="dxa"/>
            <w:right w:w="0" w:type="dxa"/>
          </w:tblCellMar>
        </w:tblPrEx>
        <w:trPr>
          <w:trHeight w:val="402" w:hRule="atLeast"/>
          <w:jc w:val="center"/>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2330301</w:t>
            </w:r>
          </w:p>
        </w:tc>
        <w:tc>
          <w:tcPr>
            <w:tcW w:w="5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地方政府一般债务发行费用支出(项)</w:t>
            </w:r>
          </w:p>
        </w:tc>
        <w:tc>
          <w:tcPr>
            <w:tcW w:w="3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20 </w:t>
            </w:r>
          </w:p>
        </w:tc>
      </w:tr>
    </w:tbl>
    <w:p>
      <w:pPr>
        <w:keepNext w:val="0"/>
        <w:keepLines w:val="0"/>
        <w:pageBreakBefore w:val="0"/>
        <w:widowControl w:val="0"/>
        <w:kinsoku/>
        <w:wordWrap/>
        <w:overflowPunct/>
        <w:topLinePunct w:val="0"/>
        <w:autoSpaceDE/>
        <w:autoSpaceDN/>
        <w:bidi w:val="0"/>
        <w:spacing w:line="0" w:lineRule="atLeast"/>
        <w:ind w:left="0" w:leftChars="0" w:firstLine="0" w:firstLineChars="0"/>
        <w:textAlignment w:val="auto"/>
        <w:rPr>
          <w:rFonts w:hint="default"/>
          <w:lang w:val="en-US" w:eastAsia="zh-CN"/>
        </w:rPr>
        <w:sectPr>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snapToGrid w:val="0"/>
        <w:spacing w:line="0" w:lineRule="atLeast"/>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val="en-US" w:eastAsia="zh-CN"/>
        </w:rPr>
        <w:t>附表</w:t>
      </w:r>
      <w:r>
        <w:rPr>
          <w:rFonts w:hint="eastAsia" w:ascii="Times New Roman" w:hAnsi="Times New Roman" w:cs="Times New Roman"/>
          <w:lang w:val="en-US" w:eastAsia="zh-CN"/>
        </w:rPr>
        <w:t>5</w:t>
      </w:r>
    </w:p>
    <w:p>
      <w:pPr>
        <w:keepNext w:val="0"/>
        <w:keepLines w:val="0"/>
        <w:pageBreakBefore w:val="0"/>
        <w:widowControl w:val="0"/>
        <w:kinsoku/>
        <w:wordWrap/>
        <w:overflowPunct/>
        <w:topLinePunct w:val="0"/>
        <w:autoSpaceDE/>
        <w:autoSpaceDN/>
        <w:bidi w:val="0"/>
        <w:adjustRightInd/>
        <w:snapToGrid w:val="0"/>
        <w:spacing w:after="0" w:line="0" w:lineRule="atLeast"/>
        <w:ind w:left="0" w:leftChars="0" w:firstLine="0" w:firstLineChars="0"/>
        <w:jc w:val="center"/>
        <w:textAlignment w:val="auto"/>
        <w:rPr>
          <w:rFonts w:hint="eastAsia" w:ascii="方正小标宋_GBK" w:hAnsi="方正小标宋_GBK" w:eastAsia="方正小标宋_GBK" w:cs="方正小标宋_GBK"/>
          <w:b/>
          <w:bCs/>
          <w:sz w:val="44"/>
          <w:szCs w:val="44"/>
          <w:lang w:val="en-US" w:eastAsia="zh-CN" w:bidi="ar-SA"/>
        </w:rPr>
      </w:pPr>
      <w:r>
        <w:rPr>
          <w:rFonts w:hint="eastAsia" w:ascii="方正小标宋_GBK" w:hAnsi="方正小标宋_GBK" w:eastAsia="方正小标宋_GBK" w:cs="方正小标宋_GBK"/>
          <w:b/>
          <w:bCs/>
          <w:sz w:val="44"/>
          <w:szCs w:val="44"/>
          <w:lang w:val="en-US" w:eastAsia="zh-CN" w:bidi="ar-SA"/>
        </w:rPr>
        <w:t>2024年度米易县一般公共预算（基本）支出</w:t>
      </w:r>
    </w:p>
    <w:p>
      <w:pPr>
        <w:keepNext w:val="0"/>
        <w:keepLines w:val="0"/>
        <w:pageBreakBefore w:val="0"/>
        <w:widowControl w:val="0"/>
        <w:kinsoku/>
        <w:wordWrap/>
        <w:overflowPunct/>
        <w:topLinePunct w:val="0"/>
        <w:autoSpaceDE/>
        <w:autoSpaceDN/>
        <w:bidi w:val="0"/>
        <w:adjustRightInd/>
        <w:snapToGrid w:val="0"/>
        <w:spacing w:after="0" w:line="0" w:lineRule="atLeast"/>
        <w:ind w:left="0" w:leftChars="0" w:firstLine="0" w:firstLineChars="0"/>
        <w:jc w:val="center"/>
        <w:textAlignment w:val="auto"/>
        <w:rPr>
          <w:rFonts w:hint="eastAsia" w:ascii="方正小标宋_GBK" w:hAnsi="方正小标宋_GBK" w:eastAsia="方正小标宋_GBK" w:cs="方正小标宋_GBK"/>
          <w:b/>
          <w:bCs/>
          <w:sz w:val="44"/>
          <w:szCs w:val="44"/>
          <w:lang w:val="en-US" w:eastAsia="zh-CN" w:bidi="ar-SA"/>
        </w:rPr>
      </w:pPr>
      <w:r>
        <w:rPr>
          <w:rFonts w:hint="eastAsia" w:ascii="方正小标宋_GBK" w:hAnsi="方正小标宋_GBK" w:eastAsia="方正小标宋_GBK" w:cs="方正小标宋_GBK"/>
          <w:b/>
          <w:bCs/>
          <w:sz w:val="44"/>
          <w:szCs w:val="44"/>
          <w:lang w:val="en-US" w:eastAsia="zh-CN" w:bidi="ar-SA"/>
        </w:rPr>
        <w:t>决算经济分类录入表</w:t>
      </w:r>
    </w:p>
    <w:p>
      <w:pPr>
        <w:keepNext w:val="0"/>
        <w:keepLines w:val="0"/>
        <w:pageBreakBefore w:val="0"/>
        <w:widowControl w:val="0"/>
        <w:kinsoku/>
        <w:wordWrap/>
        <w:overflowPunct/>
        <w:topLinePunct w:val="0"/>
        <w:autoSpaceDE/>
        <w:autoSpaceDN/>
        <w:bidi w:val="0"/>
        <w:adjustRightInd/>
        <w:snapToGrid w:val="0"/>
        <w:spacing w:line="0" w:lineRule="atLeast"/>
        <w:jc w:val="right"/>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单位：万元</w:t>
      </w:r>
    </w:p>
    <w:tbl>
      <w:tblPr>
        <w:tblStyle w:val="13"/>
        <w:tblW w:w="10050" w:type="dxa"/>
        <w:jc w:val="center"/>
        <w:tblInd w:w="0" w:type="dxa"/>
        <w:tblLayout w:type="fixed"/>
        <w:tblCellMar>
          <w:top w:w="0" w:type="dxa"/>
          <w:left w:w="0" w:type="dxa"/>
          <w:bottom w:w="0" w:type="dxa"/>
          <w:right w:w="0" w:type="dxa"/>
        </w:tblCellMar>
      </w:tblPr>
      <w:tblGrid>
        <w:gridCol w:w="1004"/>
        <w:gridCol w:w="4261"/>
        <w:gridCol w:w="2265"/>
        <w:gridCol w:w="2520"/>
      </w:tblGrid>
      <w:tr>
        <w:tblPrEx>
          <w:tblLayout w:type="fixed"/>
          <w:tblCellMar>
            <w:top w:w="0" w:type="dxa"/>
            <w:left w:w="0" w:type="dxa"/>
            <w:bottom w:w="0" w:type="dxa"/>
            <w:right w:w="0" w:type="dxa"/>
          </w:tblCellMar>
        </w:tblPrEx>
        <w:trPr>
          <w:trHeight w:val="285"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科目编码</w:t>
            </w:r>
          </w:p>
        </w:tc>
        <w:tc>
          <w:tcPr>
            <w:tcW w:w="4261"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科目名称</w:t>
            </w:r>
          </w:p>
        </w:tc>
        <w:tc>
          <w:tcPr>
            <w:tcW w:w="2265"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一般公共预算支出</w:t>
            </w:r>
          </w:p>
        </w:tc>
        <w:tc>
          <w:tcPr>
            <w:tcW w:w="25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一般公共预算基本支出</w:t>
            </w:r>
          </w:p>
        </w:tc>
      </w:tr>
      <w:tr>
        <w:tblPrEx>
          <w:tblLayout w:type="fixed"/>
          <w:tblCellMar>
            <w:top w:w="0" w:type="dxa"/>
            <w:left w:w="0" w:type="dxa"/>
            <w:bottom w:w="0" w:type="dxa"/>
            <w:right w:w="0" w:type="dxa"/>
          </w:tblCellMar>
        </w:tblPrEx>
        <w:trPr>
          <w:trHeight w:val="28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261"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6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一般公共预算支出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295,937</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105,975</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机关工资福利支出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30,790</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30,790</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50101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工资奖金津补贴</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19,416</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19,416</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50102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社会保障缴费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5,479</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5,479</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50103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住房公积金</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2,148</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2,148</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50199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其他工资福利支出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3,747</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3,747</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机关商品和服务支出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29,933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5,859</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办公经费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6,254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3,521</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会议费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培训费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50204</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专用材料购置费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128</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50205</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委托业务费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12,794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914</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50206</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公务接待费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56</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56</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50207</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因公出国(境)费用</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50208</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公务用车运行维护费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478</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349</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50209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维修(护)费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1,024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75</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50299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其他商品和服务支出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8,870</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845</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机关资本性支出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68,534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50301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房屋建筑物购建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673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50302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基础设施建设</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55,903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50303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公务用车购置</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241</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50305</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土地征迁补偿和安置支出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6,486</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50306</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设备购置</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1,433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50307</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大型修缮</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50399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其他资本性支出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3,494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504</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机关资本性支出(基本建设)</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19,415</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50401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房屋建筑物购建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50402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基础设施建设</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19,370</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50403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公务用车购置</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50404</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设备购置</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50405</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大型修缮</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50499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其他资本性支出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505</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对事业单位经常性补助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77,489</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63,942</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50501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工资福利支出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62,221</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62,101</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50502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商品和服务支出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15,268</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1,841</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50599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其他对事业单位补助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506</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对事业单位资本性补助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24,881</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50601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资本性支出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21,568</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50602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资本性支出(基本建设)</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3,313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507</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对企业补助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5,244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50701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费用补贴</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3,002</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50702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利息补贴</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451</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50799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其他对企业补助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1,791</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508</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对企业资本性支出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50803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资本金注入</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50804</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资本金注入(基本建设)</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50805</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政府投资基金股权投资</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100</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50899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其他对企业资本性支出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对个人和家庭的补助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30,577</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5,384</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50901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社会福利和救助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19,845</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5,279</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50902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助学金</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4,334</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50903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个人农业生产补贴</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4,019</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50905</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离退休费</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50999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其他对个人和家庭的补助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2,281</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w:t>
            </w: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510</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对社会保障基金补助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51002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对社会保险基金补助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51003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补充全国社会保障基金</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51004</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对机关事业单位职业年金的补助</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债务利息及费用支出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6,778</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51101</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国内债务付息</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6,449</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51102</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国外债务付息</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309</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51103</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国内债务发行费用</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51104</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国外债务发行费用</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其他支出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59907</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国家赔偿费用支出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59908</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对民间非营利组织和群众性自治组织补贴</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59909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经常性赠与</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59910</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资本性赠与</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59999</w:t>
            </w:r>
          </w:p>
        </w:tc>
        <w:tc>
          <w:tcPr>
            <w:tcW w:w="4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其他支出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bl>
    <w:p>
      <w:pPr>
        <w:ind w:left="0" w:leftChars="0" w:firstLine="0" w:firstLineChars="0"/>
        <w:rPr>
          <w:rFonts w:hint="default"/>
          <w:lang w:val="en-US" w:eastAsia="zh-CN"/>
        </w:rPr>
        <w:sectPr>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snapToGrid w:val="0"/>
        <w:spacing w:line="0" w:lineRule="atLeast"/>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val="en-US" w:eastAsia="zh-CN"/>
        </w:rPr>
        <w:t>附表</w:t>
      </w:r>
      <w:r>
        <w:rPr>
          <w:rFonts w:hint="eastAsia" w:ascii="Times New Roman" w:hAnsi="Times New Roman" w:cs="Times New Roman"/>
          <w:lang w:val="en-US" w:eastAsia="zh-CN"/>
        </w:rPr>
        <w:t>6</w:t>
      </w:r>
    </w:p>
    <w:p>
      <w:pPr>
        <w:keepNext w:val="0"/>
        <w:keepLines w:val="0"/>
        <w:pageBreakBefore w:val="0"/>
        <w:widowControl w:val="0"/>
        <w:kinsoku/>
        <w:wordWrap/>
        <w:overflowPunct/>
        <w:topLinePunct w:val="0"/>
        <w:autoSpaceDE/>
        <w:autoSpaceDN/>
        <w:bidi w:val="0"/>
        <w:adjustRightInd/>
        <w:snapToGrid w:val="0"/>
        <w:spacing w:after="0" w:line="0" w:lineRule="atLeast"/>
        <w:ind w:left="0" w:leftChars="0" w:firstLine="0" w:firstLineChars="0"/>
        <w:jc w:val="center"/>
        <w:textAlignment w:val="auto"/>
        <w:rPr>
          <w:rFonts w:hint="eastAsia" w:ascii="方正小标宋_GBK" w:hAnsi="方正小标宋_GBK" w:eastAsia="方正小标宋_GBK" w:cs="方正小标宋_GBK"/>
          <w:b/>
          <w:bCs/>
          <w:sz w:val="44"/>
          <w:szCs w:val="44"/>
          <w:lang w:val="en-US" w:eastAsia="zh-CN" w:bidi="ar-SA"/>
        </w:rPr>
      </w:pPr>
      <w:r>
        <w:rPr>
          <w:rFonts w:hint="eastAsia" w:ascii="方正小标宋_GBK" w:hAnsi="方正小标宋_GBK" w:eastAsia="方正小标宋_GBK" w:cs="方正小标宋_GBK"/>
          <w:b/>
          <w:bCs/>
          <w:sz w:val="44"/>
          <w:szCs w:val="44"/>
          <w:lang w:val="en-US" w:eastAsia="zh-CN" w:bidi="ar-SA"/>
        </w:rPr>
        <w:t>2024年度米易县政府性基金预算转移性收支决算表</w:t>
      </w:r>
    </w:p>
    <w:p>
      <w:pPr>
        <w:keepNext w:val="0"/>
        <w:keepLines w:val="0"/>
        <w:pageBreakBefore w:val="0"/>
        <w:widowControl w:val="0"/>
        <w:kinsoku/>
        <w:wordWrap/>
        <w:overflowPunct/>
        <w:topLinePunct w:val="0"/>
        <w:autoSpaceDE/>
        <w:autoSpaceDN/>
        <w:bidi w:val="0"/>
        <w:adjustRightInd/>
        <w:snapToGrid w:val="0"/>
        <w:spacing w:line="0" w:lineRule="atLeast"/>
        <w:jc w:val="right"/>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单位：万元</w:t>
      </w:r>
    </w:p>
    <w:tbl>
      <w:tblPr>
        <w:tblStyle w:val="13"/>
        <w:tblW w:w="10200" w:type="dxa"/>
        <w:jc w:val="center"/>
        <w:tblInd w:w="0" w:type="dxa"/>
        <w:tblLayout w:type="fixed"/>
        <w:tblCellMar>
          <w:top w:w="0" w:type="dxa"/>
          <w:left w:w="0" w:type="dxa"/>
          <w:bottom w:w="0" w:type="dxa"/>
          <w:right w:w="0" w:type="dxa"/>
        </w:tblCellMar>
      </w:tblPr>
      <w:tblGrid>
        <w:gridCol w:w="3055"/>
        <w:gridCol w:w="1085"/>
        <w:gridCol w:w="4804"/>
        <w:gridCol w:w="1256"/>
      </w:tblGrid>
      <w:tr>
        <w:tblPrEx>
          <w:tblLayout w:type="fixed"/>
          <w:tblCellMar>
            <w:top w:w="0" w:type="dxa"/>
            <w:left w:w="0" w:type="dxa"/>
            <w:bottom w:w="0" w:type="dxa"/>
            <w:right w:w="0" w:type="dxa"/>
          </w:tblCellMar>
        </w:tblPrEx>
        <w:trPr>
          <w:trHeight w:val="369" w:hRule="atLeast"/>
          <w:jc w:val="center"/>
        </w:trPr>
        <w:tc>
          <w:tcPr>
            <w:tcW w:w="41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收入</w:t>
            </w:r>
          </w:p>
        </w:tc>
        <w:tc>
          <w:tcPr>
            <w:tcW w:w="60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支出</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收入科目</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2024年收入</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支出科目</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2024年支出</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一、政府性基金预算收入小计 </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20,331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一、政府性基金预算支出小计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81,503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国有土地使用权出让收入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14,185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文化体育与传媒支出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国有土地收益基金收入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80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社会保障和就业支出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城市基础设施配套费收入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61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节能环保支出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农业土地开发资金收入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城乡社区支出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13,044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污水处理费收入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1,058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 国有土地使用权出让收入  安排的支出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11,925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其他政府性基金收入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国有土地收益基金支出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专项债务对应项目专项收入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4,946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城市基础设施配套费安排的支出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61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农业土地开发资金安排的支出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污水处理费安排的支出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1,058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棚户区改造专项债券收入安排的支出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农林水支出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2,829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资源勘探信息等支出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商业服务业等支出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金融支出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60,563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债务付息支出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4,991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债务发行费用支出</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75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二、政府性基金预算上级补助收入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4,514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二、上解支出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b/>
                <w:i w:val="0"/>
                <w:color w:val="000000"/>
                <w:sz w:val="20"/>
                <w:szCs w:val="20"/>
                <w:u w:val="none"/>
              </w:rPr>
            </w:pP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三、地方债务转贷收入</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119,660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三、政府性基金调出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32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四、政府性基金预算调入资金</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32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四、债务还本支出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57,300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五、上年结转结余</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23,078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五、结转下年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28,780 </w:t>
            </w:r>
          </w:p>
        </w:tc>
      </w:tr>
      <w:tr>
        <w:tblPrEx>
          <w:tblLayout w:type="fixed"/>
          <w:tblCellMar>
            <w:top w:w="0" w:type="dxa"/>
            <w:left w:w="0" w:type="dxa"/>
            <w:bottom w:w="0" w:type="dxa"/>
            <w:right w:w="0" w:type="dxa"/>
          </w:tblCellMar>
        </w:tblPrEx>
        <w:trPr>
          <w:trHeight w:val="369" w:hRule="atLeast"/>
          <w:jc w:val="center"/>
        </w:trPr>
        <w:tc>
          <w:tcPr>
            <w:tcW w:w="3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收入合计 </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167,615 </w:t>
            </w:r>
          </w:p>
        </w:tc>
        <w:tc>
          <w:tcPr>
            <w:tcW w:w="48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支出合计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167,615 </w:t>
            </w:r>
          </w:p>
        </w:tc>
      </w:tr>
    </w:tbl>
    <w:p>
      <w:pPr>
        <w:rPr>
          <w:rFonts w:hint="default"/>
          <w:lang w:val="en-US" w:eastAsia="zh-CN"/>
        </w:rPr>
        <w:sectPr>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snapToGrid w:val="0"/>
        <w:spacing w:line="0" w:lineRule="atLeast"/>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val="en-US" w:eastAsia="zh-CN"/>
        </w:rPr>
        <w:t>附表</w:t>
      </w:r>
      <w:r>
        <w:rPr>
          <w:rFonts w:hint="eastAsia" w:ascii="Times New Roman" w:hAnsi="Times New Roman" w:cs="Times New Roman"/>
          <w:lang w:val="en-US" w:eastAsia="zh-CN"/>
        </w:rPr>
        <w:t>7</w:t>
      </w:r>
    </w:p>
    <w:p>
      <w:pPr>
        <w:keepNext w:val="0"/>
        <w:keepLines w:val="0"/>
        <w:pageBreakBefore w:val="0"/>
        <w:widowControl w:val="0"/>
        <w:kinsoku/>
        <w:wordWrap/>
        <w:overflowPunct/>
        <w:topLinePunct w:val="0"/>
        <w:autoSpaceDE/>
        <w:autoSpaceDN/>
        <w:bidi w:val="0"/>
        <w:adjustRightInd/>
        <w:snapToGrid w:val="0"/>
        <w:spacing w:line="0" w:lineRule="atLeast"/>
        <w:ind w:left="0" w:leftChars="0" w:firstLine="0" w:firstLineChars="0"/>
        <w:jc w:val="center"/>
        <w:textAlignment w:val="auto"/>
        <w:rPr>
          <w:rFonts w:hint="eastAsia" w:ascii="方正小标宋_GBK" w:hAnsi="方正小标宋_GBK" w:eastAsia="方正小标宋_GBK" w:cs="方正小标宋_GBK"/>
          <w:b/>
          <w:bCs/>
          <w:sz w:val="44"/>
          <w:szCs w:val="44"/>
          <w:lang w:val="en-US" w:eastAsia="zh-CN" w:bidi="ar-SA"/>
        </w:rPr>
      </w:pPr>
      <w:r>
        <w:rPr>
          <w:rFonts w:hint="eastAsia" w:ascii="方正小标宋_GBK" w:hAnsi="方正小标宋_GBK" w:eastAsia="方正小标宋_GBK" w:cs="方正小标宋_GBK"/>
          <w:b/>
          <w:bCs/>
          <w:sz w:val="44"/>
          <w:szCs w:val="44"/>
          <w:lang w:val="en-US" w:eastAsia="zh-CN" w:bidi="ar-SA"/>
        </w:rPr>
        <w:t>2024年度米易县政府性基金预算支出决算</w:t>
      </w:r>
    </w:p>
    <w:p>
      <w:pPr>
        <w:keepNext w:val="0"/>
        <w:keepLines w:val="0"/>
        <w:pageBreakBefore w:val="0"/>
        <w:widowControl w:val="0"/>
        <w:kinsoku/>
        <w:wordWrap/>
        <w:overflowPunct/>
        <w:topLinePunct w:val="0"/>
        <w:autoSpaceDE/>
        <w:autoSpaceDN/>
        <w:bidi w:val="0"/>
        <w:adjustRightInd/>
        <w:snapToGrid w:val="0"/>
        <w:spacing w:line="0" w:lineRule="atLeast"/>
        <w:ind w:left="0" w:leftChars="0" w:firstLine="0" w:firstLineChars="0"/>
        <w:jc w:val="center"/>
        <w:textAlignment w:val="auto"/>
        <w:rPr>
          <w:rFonts w:hint="eastAsia" w:ascii="方正小标宋_GBK" w:hAnsi="方正小标宋_GBK" w:eastAsia="方正小标宋_GBK" w:cs="方正小标宋_GBK"/>
          <w:b/>
          <w:bCs/>
          <w:sz w:val="44"/>
          <w:szCs w:val="44"/>
          <w:lang w:val="en-US" w:eastAsia="zh-CN" w:bidi="ar-SA"/>
        </w:rPr>
      </w:pPr>
      <w:r>
        <w:rPr>
          <w:rFonts w:hint="eastAsia" w:ascii="方正小标宋_GBK" w:hAnsi="方正小标宋_GBK" w:eastAsia="方正小标宋_GBK" w:cs="方正小标宋_GBK"/>
          <w:b/>
          <w:bCs/>
          <w:sz w:val="44"/>
          <w:szCs w:val="44"/>
          <w:lang w:val="en-US" w:eastAsia="zh-CN" w:bidi="ar-SA"/>
        </w:rPr>
        <w:t>功能分类录入表</w:t>
      </w:r>
    </w:p>
    <w:p>
      <w:pPr>
        <w:keepNext w:val="0"/>
        <w:keepLines w:val="0"/>
        <w:pageBreakBefore w:val="0"/>
        <w:widowControl w:val="0"/>
        <w:kinsoku/>
        <w:wordWrap/>
        <w:overflowPunct/>
        <w:topLinePunct w:val="0"/>
        <w:autoSpaceDE/>
        <w:autoSpaceDN/>
        <w:bidi w:val="0"/>
        <w:adjustRightInd/>
        <w:spacing w:after="0" w:line="0" w:lineRule="atLeast"/>
        <w:ind w:left="0" w:leftChars="0" w:firstLine="0" w:firstLineChars="0"/>
        <w:jc w:val="right"/>
        <w:textAlignment w:val="auto"/>
        <w:rPr>
          <w:rFonts w:hint="eastAsia" w:ascii="方正仿宋_GBK" w:hAnsi="方正仿宋_GBK" w:eastAsia="方正仿宋_GBK" w:cs="方正仿宋_GBK"/>
          <w:b/>
          <w:bCs/>
          <w:sz w:val="21"/>
          <w:szCs w:val="21"/>
          <w:lang w:val="en-US" w:eastAsia="zh-CN" w:bidi="ar-SA"/>
        </w:rPr>
      </w:pPr>
      <w:r>
        <w:rPr>
          <w:rFonts w:hint="eastAsia" w:ascii="方正仿宋_GBK" w:hAnsi="方正仿宋_GBK" w:eastAsia="方正仿宋_GBK" w:cs="方正仿宋_GBK"/>
          <w:b/>
          <w:bCs/>
          <w:sz w:val="21"/>
          <w:szCs w:val="21"/>
          <w:lang w:val="en-US" w:eastAsia="zh-CN" w:bidi="ar-SA"/>
        </w:rPr>
        <w:t>单位：万元</w:t>
      </w:r>
    </w:p>
    <w:tbl>
      <w:tblPr>
        <w:tblStyle w:val="13"/>
        <w:tblW w:w="9925" w:type="dxa"/>
        <w:jc w:val="center"/>
        <w:tblInd w:w="0" w:type="dxa"/>
        <w:tblLayout w:type="fixed"/>
        <w:tblCellMar>
          <w:top w:w="0" w:type="dxa"/>
          <w:left w:w="0" w:type="dxa"/>
          <w:bottom w:w="0" w:type="dxa"/>
          <w:right w:w="0" w:type="dxa"/>
        </w:tblCellMar>
      </w:tblPr>
      <w:tblGrid>
        <w:gridCol w:w="1185"/>
        <w:gridCol w:w="6430"/>
        <w:gridCol w:w="2310"/>
      </w:tblGrid>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科目编码</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科目名称</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b/>
                <w:i w:val="0"/>
                <w:color w:val="000000"/>
                <w:sz w:val="20"/>
                <w:szCs w:val="20"/>
                <w:u w:val="none"/>
              </w:rPr>
            </w:pP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政府性基金预算支出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81,503</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教育支出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基础教育</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高等教育</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2059803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职业教育</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2059804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特殊教育</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2059899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其他教育支出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科学技术支出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20610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核电站乏燃料处理处置基金支出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2061001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乏燃料运输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2061002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乏燃料离堆贮存</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2061003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乏燃料后处理</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2061004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高放废物的处理处置</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2061005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乏燃料后处理厂的建设、运行、改造和退役</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2061099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其他乏燃料处理处置基金支出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基础研究</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应用研究</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技术研究与开发</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2069804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科技条件与服务</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2069805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科技重大项目</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2069899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其他科技支出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文化旅游体育与传媒支出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国家电影事业发展专项资金安排的支出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2070701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资助国产影片放映</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2070702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资助影院建设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2070703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资助少数民族语电影译制</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2070704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购买农村电影公益性放映版权服务</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2070799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其他国家电影事业发展专项资金支出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旅游发展基金支出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2070901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宣传促销</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2070902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行业规划</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2070903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旅游事业补助</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2070904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地方旅游开发项目补助</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2070999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其他旅游发展基金支出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20710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国家电影事业发展专项资金对应专项债务收入安排的支出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2071001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资助城市影院</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2071099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其他国家电影事业发展专项资金对应专项债务收入支出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社会保障和就业支出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养老机构及服务设施</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公共就业服务设施</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2089899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其他社会保障和就业支出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卫生健康支出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公立医院</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基层医疗卫生机构</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2109803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公共卫生机构</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2109804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托育机构</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2109899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其他卫生健康支出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节能环保支出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可再生能源电价附加收入安排的支出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风力发电补助</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2116002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太阳能发电补助</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2116003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生物质能发电补助</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2116099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其他可再生能源电价附加收入安排的支出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废弃电器电子产品处理基金支出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2116101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回收处理费用补贴</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2116102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信息系统建设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2116103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基金征管经费</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2116104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其他废弃电器电子产品处理基金支出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水污染综合治理</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应对气候变化</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2119803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“三北”工程建设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2119899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其他节能环保支出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城乡社区支出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13,044</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国有土地使用权出让收入安排的支出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11,925</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征地和拆迁补偿支出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2,549</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土地开发支出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7,245</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城市建设支出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农村基础设施建设支出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76</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补助被征地农民支出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377</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土地出让业务支出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2120807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廉租住房支出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2120809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支付破产或改制企业职工安置费</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2120810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棚户区改造支出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83</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2120811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公共租赁住房支出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2120813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保障性住房租金补贴</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2120814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农业生产发展支出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836</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2120815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农村社会事业支出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288</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2120816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农业农村生态环境支出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463</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2120899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其他国有土地使用权出让收入安排的支出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国有土地收益基金安排的支出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征地和拆迁补偿支出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2121002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土地开发支出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2121099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其他国有土地收益基金支出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农业土地开发资金安排的支出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城市基础设施配套费安排的支出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61</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2121301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城市公共设施</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2121302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城市环境卫生</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2121303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公有房屋</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2121304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城市防洪</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2121399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其他城市基础设施配套费安排的支出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61</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污水处理费安排的支出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1,058</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2121401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污水处理设施建设和运营</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2121402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代征手续费</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2121499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其他污水处理费安排的支出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1,058</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土地储备专项债券收入安排的支出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2121501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征地和拆迁补偿支出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2121502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土地开发支出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2121599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其他土地储备专项债券收入安排的支出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棚户区改造专项债券收入安排的支出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2121601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征地和拆迁补偿支出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2121602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土地开发支出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2121699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其他棚户区改造专项债券收入安排的支出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城市基础设施配套费对应专项债务收入安排的支出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2121701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城市公共设施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2121702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城市环境卫生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2121703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公有房屋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2121704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城市防洪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2121799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其他城市基础设施配套费对应专项债务收入安排的支出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污水处理费对应专项债务收入安排的支出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污水处理设施建设和运营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其他污水处理费对应专项债务收入安排的支出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国有土地使用权出让收入对应专项债务收入安排的支出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征地和拆迁补偿支出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土地开发支出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城市建设支出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农村基础设施建设支出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廉租住房支出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棚户区改造支出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2121907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公共租赁住房支出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2121999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其他国有土地使用权出让收入对应专项债务收入安排的支出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城乡社区公共设施</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2129899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其他城乡社区支出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农林水支出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2,829</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大中型水库库区基金安排的支出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1,219</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2136601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基础设施建设和经济发展</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1,219</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2136602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解决移民遗留问题</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2136603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库区防护工程维护</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2136699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其他大中型水库库区基金支出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三峡水库库区基金支出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2136701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基础设施建设和经济发展</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2136702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解决移民遗留问题</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2136703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库区维护和管理</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2136799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其他三峡水库库区基金支出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国家重大水利工程建设基金安排的支出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2136901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南水北调工程建设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2136902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三峡后续工作</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2136903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地方重大水利工程建设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2136999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其他重大水利工程建设基金支出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大中型水库库区基金对应专项债务收入安排的支出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基础设施建设和经济发展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2137099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其他大中型水库库区基金对应专项债务收入支出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国家重大水利工程建设基金对应专项债务收入安排的支出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2137101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南水北调工程建设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2137102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三峡工程后续工作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2137103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地方重大水利工程建设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2137199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其他重大水利工程建设基金对应专项债务收入支出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大中型水库移民后期扶持基金支出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1,610</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2137201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移民补助</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289</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2137202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基础设施建设和经济发展</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1,321</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2137299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其他大中型水库移民后期扶持基金支出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小型水库移民扶助基金安排的支出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2137301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移民补助</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2137302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基础设施建设和经济发展</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2137399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其他小型水库移民扶助基金支出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小型水库移民扶助基金对应专项债务收入安排的支出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2137401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基础设施建设和经济发展</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2137499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其他小型水库移民扶助基金对应专项债务收入安排的支出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农业农村支出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水利支出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2139899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其他农林水支出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交通运输支出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海南省高等级公路车辆通行附加费安排的支出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2146002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公路养护</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2146003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公路还贷</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2146099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其他海南省高等级公路车辆通行附加费安排的支出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车辆通行费安排的支出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2146201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公路还贷</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2146202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政府还贷公路养护</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2146203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政府还贷公路管理</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2146299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其他车辆通行费安排的支出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铁路建设基金支出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铁路建设投资</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购置铁路机车车辆</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铁路还贷</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建设项目铺底资金</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勘测设计</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注册资本金</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2146407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周转资金</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2146499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其他铁路建设基金支出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船舶油污损害赔偿基金支出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应急处置费用</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控制清除污染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损失补偿</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2146804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生态恢复</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2146805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监视监测</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其他船舶油污损害赔偿基金支出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民航发展基金支出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民航机场建设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空管系统建设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民航安全</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航线和机场补贴</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民航节能减排</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2146907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通用航空发展</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2146908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征管经费</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2146909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民航科教和信息建设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2146999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其他民航发展基金支出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21470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海南省高等级公路车辆通行附加费对应专项债务收入安排的支出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2147001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公路建设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2147099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其他海南省高等级公路车辆通行附加费对应专项债务收入安排的支出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21471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政府收费公路专项债券收入安排的支出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2147101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公路建设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2147199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其他政府收费公路专项债券收入安排的支出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21472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车辆通行费对应专项债务收入安排的支出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公路水路运输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铁路运输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民用航空运输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2149804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邮政业支出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其他交通运输支出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资源勘探工业信息等支出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21562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农网还贷资金支出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2156201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中央农网还贷资金支出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2156202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地方农网还贷资金支出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2156299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其他农网还贷资金支出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资源勘探开发</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制造业</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工业和信息产业</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2159899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其他资源勘探工业信息等支出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金融支出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金融调控支出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2170402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中央特别国债经营基金支出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2170403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中央特别国债经营基金财务支出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自然资源海洋气象等支出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耕地保护考核奖惩基金支出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2200601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耕地保护</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2200602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补充耕地</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住房保障支出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保障性租赁住房</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2219899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其他住房保障支出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粮油物资储备支出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设施建设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2229899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其他粮油物资储备支出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灾害防治及应急管理支出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用超长期特别国债收入安排的支出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2249801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自然灾害防治</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2249802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自然灾害恢复重建支出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2249899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用超长期特别国债收入安排的其他灾害防治及应急管理支出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60,563</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其他政府性基金及对应专项债务收入安排的支出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59,546</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2290401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其他政府性基金安排的支出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2290402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其他地方自行试点项目收益专项债券收入安排的支出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42,546</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2290403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其他政府性基金债务收入安排的支出  </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17,000</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彩票发行销售机构业务费安排的支出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福利彩票发行机构的业务费支出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体育彩票发行机构的业务费支出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福利彩票销售机构的业务费支出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体育彩票销售机构的业务费支出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彩票兑奖周转金支出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2290807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彩票发行销售风险基金支出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2290808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彩票市场调控资金支出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其他彩票发行销售机构业务费安排的支出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抗疫特别国债财务基金支出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2290901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抗疫特别国债经营基金支出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22910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超长期特别国债财务基金支出(款)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2291001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超长期特别国债财务基金支出(项)</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彩票公益金安排的支出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1,017</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用于补充全国社会保障基金的彩票公益金支出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用于社会福利的彩票公益金支出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762</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用于体育事业的彩票公益金支出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103</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用于教育事业的彩票公益金支出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用于红十字事业的彩票公益金支出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用于残疾人事业的彩票公益金支出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132</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2296010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用于文化事业的彩票公益金支出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2296011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用于巩固脱贫攻坚成果衔接乡村振兴的彩票公益金支出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2296012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用于法律援助的彩票公益金支出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2296013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用于城乡医疗救助的彩票公益金支出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2296099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用于其他社会公益事业的彩票公益金支出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超长期特别国债安排的其他支出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2299899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4,991</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地方政府专项债务付息支出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4,991</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海南省高等级公路车辆通行附加费债务付息支出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国家电影事业发展专项资金债务付息支出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2320411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国有土地使用权出让金债务付息支出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88</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2320413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农业土地开发资金债务付息支出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2320414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大中型水库库区基金债务付息支出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2320416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城市基础设施配套费债务付息支出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2320417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小型水库移民扶助基金债务付息支出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2320418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国家重大水利工程建设基金债务付息支出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2320419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车辆通行费债务付息支出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2320420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污水处理费债务付息支出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2320431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土地储备专项债券付息支出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2320432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政府收费公路专项债券付息支出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2320433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棚户区改造专项债券付息支出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1,447</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其他地方自行试点项目收益专项债券付息支出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3,456</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2320499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其他政府性基金债务付息支出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75</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地方政府专项债务发行费用支出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75</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海南省高等级公路车辆通行附加费债务发行费用支出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国家电影事业发展专项资金债务发行费用支出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2330411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国有土地使用权出让金债务发行费用支出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2330413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农业土地开发资金债务发行费用支出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2330414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大中型水库库区基金债务发行费用支出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2330416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城市基础设施配套费债务发行费用支出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2330417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小型水库移民扶助基金债务发行费用支出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2330418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国家重大水利工程建设基金债务发行费用支出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2330419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车辆通行费债务发行费用支出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2330420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污水处理费债务发行费用支出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2330431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土地储备专项债券发行费用支出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2330432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政府收费公路专项债券发行费用支出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2330433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棚户区改造专项债券发行费用支出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2330498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其他地方自行试点项目收益专项债券发行费用支出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2330499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其他政府性基金债务发行费用支出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32</w:t>
            </w: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抗疫特别国债安排的支出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基础设施建设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公共卫生体系建设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重大疫情防控救治体系建设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粮食安全</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能源安全</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应急物资保障</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2340106</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产业链改造升级</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2340107</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城镇老旧小区改造</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2340108</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生态环境治理</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2340109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交通基础设施建设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2340110</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市政设施建设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2340111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重大区域规划基础设施建设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2340199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其他基础设施建设</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抗疫相关支出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2340201</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减免房租补贴</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2340202</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重点企业贷款贴息</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2340203</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创业担保贷款贴息</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2340204</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援企稳岗补贴</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2340205</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困难群众基本生活补助</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2340299</w:t>
            </w:r>
          </w:p>
        </w:tc>
        <w:tc>
          <w:tcPr>
            <w:tcW w:w="6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其他抗疫相关支出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bl>
    <w:p>
      <w:pPr>
        <w:rPr>
          <w:rFonts w:hint="default"/>
          <w:lang w:val="en-US" w:eastAsia="zh-CN"/>
        </w:rPr>
        <w:sectPr>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snapToGrid w:val="0"/>
        <w:spacing w:after="0" w:line="0" w:lineRule="atLeast"/>
        <w:ind w:left="0" w:leftChars="0" w:firstLine="0" w:firstLineChars="0"/>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附表8</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2024年度米易县国有资本经营收支决算表</w:t>
      </w:r>
    </w:p>
    <w:p>
      <w:pPr>
        <w:keepNext w:val="0"/>
        <w:keepLines w:val="0"/>
        <w:pageBreakBefore w:val="0"/>
        <w:widowControl w:val="0"/>
        <w:kinsoku/>
        <w:wordWrap/>
        <w:overflowPunct/>
        <w:topLinePunct w:val="0"/>
        <w:autoSpaceDE/>
        <w:autoSpaceDN/>
        <w:bidi w:val="0"/>
        <w:adjustRightInd/>
        <w:snapToGrid w:val="0"/>
        <w:spacing w:after="0" w:line="0" w:lineRule="atLeast"/>
        <w:ind w:firstLine="422" w:firstLineChars="200"/>
        <w:jc w:val="right"/>
        <w:textAlignment w:val="auto"/>
        <w:rPr>
          <w:rFonts w:hint="eastAsia" w:ascii="Arial" w:hAnsi="Arial" w:eastAsia="方正仿宋_GBK" w:cs="Times New Roman"/>
          <w:b/>
          <w:bCs/>
          <w:sz w:val="21"/>
          <w:szCs w:val="22"/>
          <w:lang w:val="en-US" w:eastAsia="zh-CN" w:bidi="ar-SA"/>
        </w:rPr>
      </w:pPr>
      <w:r>
        <w:rPr>
          <w:rFonts w:hint="eastAsia" w:ascii="Arial" w:hAnsi="Arial" w:eastAsia="方正仿宋_GBK" w:cs="Times New Roman"/>
          <w:b/>
          <w:bCs/>
          <w:sz w:val="21"/>
          <w:szCs w:val="22"/>
          <w:lang w:val="en-US" w:eastAsia="zh-CN" w:bidi="ar-SA"/>
        </w:rPr>
        <w:t>单位：万元</w:t>
      </w:r>
    </w:p>
    <w:tbl>
      <w:tblPr>
        <w:tblStyle w:val="13"/>
        <w:tblW w:w="9945" w:type="dxa"/>
        <w:jc w:val="center"/>
        <w:tblInd w:w="0" w:type="dxa"/>
        <w:tblLayout w:type="fixed"/>
        <w:tblCellMar>
          <w:top w:w="0" w:type="dxa"/>
          <w:left w:w="0" w:type="dxa"/>
          <w:bottom w:w="0" w:type="dxa"/>
          <w:right w:w="0" w:type="dxa"/>
        </w:tblCellMar>
      </w:tblPr>
      <w:tblGrid>
        <w:gridCol w:w="3709"/>
        <w:gridCol w:w="1076"/>
        <w:gridCol w:w="3870"/>
        <w:gridCol w:w="1290"/>
      </w:tblGrid>
      <w:tr>
        <w:tblPrEx>
          <w:tblLayout w:type="fixed"/>
          <w:tblCellMar>
            <w:top w:w="0" w:type="dxa"/>
            <w:left w:w="0" w:type="dxa"/>
            <w:bottom w:w="0" w:type="dxa"/>
            <w:right w:w="0" w:type="dxa"/>
          </w:tblCellMar>
        </w:tblPrEx>
        <w:trPr>
          <w:trHeight w:val="495" w:hRule="atLeast"/>
          <w:jc w:val="center"/>
        </w:trPr>
        <w:tc>
          <w:tcPr>
            <w:tcW w:w="4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收入执行</w:t>
            </w:r>
          </w:p>
        </w:tc>
        <w:tc>
          <w:tcPr>
            <w:tcW w:w="5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支出执行</w:t>
            </w:r>
          </w:p>
        </w:tc>
      </w:tr>
      <w:tr>
        <w:tblPrEx>
          <w:tblLayout w:type="fixed"/>
          <w:tblCellMar>
            <w:top w:w="0" w:type="dxa"/>
            <w:left w:w="0" w:type="dxa"/>
            <w:bottom w:w="0" w:type="dxa"/>
            <w:right w:w="0" w:type="dxa"/>
          </w:tblCellMar>
        </w:tblPrEx>
        <w:trPr>
          <w:trHeight w:val="800" w:hRule="atLeast"/>
          <w:jc w:val="center"/>
        </w:trPr>
        <w:tc>
          <w:tcPr>
            <w:tcW w:w="370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收  入  科  目</w:t>
            </w:r>
          </w:p>
        </w:tc>
        <w:tc>
          <w:tcPr>
            <w:tcW w:w="107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 xml:space="preserve"> 2024年</w:t>
            </w:r>
            <w:r>
              <w:rPr>
                <w:rFonts w:hint="default" w:ascii="Times New Roman" w:hAnsi="Times New Roman" w:eastAsia="方正黑体_GBK" w:cs="Times New Roman"/>
                <w:b w:val="0"/>
                <w:bCs/>
                <w:i w:val="0"/>
                <w:color w:val="000000"/>
                <w:kern w:val="0"/>
                <w:sz w:val="20"/>
                <w:szCs w:val="20"/>
                <w:u w:val="none"/>
                <w:lang w:val="en-US" w:eastAsia="zh-CN" w:bidi="ar"/>
              </w:rPr>
              <w:br w:type="textWrapping"/>
            </w:r>
            <w:r>
              <w:rPr>
                <w:rFonts w:hint="default" w:ascii="Times New Roman" w:hAnsi="Times New Roman" w:eastAsia="方正黑体_GBK" w:cs="Times New Roman"/>
                <w:b w:val="0"/>
                <w:bCs/>
                <w:i w:val="0"/>
                <w:color w:val="000000"/>
                <w:kern w:val="0"/>
                <w:sz w:val="20"/>
                <w:szCs w:val="20"/>
                <w:u w:val="none"/>
                <w:lang w:val="en-US" w:eastAsia="zh-CN" w:bidi="ar"/>
              </w:rPr>
              <w:t xml:space="preserve">执行数 </w:t>
            </w:r>
          </w:p>
        </w:tc>
        <w:tc>
          <w:tcPr>
            <w:tcW w:w="38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 xml:space="preserve"> 支  出  科  目 </w:t>
            </w:r>
          </w:p>
        </w:tc>
        <w:tc>
          <w:tcPr>
            <w:tcW w:w="12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 xml:space="preserve"> 2024年</w:t>
            </w:r>
            <w:r>
              <w:rPr>
                <w:rFonts w:hint="default" w:ascii="Times New Roman" w:hAnsi="Times New Roman" w:eastAsia="方正黑体_GBK" w:cs="Times New Roman"/>
                <w:b w:val="0"/>
                <w:bCs/>
                <w:i w:val="0"/>
                <w:color w:val="000000"/>
                <w:kern w:val="0"/>
                <w:sz w:val="20"/>
                <w:szCs w:val="20"/>
                <w:u w:val="none"/>
                <w:lang w:val="en-US" w:eastAsia="zh-CN" w:bidi="ar"/>
              </w:rPr>
              <w:br w:type="textWrapping"/>
            </w:r>
            <w:r>
              <w:rPr>
                <w:rFonts w:hint="default" w:ascii="Times New Roman" w:hAnsi="Times New Roman" w:eastAsia="方正黑体_GBK" w:cs="Times New Roman"/>
                <w:b w:val="0"/>
                <w:bCs/>
                <w:i w:val="0"/>
                <w:color w:val="000000"/>
                <w:kern w:val="0"/>
                <w:sz w:val="20"/>
                <w:szCs w:val="20"/>
                <w:u w:val="none"/>
                <w:lang w:val="en-US" w:eastAsia="zh-CN" w:bidi="ar"/>
              </w:rPr>
              <w:t xml:space="preserve">执行数 </w:t>
            </w: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一、国有资本经营预算收入小计 </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605</w:t>
            </w: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一、国有资本经营预算支出小计 </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83</w:t>
            </w: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利润收入</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605</w:t>
            </w: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解决历史遗留问题及改革成本支出</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83</w:t>
            </w: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股利、股息收入</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公益性设施投资支出</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产权转让收入</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国有企业资本金注入</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清算收入</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国有企业政策性补贴</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其他国有资本经营预算收入</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金融国有资本经营预算支出</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其他国有资本经营预算支出</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方正仿宋_GBK" w:cs="Times New Roman"/>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国有资本经营预算上级补助收入</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25</w:t>
            </w: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二、国有资本经营预算调出</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605 </w:t>
            </w: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二、上年结转</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83</w:t>
            </w: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三、结转下年</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25 </w:t>
            </w:r>
          </w:p>
        </w:tc>
      </w:tr>
      <w:tr>
        <w:tblPrEx>
          <w:tblLayout w:type="fixed"/>
          <w:tblCellMar>
            <w:top w:w="0" w:type="dxa"/>
            <w:left w:w="0" w:type="dxa"/>
            <w:bottom w:w="0" w:type="dxa"/>
            <w:right w:w="0" w:type="dxa"/>
          </w:tblCellMar>
        </w:tblPrEx>
        <w:trPr>
          <w:trHeight w:val="495" w:hRule="atLeast"/>
          <w:jc w:val="center"/>
        </w:trPr>
        <w:tc>
          <w:tcPr>
            <w:tcW w:w="3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收 入 总 计</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713</w:t>
            </w:r>
          </w:p>
        </w:tc>
        <w:tc>
          <w:tcPr>
            <w:tcW w:w="3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支 出 总 计</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713 </w:t>
            </w:r>
          </w:p>
        </w:tc>
      </w:tr>
    </w:tbl>
    <w:p>
      <w:pPr>
        <w:keepNext w:val="0"/>
        <w:keepLines w:val="0"/>
        <w:pageBreakBefore w:val="0"/>
        <w:widowControl w:val="0"/>
        <w:kinsoku/>
        <w:wordWrap/>
        <w:overflowPunct/>
        <w:topLinePunct w:val="0"/>
        <w:autoSpaceDE/>
        <w:autoSpaceDN/>
        <w:bidi w:val="0"/>
        <w:adjustRightInd/>
        <w:snapToGrid w:val="0"/>
        <w:spacing w:line="0" w:lineRule="atLeast"/>
        <w:textAlignment w:val="auto"/>
        <w:rPr>
          <w:rFonts w:hint="default"/>
          <w:lang w:val="en-US" w:eastAsia="zh-CN"/>
        </w:rPr>
        <w:sectPr>
          <w:pgSz w:w="11907" w:h="16840"/>
          <w:pgMar w:top="2098" w:right="1474" w:bottom="1984" w:left="1588"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snapToGrid w:val="0"/>
        <w:spacing w:after="0" w:line="0" w:lineRule="atLeast"/>
        <w:ind w:left="0" w:leftChars="0" w:firstLine="0" w:firstLineChars="0"/>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附表</w:t>
      </w:r>
      <w:r>
        <w:rPr>
          <w:rFonts w:hint="eastAsia" w:ascii="Times New Roman" w:hAnsi="Times New Roman" w:eastAsia="方正黑体_GBK" w:cs="Times New Roman"/>
          <w:sz w:val="32"/>
          <w:szCs w:val="32"/>
          <w:lang w:val="en-US" w:eastAsia="zh-CN" w:bidi="ar-SA"/>
        </w:rPr>
        <w:t>9</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2024年度米易县地方政府债务余额情况表</w:t>
      </w:r>
    </w:p>
    <w:p>
      <w:pPr>
        <w:keepNext w:val="0"/>
        <w:keepLines w:val="0"/>
        <w:pageBreakBefore w:val="0"/>
        <w:widowControl w:val="0"/>
        <w:kinsoku/>
        <w:wordWrap/>
        <w:overflowPunct/>
        <w:topLinePunct w:val="0"/>
        <w:autoSpaceDE/>
        <w:autoSpaceDN/>
        <w:bidi w:val="0"/>
        <w:adjustRightInd/>
        <w:snapToGrid w:val="0"/>
        <w:spacing w:after="0" w:line="0" w:lineRule="atLeast"/>
        <w:ind w:firstLine="422" w:firstLineChars="200"/>
        <w:jc w:val="right"/>
        <w:textAlignment w:val="auto"/>
        <w:rPr>
          <w:rFonts w:hint="eastAsia" w:ascii="Arial" w:hAnsi="Arial" w:eastAsia="方正仿宋_GBK" w:cs="Times New Roman"/>
          <w:b/>
          <w:bCs/>
          <w:sz w:val="21"/>
          <w:szCs w:val="22"/>
          <w:lang w:val="en-US" w:eastAsia="zh-CN" w:bidi="ar-SA"/>
        </w:rPr>
      </w:pPr>
      <w:r>
        <w:rPr>
          <w:rFonts w:hint="eastAsia" w:ascii="Arial" w:hAnsi="Arial" w:eastAsia="方正仿宋_GBK" w:cs="Times New Roman"/>
          <w:b/>
          <w:bCs/>
          <w:sz w:val="21"/>
          <w:szCs w:val="22"/>
          <w:lang w:val="en-US" w:eastAsia="zh-CN" w:bidi="ar-SA"/>
        </w:rPr>
        <w:t>单位：万元</w:t>
      </w:r>
    </w:p>
    <w:tbl>
      <w:tblPr>
        <w:tblStyle w:val="13"/>
        <w:tblW w:w="15345" w:type="dxa"/>
        <w:jc w:val="center"/>
        <w:tblInd w:w="0" w:type="dxa"/>
        <w:tblLayout w:type="fixed"/>
        <w:tblCellMar>
          <w:top w:w="0" w:type="dxa"/>
          <w:left w:w="0" w:type="dxa"/>
          <w:bottom w:w="0" w:type="dxa"/>
          <w:right w:w="0" w:type="dxa"/>
        </w:tblCellMar>
      </w:tblPr>
      <w:tblGrid>
        <w:gridCol w:w="3540"/>
        <w:gridCol w:w="1356"/>
        <w:gridCol w:w="885"/>
        <w:gridCol w:w="893"/>
        <w:gridCol w:w="1539"/>
        <w:gridCol w:w="1539"/>
        <w:gridCol w:w="1393"/>
        <w:gridCol w:w="1042"/>
        <w:gridCol w:w="1272"/>
        <w:gridCol w:w="1886"/>
      </w:tblGrid>
      <w:tr>
        <w:tblPrEx>
          <w:tblLayout w:type="fixed"/>
          <w:tblCellMar>
            <w:top w:w="0" w:type="dxa"/>
            <w:left w:w="0" w:type="dxa"/>
            <w:bottom w:w="0" w:type="dxa"/>
            <w:right w:w="0" w:type="dxa"/>
          </w:tblCellMar>
        </w:tblPrEx>
        <w:trPr>
          <w:trHeight w:val="285" w:hRule="atLeast"/>
          <w:jc w:val="center"/>
        </w:trPr>
        <w:tc>
          <w:tcPr>
            <w:tcW w:w="35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项目</w:t>
            </w:r>
          </w:p>
        </w:tc>
        <w:tc>
          <w:tcPr>
            <w:tcW w:w="13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合计</w:t>
            </w:r>
          </w:p>
        </w:tc>
        <w:tc>
          <w:tcPr>
            <w:tcW w:w="624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一般债务</w:t>
            </w:r>
          </w:p>
        </w:tc>
        <w:tc>
          <w:tcPr>
            <w:tcW w:w="4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专项债务</w:t>
            </w:r>
          </w:p>
        </w:tc>
      </w:tr>
      <w:tr>
        <w:tblPrEx>
          <w:tblLayout w:type="fixed"/>
          <w:tblCellMar>
            <w:top w:w="0" w:type="dxa"/>
            <w:left w:w="0" w:type="dxa"/>
            <w:bottom w:w="0" w:type="dxa"/>
            <w:right w:w="0" w:type="dxa"/>
          </w:tblCellMar>
        </w:tblPrEx>
        <w:trPr>
          <w:trHeight w:val="570" w:hRule="atLeast"/>
          <w:jc w:val="center"/>
        </w:trPr>
        <w:tc>
          <w:tcPr>
            <w:tcW w:w="3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黑体_GBK" w:hAnsi="方正黑体_GBK" w:eastAsia="方正黑体_GBK" w:cs="方正黑体_GBK"/>
                <w:b w:val="0"/>
                <w:bCs/>
                <w:i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黑体_GBK" w:hAnsi="方正黑体_GBK" w:eastAsia="方正黑体_GBK" w:cs="方正黑体_GBK"/>
                <w:b w:val="0"/>
                <w:bCs/>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小计</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一般债券</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向外国政府借款</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向国际组织借款</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其他一般债务</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小计</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专项债券</w:t>
            </w: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其他专项债务</w:t>
            </w:r>
          </w:p>
        </w:tc>
      </w:tr>
      <w:tr>
        <w:tblPrEx>
          <w:tblLayout w:type="fixed"/>
          <w:tblCellMar>
            <w:top w:w="0" w:type="dxa"/>
            <w:left w:w="0" w:type="dxa"/>
            <w:bottom w:w="0" w:type="dxa"/>
            <w:right w:w="0" w:type="dxa"/>
          </w:tblCellMar>
        </w:tblPrEx>
        <w:trPr>
          <w:trHeight w:val="397" w:hRule="atLeast"/>
          <w:jc w:val="center"/>
        </w:trPr>
        <w:tc>
          <w:tcPr>
            <w:tcW w:w="3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上年末地方政府债务余额</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20"/>
                <w:szCs w:val="20"/>
                <w:u w:val="none"/>
              </w:rPr>
            </w:pPr>
            <w:r>
              <w:rPr>
                <w:rFonts w:hint="default" w:ascii="Times New Roman" w:hAnsi="Times New Roman" w:eastAsia="方正仿宋_GBK" w:cs="Times New Roman"/>
                <w:b/>
                <w:bCs/>
                <w:i w:val="0"/>
                <w:color w:val="000000"/>
                <w:kern w:val="0"/>
                <w:sz w:val="20"/>
                <w:szCs w:val="20"/>
                <w:u w:val="none"/>
                <w:lang w:val="en-US" w:eastAsia="zh-CN" w:bidi="ar"/>
              </w:rPr>
              <w:t>345,062</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190,782</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186,672</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4,110</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154,280</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154,280</w:t>
            </w: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97" w:hRule="atLeast"/>
          <w:jc w:val="center"/>
        </w:trPr>
        <w:tc>
          <w:tcPr>
            <w:tcW w:w="3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本年地方政府债务余额限额(预算数)</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20"/>
                <w:szCs w:val="20"/>
                <w:u w:val="none"/>
              </w:rPr>
            </w:pPr>
            <w:r>
              <w:rPr>
                <w:rFonts w:hint="default" w:ascii="Times New Roman" w:hAnsi="Times New Roman" w:eastAsia="方正仿宋_GBK" w:cs="Times New Roman"/>
                <w:b/>
                <w:bCs/>
                <w:i w:val="0"/>
                <w:color w:val="000000"/>
                <w:kern w:val="0"/>
                <w:sz w:val="20"/>
                <w:szCs w:val="20"/>
                <w:u w:val="none"/>
                <w:lang w:val="en-US" w:eastAsia="zh-CN" w:bidi="ar"/>
              </w:rPr>
              <w:t>530,509</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202,458</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328,051</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97" w:hRule="atLeast"/>
          <w:jc w:val="center"/>
        </w:trPr>
        <w:tc>
          <w:tcPr>
            <w:tcW w:w="3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本年地方政府债务(转贷)收入</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20"/>
                <w:szCs w:val="20"/>
                <w:u w:val="none"/>
              </w:rPr>
            </w:pPr>
            <w:r>
              <w:rPr>
                <w:rFonts w:hint="default" w:ascii="Times New Roman" w:hAnsi="Times New Roman" w:eastAsia="方正仿宋_GBK" w:cs="Times New Roman"/>
                <w:b/>
                <w:bCs/>
                <w:i w:val="0"/>
                <w:color w:val="000000"/>
                <w:kern w:val="0"/>
                <w:sz w:val="20"/>
                <w:szCs w:val="20"/>
                <w:u w:val="none"/>
                <w:lang w:val="en-US" w:eastAsia="zh-CN" w:bidi="ar"/>
              </w:rPr>
              <w:t>147,484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27,824</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27,824</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119,660</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66,760</w:t>
            </w: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52900</w:t>
            </w:r>
          </w:p>
        </w:tc>
      </w:tr>
      <w:tr>
        <w:tblPrEx>
          <w:tblLayout w:type="fixed"/>
          <w:tblCellMar>
            <w:top w:w="0" w:type="dxa"/>
            <w:left w:w="0" w:type="dxa"/>
            <w:bottom w:w="0" w:type="dxa"/>
            <w:right w:w="0" w:type="dxa"/>
          </w:tblCellMar>
        </w:tblPrEx>
        <w:trPr>
          <w:trHeight w:val="397" w:hRule="atLeast"/>
          <w:jc w:val="center"/>
        </w:trPr>
        <w:tc>
          <w:tcPr>
            <w:tcW w:w="3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本年地方政府债务还本支出</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20"/>
                <w:szCs w:val="20"/>
                <w:u w:val="none"/>
              </w:rPr>
            </w:pPr>
            <w:r>
              <w:rPr>
                <w:rFonts w:hint="default" w:ascii="Times New Roman" w:hAnsi="Times New Roman" w:eastAsia="方正仿宋_GBK" w:cs="Times New Roman"/>
                <w:b/>
                <w:bCs/>
                <w:i w:val="0"/>
                <w:color w:val="000000"/>
                <w:kern w:val="0"/>
                <w:sz w:val="20"/>
                <w:szCs w:val="20"/>
                <w:u w:val="none"/>
                <w:lang w:val="en-US" w:eastAsia="zh-CN" w:bidi="ar"/>
              </w:rPr>
              <w:t>79,301</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22,001</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21,720</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281</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57,300</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21,400</w:t>
            </w: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35,900</w:t>
            </w:r>
          </w:p>
        </w:tc>
      </w:tr>
      <w:tr>
        <w:tblPrEx>
          <w:tblLayout w:type="fixed"/>
          <w:tblCellMar>
            <w:top w:w="0" w:type="dxa"/>
            <w:left w:w="0" w:type="dxa"/>
            <w:bottom w:w="0" w:type="dxa"/>
            <w:right w:w="0" w:type="dxa"/>
          </w:tblCellMar>
        </w:tblPrEx>
        <w:trPr>
          <w:trHeight w:val="397" w:hRule="atLeast"/>
          <w:jc w:val="center"/>
        </w:trPr>
        <w:tc>
          <w:tcPr>
            <w:tcW w:w="3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本年采用其他方式化解的债务本金</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20"/>
                <w:szCs w:val="20"/>
                <w:u w:val="none"/>
              </w:rPr>
            </w:pPr>
            <w:r>
              <w:rPr>
                <w:rFonts w:hint="default" w:ascii="Times New Roman" w:hAnsi="Times New Roman" w:eastAsia="方正仿宋_GBK" w:cs="Times New Roman"/>
                <w:b/>
                <w:bCs/>
                <w:i w:val="0"/>
                <w:color w:val="000000"/>
                <w:kern w:val="0"/>
                <w:sz w:val="20"/>
                <w:szCs w:val="20"/>
                <w:u w:val="none"/>
                <w:lang w:val="en-US" w:eastAsia="zh-CN" w:bidi="ar"/>
              </w:rPr>
              <w:t>-35,907</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-35,900</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-52,900</w:t>
            </w: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17,000</w:t>
            </w:r>
          </w:p>
        </w:tc>
      </w:tr>
      <w:tr>
        <w:tblPrEx>
          <w:tblLayout w:type="fixed"/>
          <w:tblCellMar>
            <w:top w:w="0" w:type="dxa"/>
            <w:left w:w="0" w:type="dxa"/>
            <w:bottom w:w="0" w:type="dxa"/>
            <w:right w:w="0" w:type="dxa"/>
          </w:tblCellMar>
        </w:tblPrEx>
        <w:trPr>
          <w:trHeight w:val="397" w:hRule="atLeast"/>
          <w:jc w:val="center"/>
        </w:trPr>
        <w:tc>
          <w:tcPr>
            <w:tcW w:w="3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年末地方政府债务余额</w:t>
            </w:r>
          </w:p>
        </w:tc>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20"/>
                <w:szCs w:val="20"/>
                <w:u w:val="none"/>
              </w:rPr>
            </w:pPr>
            <w:r>
              <w:rPr>
                <w:rFonts w:hint="default" w:ascii="Times New Roman" w:hAnsi="Times New Roman" w:eastAsia="方正仿宋_GBK" w:cs="Times New Roman"/>
                <w:b/>
                <w:bCs/>
                <w:i w:val="0"/>
                <w:color w:val="000000"/>
                <w:kern w:val="0"/>
                <w:sz w:val="20"/>
                <w:szCs w:val="20"/>
                <w:u w:val="none"/>
                <w:lang w:val="en-US" w:eastAsia="zh-CN" w:bidi="ar"/>
              </w:rPr>
              <w:t>449,152</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196,612</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192,776</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3,836</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252,540</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252,540</w:t>
            </w:r>
          </w:p>
        </w:tc>
        <w:tc>
          <w:tcPr>
            <w:tcW w:w="1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bl>
    <w:p>
      <w:pPr>
        <w:rPr>
          <w:rFonts w:hint="default"/>
          <w:lang w:val="en-US" w:eastAsia="zh-CN"/>
        </w:rPr>
        <w:sectPr>
          <w:pgSz w:w="16840" w:h="11907" w:orient="landscape"/>
          <w:pgMar w:top="1588" w:right="2098" w:bottom="1474" w:left="1984"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附表</w:t>
      </w:r>
      <w:r>
        <w:rPr>
          <w:rFonts w:hint="eastAsia" w:ascii="Times New Roman" w:hAnsi="Times New Roman" w:eastAsia="方正黑体_GBK" w:cs="Times New Roman"/>
          <w:sz w:val="32"/>
          <w:szCs w:val="32"/>
          <w:lang w:val="en-US" w:eastAsia="zh-CN" w:bidi="ar-SA"/>
        </w:rPr>
        <w:t>10</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2024年度米易县地方政府专项债务分项目余额情况表</w:t>
      </w:r>
    </w:p>
    <w:p>
      <w:pPr>
        <w:keepNext w:val="0"/>
        <w:keepLines w:val="0"/>
        <w:pageBreakBefore w:val="0"/>
        <w:widowControl w:val="0"/>
        <w:kinsoku/>
        <w:wordWrap/>
        <w:overflowPunct/>
        <w:topLinePunct w:val="0"/>
        <w:autoSpaceDE/>
        <w:autoSpaceDN/>
        <w:bidi w:val="0"/>
        <w:adjustRightInd w:val="0"/>
        <w:snapToGrid w:val="0"/>
        <w:spacing w:after="104" w:line="0" w:lineRule="atLeast"/>
        <w:ind w:left="0" w:leftChars="0" w:firstLine="0" w:firstLineChars="0"/>
        <w:jc w:val="right"/>
        <w:textAlignment w:val="auto"/>
        <w:rPr>
          <w:rFonts w:hint="eastAsia" w:ascii="Arial" w:hAnsi="Arial" w:eastAsia="方正仿宋_GBK" w:cs="Times New Roman"/>
          <w:b/>
          <w:bCs/>
          <w:sz w:val="21"/>
          <w:szCs w:val="22"/>
          <w:lang w:val="en-US" w:eastAsia="zh-CN" w:bidi="ar-SA"/>
        </w:rPr>
      </w:pPr>
      <w:r>
        <w:rPr>
          <w:rFonts w:hint="eastAsia" w:ascii="Arial" w:hAnsi="Arial" w:eastAsia="方正仿宋_GBK" w:cs="Times New Roman"/>
          <w:b/>
          <w:bCs/>
          <w:sz w:val="21"/>
          <w:szCs w:val="22"/>
          <w:lang w:val="en-US" w:eastAsia="zh-CN" w:bidi="ar-SA"/>
        </w:rPr>
        <w:t>单位：万元</w:t>
      </w:r>
    </w:p>
    <w:tbl>
      <w:tblPr>
        <w:tblStyle w:val="13"/>
        <w:tblW w:w="14655" w:type="dxa"/>
        <w:jc w:val="center"/>
        <w:tblInd w:w="0" w:type="dxa"/>
        <w:tblLayout w:type="fixed"/>
        <w:tblCellMar>
          <w:top w:w="0" w:type="dxa"/>
          <w:left w:w="0" w:type="dxa"/>
          <w:bottom w:w="0" w:type="dxa"/>
          <w:right w:w="0" w:type="dxa"/>
        </w:tblCellMar>
      </w:tblPr>
      <w:tblGrid>
        <w:gridCol w:w="4005"/>
        <w:gridCol w:w="2355"/>
        <w:gridCol w:w="2205"/>
        <w:gridCol w:w="1935"/>
        <w:gridCol w:w="2070"/>
        <w:gridCol w:w="2085"/>
      </w:tblGrid>
      <w:tr>
        <w:tblPrEx>
          <w:tblLayout w:type="fixed"/>
          <w:tblCellMar>
            <w:top w:w="0" w:type="dxa"/>
            <w:left w:w="0" w:type="dxa"/>
            <w:bottom w:w="0" w:type="dxa"/>
            <w:right w:w="0" w:type="dxa"/>
          </w:tblCellMar>
        </w:tblPrEx>
        <w:trPr>
          <w:trHeight w:val="48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项目</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上年末地方政府债务余额</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本年地方政府债务(转贷)收入</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本年地方政府债务还本支出</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本年采用其他方式化解的债务本金</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年末地方政府债务余额</w:t>
            </w: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政府性基金预算</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154,280</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119,660</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57,300</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-35,900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252,540</w:t>
            </w: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国家电影事业发展专项资金</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小型水库移民扶助基金</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国有土地使用权出让</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2,280</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1,400</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880</w:t>
            </w: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农业土地开发资金</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城市基础设施配套费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污水处理费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土地储备专项债券</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棚户区改造专项债券</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45,350</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19,260</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20,000</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44,610</w:t>
            </w: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大中型水库库区基金</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国家重大水利工程建设基金</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海南省高等级公路车辆通行附加费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政府收费公路专项债券</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车辆通行费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其他地方自行试点项目收益专项债券</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106,650</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47,500</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154,150</w:t>
            </w:r>
          </w:p>
        </w:tc>
      </w:tr>
      <w:tr>
        <w:tblPrEx>
          <w:tblLayout w:type="fixed"/>
          <w:tblCellMar>
            <w:top w:w="0" w:type="dxa"/>
            <w:left w:w="0" w:type="dxa"/>
            <w:bottom w:w="0" w:type="dxa"/>
            <w:right w:w="0" w:type="dxa"/>
          </w:tblCellMar>
        </w:tblPrEx>
        <w:trPr>
          <w:trHeight w:val="340" w:hRule="atLeast"/>
          <w:jc w:val="center"/>
        </w:trPr>
        <w:tc>
          <w:tcPr>
            <w:tcW w:w="4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其他政府性基金</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52,900</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35,900</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-35,900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52,900</w:t>
            </w:r>
          </w:p>
        </w:tc>
      </w:tr>
    </w:tbl>
    <w:p>
      <w:pPr>
        <w:rPr>
          <w:rFonts w:hint="default"/>
          <w:lang w:val="en-US" w:eastAsia="zh-CN"/>
        </w:rPr>
        <w:sectPr>
          <w:pgSz w:w="16840" w:h="11907" w:orient="landscape"/>
          <w:pgMar w:top="1588" w:right="2098" w:bottom="1474" w:left="1984"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附表</w:t>
      </w:r>
      <w:r>
        <w:rPr>
          <w:rFonts w:hint="eastAsia" w:ascii="Times New Roman" w:hAnsi="Times New Roman" w:eastAsia="方正黑体_GBK" w:cs="Times New Roman"/>
          <w:sz w:val="32"/>
          <w:szCs w:val="32"/>
          <w:lang w:val="en-US" w:eastAsia="zh-CN" w:bidi="ar-SA"/>
        </w:rPr>
        <w:t>11</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2024年度米易县乡镇一般公共预算收支决算表</w:t>
      </w:r>
    </w:p>
    <w:p>
      <w:pPr>
        <w:widowControl w:val="0"/>
        <w:spacing w:after="104" w:line="0" w:lineRule="atLeast"/>
        <w:ind w:firstLine="422" w:firstLineChars="200"/>
        <w:jc w:val="right"/>
        <w:rPr>
          <w:rFonts w:hint="eastAsia" w:ascii="Arial" w:hAnsi="Arial" w:eastAsia="方正仿宋_GBK" w:cs="Times New Roman"/>
          <w:b/>
          <w:bCs/>
          <w:sz w:val="21"/>
          <w:szCs w:val="22"/>
          <w:lang w:val="en-US" w:eastAsia="zh-CN" w:bidi="ar-SA"/>
        </w:rPr>
      </w:pPr>
      <w:r>
        <w:rPr>
          <w:rFonts w:hint="eastAsia" w:ascii="Arial" w:hAnsi="Arial" w:eastAsia="方正仿宋_GBK" w:cs="Times New Roman"/>
          <w:b/>
          <w:bCs/>
          <w:sz w:val="21"/>
          <w:szCs w:val="22"/>
          <w:lang w:val="en-US" w:eastAsia="zh-CN" w:bidi="ar-SA"/>
        </w:rPr>
        <w:t>单位：万元</w:t>
      </w:r>
    </w:p>
    <w:tbl>
      <w:tblPr>
        <w:tblStyle w:val="13"/>
        <w:tblW w:w="152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5"/>
        <w:gridCol w:w="1155"/>
        <w:gridCol w:w="840"/>
        <w:gridCol w:w="1875"/>
        <w:gridCol w:w="3090"/>
        <w:gridCol w:w="1425"/>
        <w:gridCol w:w="1500"/>
        <w:gridCol w:w="2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预算科目</w:t>
            </w:r>
          </w:p>
        </w:tc>
        <w:tc>
          <w:tcPr>
            <w:tcW w:w="115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调整预算数</w:t>
            </w:r>
          </w:p>
        </w:tc>
        <w:tc>
          <w:tcPr>
            <w:tcW w:w="84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决算数</w:t>
            </w:r>
          </w:p>
        </w:tc>
        <w:tc>
          <w:tcPr>
            <w:tcW w:w="187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其中:地级直属乡镇</w:t>
            </w: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预算科目</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调整预算数</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决算数</w:t>
            </w:r>
          </w:p>
        </w:tc>
        <w:tc>
          <w:tcPr>
            <w:tcW w:w="22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其中:地级直属乡镇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一、税收收入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一、一般公共服务支出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9,256</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9,256</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增值税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二、外交支出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企业所得税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三、国防支出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个人所得税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四、公共安全支出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157</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157</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资源税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五、教育支出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城市维护建设税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六、科学技术支出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房产税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七、文化旅游体育与传媒支出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482</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482</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印花税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八、社会保障和就业支出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6,118</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6,118</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城镇土地使用税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九、卫生健康支出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777</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777</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土地增值税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十、节能环保支出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276</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276</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车船税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十一、城乡社区支出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4,875</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4,875</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耕地占用税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十二、农林水支出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6,613</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6,613</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契税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十三、交通运输支出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烟叶税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十四、资源勘探工业信息等支出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环境保护税</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十五、商业服务业等支出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其他税收收入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十六、金融支出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二、非税收入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十七、援助其他地区支出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专项收入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十八、自然资源海洋气象等支出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1,025</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1,025</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行政事业性收费收入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十九、住房保障支出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1,418</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1,418</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罚没收入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二十、粮油物资储备支出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国有资本经营收入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二十一、灾害防治及应急管理支出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101</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101</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国有资源(资产)有偿使用收入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二十二、预备费</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捐赠收入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二十三、其他支出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政府住房基金收入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二十四、债务付息支出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其他收入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二十五、债务发行费用支出</w:t>
            </w: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一般公共预算收入</w:t>
            </w: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一般公共预算支出</w:t>
            </w:r>
          </w:p>
        </w:tc>
        <w:tc>
          <w:tcPr>
            <w:tcW w:w="1425"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31,150</w:t>
            </w: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31,150</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上级补助收入</w:t>
            </w:r>
          </w:p>
        </w:tc>
        <w:tc>
          <w:tcPr>
            <w:tcW w:w="115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84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31,546</w:t>
            </w: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上解上级支出</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待偿债再融资一般债券上年结余</w:t>
            </w:r>
          </w:p>
        </w:tc>
        <w:tc>
          <w:tcPr>
            <w:tcW w:w="115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jc w:val="left"/>
              <w:rPr>
                <w:rFonts w:hint="default" w:ascii="Times New Roman" w:hAnsi="Times New Roman" w:eastAsia="方正仿宋_GBK" w:cs="Times New Roman"/>
                <w:b/>
                <w:i w:val="0"/>
                <w:color w:val="000000"/>
                <w:sz w:val="20"/>
                <w:szCs w:val="20"/>
                <w:u w:val="none"/>
              </w:rPr>
            </w:pP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上年结余收入</w:t>
            </w:r>
          </w:p>
        </w:tc>
        <w:tc>
          <w:tcPr>
            <w:tcW w:w="115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84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1,085</w:t>
            </w: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jc w:val="left"/>
              <w:rPr>
                <w:rFonts w:hint="default" w:ascii="Times New Roman" w:hAnsi="Times New Roman" w:eastAsia="方正仿宋_GBK" w:cs="Times New Roman"/>
                <w:b/>
                <w:i w:val="0"/>
                <w:color w:val="000000"/>
                <w:sz w:val="20"/>
                <w:szCs w:val="20"/>
                <w:u w:val="none"/>
              </w:rPr>
            </w:pPr>
          </w:p>
        </w:tc>
        <w:tc>
          <w:tcPr>
            <w:tcW w:w="142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调入资金</w:t>
            </w:r>
          </w:p>
        </w:tc>
        <w:tc>
          <w:tcPr>
            <w:tcW w:w="115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调出资金</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债务(转贷)收入</w:t>
            </w:r>
          </w:p>
        </w:tc>
        <w:tc>
          <w:tcPr>
            <w:tcW w:w="115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债务还本支出</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jc w:val="left"/>
              <w:rPr>
                <w:rFonts w:hint="default" w:ascii="Times New Roman" w:hAnsi="Times New Roman" w:eastAsia="方正仿宋_GBK" w:cs="Times New Roman"/>
                <w:b/>
                <w:i w:val="0"/>
                <w:color w:val="000000"/>
                <w:sz w:val="20"/>
                <w:szCs w:val="20"/>
                <w:u w:val="none"/>
              </w:rPr>
            </w:pP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补充预算周转金</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动用预算稳定调节基金</w:t>
            </w:r>
          </w:p>
        </w:tc>
        <w:tc>
          <w:tcPr>
            <w:tcW w:w="115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安排预算稳定调节基金</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区域间转移性收入</w:t>
            </w:r>
          </w:p>
        </w:tc>
        <w:tc>
          <w:tcPr>
            <w:tcW w:w="115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区域间转移性支出</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jc w:val="left"/>
              <w:rPr>
                <w:rFonts w:hint="default" w:ascii="Times New Roman" w:hAnsi="Times New Roman" w:eastAsia="方正仿宋_GBK" w:cs="Times New Roman"/>
                <w:b/>
                <w:i w:val="0"/>
                <w:color w:val="000000"/>
                <w:sz w:val="20"/>
                <w:szCs w:val="20"/>
                <w:u w:val="none"/>
              </w:rPr>
            </w:pP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待偿债再融资一般债券结余</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jc w:val="left"/>
              <w:rPr>
                <w:rFonts w:hint="default" w:ascii="Times New Roman" w:hAnsi="Times New Roman" w:eastAsia="方正仿宋_GBK" w:cs="Times New Roman"/>
                <w:b/>
                <w:i w:val="0"/>
                <w:color w:val="000000"/>
                <w:sz w:val="20"/>
                <w:szCs w:val="20"/>
                <w:u w:val="none"/>
              </w:rPr>
            </w:pP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年终结余</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1,481</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jc w:val="left"/>
              <w:rPr>
                <w:rFonts w:hint="default" w:ascii="Times New Roman" w:hAnsi="Times New Roman" w:eastAsia="方正仿宋_GBK" w:cs="Times New Roman"/>
                <w:b/>
                <w:i w:val="0"/>
                <w:color w:val="000000"/>
                <w:sz w:val="20"/>
                <w:szCs w:val="20"/>
                <w:u w:val="none"/>
              </w:rPr>
            </w:pPr>
          </w:p>
        </w:tc>
        <w:tc>
          <w:tcPr>
            <w:tcW w:w="115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84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其中:净结余</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313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收  入  总  计</w:t>
            </w:r>
          </w:p>
        </w:tc>
        <w:tc>
          <w:tcPr>
            <w:tcW w:w="115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84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b/>
                <w:bCs/>
                <w:i w:val="0"/>
                <w:color w:val="000000"/>
                <w:kern w:val="0"/>
                <w:sz w:val="20"/>
                <w:szCs w:val="20"/>
                <w:u w:val="none"/>
                <w:lang w:val="en-US" w:eastAsia="zh-CN" w:bidi="ar"/>
              </w:rPr>
              <w:t>32,631</w:t>
            </w:r>
          </w:p>
        </w:tc>
        <w:tc>
          <w:tcPr>
            <w:tcW w:w="1875"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i w:val="0"/>
                <w:color w:val="000000"/>
                <w:sz w:val="20"/>
                <w:szCs w:val="20"/>
                <w:u w:val="none"/>
              </w:rPr>
            </w:pPr>
          </w:p>
        </w:tc>
        <w:tc>
          <w:tcPr>
            <w:tcW w:w="309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支  出  总  计</w:t>
            </w:r>
          </w:p>
        </w:tc>
        <w:tc>
          <w:tcPr>
            <w:tcW w:w="1425" w:type="dxa"/>
            <w:tcBorders>
              <w:tl2br w:val="nil"/>
              <w:tr2bl w:val="nil"/>
            </w:tcBorders>
            <w:tcMar>
              <w:top w:w="15" w:type="dxa"/>
              <w:left w:w="15" w:type="dxa"/>
              <w:right w:w="15" w:type="dxa"/>
            </w:tcMar>
            <w:vAlign w:val="bottom"/>
          </w:tcPr>
          <w:p>
            <w:pPr>
              <w:rPr>
                <w:rFonts w:hint="default" w:ascii="Times New Roman" w:hAnsi="Times New Roman" w:eastAsia="方正仿宋_GBK" w:cs="Times New Roman"/>
                <w:i w:val="0"/>
                <w:color w:val="000000"/>
                <w:sz w:val="24"/>
                <w:szCs w:val="24"/>
                <w:u w:val="none"/>
              </w:rPr>
            </w:pPr>
          </w:p>
        </w:tc>
        <w:tc>
          <w:tcPr>
            <w:tcW w:w="1500" w:type="dxa"/>
            <w:tcBorders>
              <w:tl2br w:val="nil"/>
              <w:tr2bl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bCs/>
                <w:i w:val="0"/>
                <w:color w:val="000000"/>
                <w:sz w:val="20"/>
                <w:szCs w:val="20"/>
                <w:u w:val="none"/>
              </w:rPr>
            </w:pPr>
            <w:r>
              <w:rPr>
                <w:rFonts w:hint="default" w:ascii="Times New Roman" w:hAnsi="Times New Roman" w:eastAsia="方正仿宋_GBK" w:cs="Times New Roman"/>
                <w:b/>
                <w:bCs/>
                <w:i w:val="0"/>
                <w:color w:val="000000"/>
                <w:kern w:val="0"/>
                <w:sz w:val="20"/>
                <w:szCs w:val="20"/>
                <w:u w:val="none"/>
                <w:lang w:val="en-US" w:eastAsia="zh-CN" w:bidi="ar"/>
              </w:rPr>
              <w:t>32,631</w:t>
            </w:r>
          </w:p>
        </w:tc>
        <w:tc>
          <w:tcPr>
            <w:tcW w:w="2220" w:type="dxa"/>
            <w:tcBorders>
              <w:tl2br w:val="nil"/>
              <w:tr2bl w:val="nil"/>
            </w:tcBorders>
            <w:tcMar>
              <w:top w:w="15" w:type="dxa"/>
              <w:left w:w="15" w:type="dxa"/>
              <w:right w:w="15" w:type="dxa"/>
            </w:tcMar>
            <w:vAlign w:val="center"/>
          </w:tcPr>
          <w:p>
            <w:pPr>
              <w:jc w:val="right"/>
              <w:rPr>
                <w:rFonts w:hint="default" w:ascii="Times New Roman" w:hAnsi="Times New Roman" w:eastAsia="方正仿宋_GBK" w:cs="Times New Roman"/>
                <w:b/>
                <w:bCs/>
                <w:i w:val="0"/>
                <w:color w:val="000000"/>
                <w:sz w:val="20"/>
                <w:szCs w:val="20"/>
                <w:u w:val="none"/>
              </w:rPr>
            </w:pPr>
          </w:p>
        </w:tc>
      </w:tr>
    </w:tbl>
    <w:p>
      <w:pPr>
        <w:rPr>
          <w:rFonts w:hint="default"/>
          <w:lang w:val="en-US" w:eastAsia="zh-CN"/>
        </w:rPr>
        <w:sectPr>
          <w:pgSz w:w="16840" w:h="11907" w:orient="landscape"/>
          <w:pgMar w:top="1588" w:right="2098" w:bottom="1474" w:left="1984" w:header="907" w:footer="1644" w:gutter="0"/>
          <w:pgBorders>
            <w:top w:val="none" w:sz="0" w:space="0"/>
            <w:left w:val="none" w:sz="0" w:space="0"/>
            <w:bottom w:val="none" w:sz="0" w:space="0"/>
            <w:right w:val="none" w:sz="0" w:space="0"/>
          </w:pgBorders>
          <w:pgNumType w:fmt="decimal"/>
          <w:cols w:space="720" w:num="1"/>
          <w:docGrid w:linePitch="576" w:charSpace="0"/>
        </w:sect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附表</w:t>
      </w:r>
      <w:r>
        <w:rPr>
          <w:rFonts w:hint="eastAsia" w:ascii="Times New Roman" w:hAnsi="Times New Roman" w:eastAsia="方正黑体_GBK" w:cs="Times New Roman"/>
          <w:sz w:val="32"/>
          <w:szCs w:val="32"/>
          <w:lang w:val="en-US" w:eastAsia="zh-CN" w:bidi="ar-SA"/>
        </w:rPr>
        <w:t>12</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2024年度米易县乡镇政府性基金预算收支决算表</w:t>
      </w:r>
    </w:p>
    <w:p>
      <w:pPr>
        <w:keepNext w:val="0"/>
        <w:keepLines w:val="0"/>
        <w:pageBreakBefore w:val="0"/>
        <w:widowControl w:val="0"/>
        <w:kinsoku/>
        <w:wordWrap/>
        <w:overflowPunct/>
        <w:topLinePunct w:val="0"/>
        <w:autoSpaceDE/>
        <w:autoSpaceDN/>
        <w:bidi w:val="0"/>
        <w:spacing w:after="0" w:line="0" w:lineRule="atLeast"/>
        <w:ind w:firstLine="422" w:firstLineChars="200"/>
        <w:jc w:val="right"/>
        <w:textAlignment w:val="auto"/>
        <w:rPr>
          <w:rFonts w:hint="eastAsia" w:ascii="Arial" w:hAnsi="Arial" w:eastAsia="方正仿宋_GBK" w:cs="Times New Roman"/>
          <w:b/>
          <w:bCs/>
          <w:sz w:val="21"/>
          <w:szCs w:val="22"/>
          <w:lang w:val="en-US" w:eastAsia="zh-CN" w:bidi="ar-SA"/>
        </w:rPr>
      </w:pPr>
      <w:r>
        <w:rPr>
          <w:rFonts w:hint="eastAsia" w:ascii="Arial" w:hAnsi="Arial" w:eastAsia="方正仿宋_GBK" w:cs="Times New Roman"/>
          <w:b/>
          <w:bCs/>
          <w:sz w:val="21"/>
          <w:szCs w:val="22"/>
          <w:lang w:val="en-US" w:eastAsia="zh-CN" w:bidi="ar-SA"/>
        </w:rPr>
        <w:t>单位：万元</w:t>
      </w:r>
    </w:p>
    <w:tbl>
      <w:tblPr>
        <w:tblStyle w:val="13"/>
        <w:tblW w:w="15315" w:type="dxa"/>
        <w:jc w:val="center"/>
        <w:tblInd w:w="0" w:type="dxa"/>
        <w:tblLayout w:type="fixed"/>
        <w:tblCellMar>
          <w:top w:w="0" w:type="dxa"/>
          <w:left w:w="0" w:type="dxa"/>
          <w:bottom w:w="0" w:type="dxa"/>
          <w:right w:w="0" w:type="dxa"/>
        </w:tblCellMar>
      </w:tblPr>
      <w:tblGrid>
        <w:gridCol w:w="3225"/>
        <w:gridCol w:w="1230"/>
        <w:gridCol w:w="1290"/>
        <w:gridCol w:w="1785"/>
        <w:gridCol w:w="3345"/>
        <w:gridCol w:w="1245"/>
        <w:gridCol w:w="1305"/>
        <w:gridCol w:w="1890"/>
      </w:tblGrid>
      <w:tr>
        <w:tblPrEx>
          <w:tblLayout w:type="fixed"/>
          <w:tblCellMar>
            <w:top w:w="0" w:type="dxa"/>
            <w:left w:w="0" w:type="dxa"/>
            <w:bottom w:w="0" w:type="dxa"/>
            <w:right w:w="0" w:type="dxa"/>
          </w:tblCellMar>
        </w:tblPrEx>
        <w:trPr>
          <w:trHeight w:val="92"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项目</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调整预算数</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决算数</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其中:地级直属乡镇</w:t>
            </w: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项目</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调整预算数</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决算数</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0"/>
                <w:szCs w:val="20"/>
                <w:u w:val="none"/>
                <w:lang w:val="en-US" w:eastAsia="zh-CN" w:bidi="ar"/>
              </w:rPr>
              <w:t>其中:地级直属乡镇</w:t>
            </w:r>
          </w:p>
        </w:tc>
      </w:tr>
      <w:tr>
        <w:tblPrEx>
          <w:tblLayout w:type="fixed"/>
          <w:tblCellMar>
            <w:top w:w="0" w:type="dxa"/>
            <w:left w:w="0" w:type="dxa"/>
            <w:bottom w:w="0" w:type="dxa"/>
            <w:right w:w="0" w:type="dxa"/>
          </w:tblCellMar>
        </w:tblPrEx>
        <w:trPr>
          <w:trHeight w:val="90"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国有土地使用权出让相关收入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国有土地使用权出让相关支出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4,391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4,391</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90"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国有土地收益基金相关收入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国有土地收益基金相关支出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90"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农业土地开发资金相关收入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农业土地开发资金相关支出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90"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城市基础设施配套费相关收入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城市基础设施配套费相关支出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90"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污水处理费相关收入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污水处理费相关支出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车辆通行费相关收入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车辆通行费相关支出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彩票公益金收入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彩票公益金安排的支出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其他各项政府性基金相关收入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超长期特别国债安排的支出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其他各项政府性基金相关支出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政府性基金预算收入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政府性基金预算支出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4,391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4,391</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上级补助收入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4,391</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上解上级支出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待偿债再融资专项债券上年结余</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上年结余收入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4"/>
                <w:szCs w:val="24"/>
                <w:u w:val="none"/>
              </w:rPr>
            </w:pPr>
          </w:p>
        </w:tc>
        <w:tc>
          <w:tcPr>
            <w:tcW w:w="12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调入资金</w:t>
            </w:r>
          </w:p>
        </w:tc>
        <w:tc>
          <w:tcPr>
            <w:tcW w:w="1230" w:type="dxa"/>
            <w:tcBorders>
              <w:top w:val="single" w:color="000000" w:sz="4" w:space="0"/>
              <w:left w:val="single" w:color="000000" w:sz="4" w:space="0"/>
              <w:bottom w:val="single" w:color="000000" w:sz="4" w:space="0"/>
              <w:right w:val="nil"/>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调出资金</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债务(转贷)收入</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4"/>
                <w:szCs w:val="24"/>
                <w:u w:val="none"/>
              </w:rPr>
            </w:pPr>
          </w:p>
        </w:tc>
        <w:tc>
          <w:tcPr>
            <w:tcW w:w="129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债务还本支出</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动用偿债备付金</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偿债备付金</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动用超长期特别国债偿债备付金</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 xml:space="preserve">  安排超长期特别国债偿债备付金</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待偿债再融资专项债券结余</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182"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年终结余</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i w:val="0"/>
                <w:color w:val="000000"/>
                <w:sz w:val="20"/>
                <w:szCs w:val="20"/>
                <w:u w:val="none"/>
              </w:rPr>
            </w:pPr>
          </w:p>
        </w:tc>
      </w:tr>
      <w:tr>
        <w:tblPrEx>
          <w:tblLayout w:type="fixed"/>
          <w:tblCellMar>
            <w:top w:w="0" w:type="dxa"/>
            <w:left w:w="0" w:type="dxa"/>
            <w:bottom w:w="0" w:type="dxa"/>
            <w:right w:w="0" w:type="dxa"/>
          </w:tblCellMar>
        </w:tblPrEx>
        <w:trPr>
          <w:trHeight w:val="285" w:hRule="atLeast"/>
          <w:jc w:val="center"/>
        </w:trPr>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val="0"/>
                <w:i w:val="0"/>
                <w:color w:val="000000"/>
                <w:sz w:val="20"/>
                <w:szCs w:val="20"/>
                <w:u w:val="none"/>
              </w:rPr>
            </w:pPr>
            <w:r>
              <w:rPr>
                <w:rFonts w:hint="default" w:ascii="Times New Roman" w:hAnsi="Times New Roman" w:eastAsia="方正仿宋_GBK" w:cs="Times New Roman"/>
                <w:b/>
                <w:bCs w:val="0"/>
                <w:i w:val="0"/>
                <w:color w:val="000000"/>
                <w:kern w:val="0"/>
                <w:sz w:val="20"/>
                <w:szCs w:val="20"/>
                <w:u w:val="none"/>
                <w:lang w:val="en-US" w:eastAsia="zh-CN" w:bidi="ar"/>
              </w:rPr>
              <w:t>收  入  总  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b/>
                <w:bCs w:val="0"/>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b/>
                <w:bCs w:val="0"/>
                <w:i w:val="0"/>
                <w:color w:val="000000"/>
                <w:sz w:val="20"/>
                <w:szCs w:val="20"/>
                <w:u w:val="none"/>
              </w:rPr>
            </w:pPr>
            <w:r>
              <w:rPr>
                <w:rFonts w:hint="default" w:ascii="Times New Roman" w:hAnsi="Times New Roman" w:eastAsia="方正仿宋_GBK" w:cs="Times New Roman"/>
                <w:b/>
                <w:bCs w:val="0"/>
                <w:i w:val="0"/>
                <w:color w:val="000000"/>
                <w:kern w:val="0"/>
                <w:sz w:val="20"/>
                <w:szCs w:val="20"/>
                <w:u w:val="none"/>
                <w:lang w:val="en-US" w:eastAsia="zh-CN" w:bidi="ar"/>
              </w:rPr>
              <w:t>4,391</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b/>
                <w:bCs w:val="0"/>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val="0"/>
                <w:i w:val="0"/>
                <w:color w:val="000000"/>
                <w:sz w:val="20"/>
                <w:szCs w:val="20"/>
                <w:u w:val="none"/>
              </w:rPr>
            </w:pPr>
            <w:r>
              <w:rPr>
                <w:rFonts w:hint="default" w:ascii="Times New Roman" w:hAnsi="Times New Roman" w:eastAsia="方正仿宋_GBK" w:cs="Times New Roman"/>
                <w:b/>
                <w:bCs w:val="0"/>
                <w:i w:val="0"/>
                <w:color w:val="000000"/>
                <w:kern w:val="0"/>
                <w:sz w:val="20"/>
                <w:szCs w:val="20"/>
                <w:u w:val="none"/>
                <w:lang w:val="en-US" w:eastAsia="zh-CN" w:bidi="ar"/>
              </w:rPr>
              <w:t>支  出  总  计</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b/>
                <w:bCs w:val="0"/>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b/>
                <w:bCs w:val="0"/>
                <w:i w:val="0"/>
                <w:color w:val="000000"/>
                <w:sz w:val="20"/>
                <w:szCs w:val="20"/>
                <w:u w:val="none"/>
              </w:rPr>
            </w:pPr>
            <w:r>
              <w:rPr>
                <w:rFonts w:hint="default" w:ascii="Times New Roman" w:hAnsi="Times New Roman" w:eastAsia="方正仿宋_GBK" w:cs="Times New Roman"/>
                <w:b/>
                <w:bCs w:val="0"/>
                <w:i w:val="0"/>
                <w:color w:val="000000"/>
                <w:kern w:val="0"/>
                <w:sz w:val="20"/>
                <w:szCs w:val="20"/>
                <w:u w:val="none"/>
                <w:lang w:val="en-US" w:eastAsia="zh-CN" w:bidi="ar"/>
              </w:rPr>
              <w:t>4,391</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eastAsia="方正仿宋_GBK" w:cs="Times New Roman"/>
                <w:b/>
                <w:bCs w:val="0"/>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sz w:val="15"/>
          <w:szCs w:val="15"/>
          <w:lang w:val="en-US" w:eastAsia="zh-CN"/>
        </w:rPr>
      </w:pPr>
    </w:p>
    <w:sectPr>
      <w:headerReference r:id="rId7" w:type="first"/>
      <w:footerReference r:id="rId10"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2098" w:right="1474" w:bottom="1984" w:left="1588" w:header="907" w:footer="164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穝灿砰">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w:pict>
        <v:shape id="_x0000_s3078" o:spid="_x0000_s3078"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60"/>
      <w:rPr>
        <w:rFonts w:ascii="宋体" w:hAnsi="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pPr>
                  <w:pStyle w:val="7"/>
                  <w:ind w:firstLine="0" w:firstLineChars="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9" w:firstLineChars="7"/>
      <w:rPr>
        <w:rFonts w:ascii="宋体" w:hAnsi="宋体"/>
        <w:sz w:val="28"/>
        <w:szCs w:val="28"/>
      </w:rPr>
    </w:pPr>
    <w:r>
      <w:rPr>
        <w:sz w:val="28"/>
      </w:rPr>
      <w:pict>
        <v:shape id="_x0000_s3076" o:spid="_x0000_s307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pPr>
                  <w:pStyle w:val="7"/>
                  <w:ind w:firstLine="360"/>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w:pict>
        <v:shape id="_x0000_s3073" o:spid="_x0000_s3073" o:spt="202" type="#_x0000_t202" style="position:absolute;left:0pt;margin-top:0pt;height:76.5pt;width:435.35pt;mso-position-horizontal:center;z-index:-251657216;mso-width-relative:page;mso-height-relative:page;" filled="f" stroked="f" coordsize="21600,21600" o:gfxdata="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ApcrtUAAAAFAQAADwAAAAAAAAABACAAAAAiAAAAZHJzL2Rvd25yZXYueG1sUEsBAhQA&#10;FAAAAAgAh07iQHjjXje8AQAAcgMAAA4AAAAAAAAAAQAgAAAAJAEAAGRycy9lMm9Eb2MueG1sUEsF&#10;BgAAAAAGAAYAWQEAAFIFAAAAAA==&#10;">
          <v:path/>
          <v:fill on="f" focussize="0,0"/>
          <v:stroke on="f" joinstyle="miter"/>
          <v:imagedata o:title=""/>
          <o:lock v:ext="edit"/>
          <v:textbox inset="0mm,0mm,0mm,0mm">
            <w:txbxContent>
              <w:p>
                <w:pPr>
                  <w:spacing w:line="334" w:lineRule="atLeast"/>
                  <w:ind w:firstLine="420"/>
                  <w:rPr>
                    <w:sz w:val="21"/>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w:pict>
        <v:shape id="_x0000_s3075" o:spid="_x0000_s3075" o:spt="202" type="#_x0000_t202" style="position:absolute;left:0pt;margin-top:0pt;height:76.5pt;width:436.85pt;mso-position-horizontal:center;z-index:-251656192;mso-width-relative:page;mso-height-relative:page;" filled="f" stroked="f" coordsize="21600,21600" o:gfxdata="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GFUC9UAAAAFAQAADwAAAAAAAAABACAAAAAiAAAAZHJzL2Rvd25yZXYueG1sUEsBAhQA&#10;FAAAAAgAh07iQMw+/jS8AQAAcgMAAA4AAAAAAAAAAQAgAAAAJAEAAGRycy9lMm9Eb2MueG1sUEsF&#10;BgAAAAAGAAYAWQEAAFIFAAAAAA==&#10;">
          <v:path/>
          <v:fill on="f" focussize="0,0"/>
          <v:stroke on="f" joinstyle="miter"/>
          <v:imagedata o:title=""/>
          <o:lock v:ext="edit"/>
          <v:textbox inset="0mm,0mm,0mm,0mm">
            <w:txbxContent>
              <w:p>
                <w:pPr>
                  <w:spacing w:line="334" w:lineRule="atLeast"/>
                  <w:ind w:firstLine="420"/>
                  <w:rPr>
                    <w:sz w:val="21"/>
                  </w:rPr>
                </w:pP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NWMyNzNiNDVhZWYwMTM1MWEyNjFjMzhiY2MwZWQifQ=="/>
  </w:docVars>
  <w:rsids>
    <w:rsidRoot w:val="39E11380"/>
    <w:rsid w:val="00015FCD"/>
    <w:rsid w:val="00046CCC"/>
    <w:rsid w:val="004676CB"/>
    <w:rsid w:val="0061248E"/>
    <w:rsid w:val="00612CD2"/>
    <w:rsid w:val="00670929"/>
    <w:rsid w:val="009460A8"/>
    <w:rsid w:val="00AA22B5"/>
    <w:rsid w:val="011F19C8"/>
    <w:rsid w:val="014F6D24"/>
    <w:rsid w:val="03A529ED"/>
    <w:rsid w:val="03EF5D94"/>
    <w:rsid w:val="05424FA2"/>
    <w:rsid w:val="06F85879"/>
    <w:rsid w:val="0AC929C9"/>
    <w:rsid w:val="0BAF0DC5"/>
    <w:rsid w:val="0BE671DE"/>
    <w:rsid w:val="0C812F0F"/>
    <w:rsid w:val="0CB90742"/>
    <w:rsid w:val="0CD73A13"/>
    <w:rsid w:val="0D1A7844"/>
    <w:rsid w:val="0E7D0889"/>
    <w:rsid w:val="1103497B"/>
    <w:rsid w:val="15AF36EE"/>
    <w:rsid w:val="16194DF2"/>
    <w:rsid w:val="16426C2D"/>
    <w:rsid w:val="17106301"/>
    <w:rsid w:val="17582D40"/>
    <w:rsid w:val="19620CDA"/>
    <w:rsid w:val="1A404126"/>
    <w:rsid w:val="1B092B84"/>
    <w:rsid w:val="1C8D1101"/>
    <w:rsid w:val="1CA410CA"/>
    <w:rsid w:val="1CF26F55"/>
    <w:rsid w:val="1E180439"/>
    <w:rsid w:val="1ED974D6"/>
    <w:rsid w:val="1F106C20"/>
    <w:rsid w:val="200F2CC0"/>
    <w:rsid w:val="202B28A8"/>
    <w:rsid w:val="202B4546"/>
    <w:rsid w:val="208C502B"/>
    <w:rsid w:val="20F774CF"/>
    <w:rsid w:val="24B635EA"/>
    <w:rsid w:val="25AE2108"/>
    <w:rsid w:val="25C120B6"/>
    <w:rsid w:val="269B557E"/>
    <w:rsid w:val="27621C1F"/>
    <w:rsid w:val="282B52B8"/>
    <w:rsid w:val="29096259"/>
    <w:rsid w:val="2AE95AD2"/>
    <w:rsid w:val="2B724A82"/>
    <w:rsid w:val="2BFA3F85"/>
    <w:rsid w:val="2D4530C0"/>
    <w:rsid w:val="2FE73D2E"/>
    <w:rsid w:val="30A23B48"/>
    <w:rsid w:val="30EF394E"/>
    <w:rsid w:val="32993731"/>
    <w:rsid w:val="33132709"/>
    <w:rsid w:val="33222EA8"/>
    <w:rsid w:val="33A04F59"/>
    <w:rsid w:val="342E69E8"/>
    <w:rsid w:val="35E705C0"/>
    <w:rsid w:val="380F20AB"/>
    <w:rsid w:val="39E11380"/>
    <w:rsid w:val="3CCC6126"/>
    <w:rsid w:val="3CF54303"/>
    <w:rsid w:val="3E935630"/>
    <w:rsid w:val="3FE958D4"/>
    <w:rsid w:val="400464A4"/>
    <w:rsid w:val="413D1B41"/>
    <w:rsid w:val="41E023C2"/>
    <w:rsid w:val="4208489B"/>
    <w:rsid w:val="43EA2775"/>
    <w:rsid w:val="442B33B8"/>
    <w:rsid w:val="44377BC0"/>
    <w:rsid w:val="4459784B"/>
    <w:rsid w:val="448D2576"/>
    <w:rsid w:val="465D2134"/>
    <w:rsid w:val="466E418F"/>
    <w:rsid w:val="47965053"/>
    <w:rsid w:val="4C5B0F08"/>
    <w:rsid w:val="4CD4303E"/>
    <w:rsid w:val="4E39691D"/>
    <w:rsid w:val="4F785639"/>
    <w:rsid w:val="504D16E8"/>
    <w:rsid w:val="50C37EC0"/>
    <w:rsid w:val="51542D17"/>
    <w:rsid w:val="53024806"/>
    <w:rsid w:val="53584291"/>
    <w:rsid w:val="53FB0C25"/>
    <w:rsid w:val="54793854"/>
    <w:rsid w:val="550D50B4"/>
    <w:rsid w:val="556847F9"/>
    <w:rsid w:val="56B01193"/>
    <w:rsid w:val="593D7D81"/>
    <w:rsid w:val="59B03FA7"/>
    <w:rsid w:val="5A1C3D99"/>
    <w:rsid w:val="5BF915E4"/>
    <w:rsid w:val="5CBB774C"/>
    <w:rsid w:val="611D31B8"/>
    <w:rsid w:val="62073AD7"/>
    <w:rsid w:val="62BD5E96"/>
    <w:rsid w:val="632048BD"/>
    <w:rsid w:val="637A05F5"/>
    <w:rsid w:val="63B11FA0"/>
    <w:rsid w:val="675F076D"/>
    <w:rsid w:val="679B2A1E"/>
    <w:rsid w:val="6B55341C"/>
    <w:rsid w:val="6BEA5532"/>
    <w:rsid w:val="6E44555C"/>
    <w:rsid w:val="6F930DE2"/>
    <w:rsid w:val="70EE7BCB"/>
    <w:rsid w:val="734B395C"/>
    <w:rsid w:val="75864B33"/>
    <w:rsid w:val="77D233FA"/>
    <w:rsid w:val="791E0F5E"/>
    <w:rsid w:val="7A7B5CE5"/>
    <w:rsid w:val="7A852208"/>
    <w:rsid w:val="7ACF73B2"/>
    <w:rsid w:val="7B000CE1"/>
    <w:rsid w:val="7C8C4974"/>
    <w:rsid w:val="7D510C85"/>
    <w:rsid w:val="7E3D6516"/>
    <w:rsid w:val="7EBD18AD"/>
    <w:rsid w:val="7FD84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3">
    <w:name w:val="Normal Indent"/>
    <w:basedOn w:val="1"/>
    <w:qFormat/>
    <w:uiPriority w:val="0"/>
    <w:pPr>
      <w:ind w:firstLine="420"/>
      <w:jc w:val="both"/>
    </w:pPr>
    <w:rPr>
      <w:rFonts w:ascii="Times New Roman" w:hAnsi="Times New Roman"/>
      <w:kern w:val="2"/>
      <w:sz w:val="21"/>
      <w:szCs w:val="24"/>
    </w:rPr>
  </w:style>
  <w:style w:type="paragraph" w:styleId="4">
    <w:name w:val="index 6"/>
    <w:basedOn w:val="1"/>
    <w:next w:val="1"/>
    <w:qFormat/>
    <w:uiPriority w:val="0"/>
    <w:pPr>
      <w:ind w:left="2100"/>
      <w:jc w:val="both"/>
    </w:pPr>
    <w:rPr>
      <w:rFonts w:ascii="黑体" w:eastAsia="黑体"/>
      <w:kern w:val="2"/>
      <w:sz w:val="33"/>
      <w:szCs w:val="33"/>
    </w:rPr>
  </w:style>
  <w:style w:type="paragraph" w:styleId="5">
    <w:name w:val="Body Text"/>
    <w:basedOn w:val="1"/>
    <w:next w:val="1"/>
    <w:qFormat/>
    <w:uiPriority w:val="0"/>
  </w:style>
  <w:style w:type="paragraph" w:styleId="6">
    <w:name w:val="Body Text Indent"/>
    <w:basedOn w:val="1"/>
    <w:next w:val="3"/>
    <w:qFormat/>
    <w:uiPriority w:val="0"/>
    <w:pPr>
      <w:spacing w:after="120"/>
      <w:ind w:left="420" w:leftChars="200"/>
    </w:pPr>
  </w:style>
  <w:style w:type="paragraph" w:styleId="7">
    <w:name w:val="footer"/>
    <w:basedOn w:val="1"/>
    <w:next w:val="6"/>
    <w:qFormat/>
    <w:uiPriority w:val="99"/>
    <w:pPr>
      <w:tabs>
        <w:tab w:val="center" w:pos="4153"/>
        <w:tab w:val="right" w:pos="8306"/>
      </w:tabs>
      <w:snapToGrid w:val="0"/>
    </w:pPr>
    <w:rPr>
      <w:sz w:val="18"/>
      <w:szCs w:val="18"/>
    </w:rPr>
  </w:style>
  <w:style w:type="paragraph" w:styleId="8">
    <w:name w:val="Body Text First Indent 2"/>
    <w:basedOn w:val="1"/>
    <w:qFormat/>
    <w:uiPriority w:val="0"/>
    <w:pPr>
      <w:spacing w:after="120"/>
    </w:pPr>
    <w:rPr>
      <w:sz w:val="28"/>
      <w:szCs w:val="21"/>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pPr>
    <w:rPr>
      <w:rFonts w:ascii="宋体" w:hAnsi="宋体" w:cs="宋体"/>
      <w:sz w:val="24"/>
    </w:rPr>
  </w:style>
  <w:style w:type="character" w:styleId="12">
    <w:name w:val="Strong"/>
    <w:qFormat/>
    <w:uiPriority w:val="0"/>
    <w:rPr>
      <w:b/>
      <w:bCs/>
    </w:rPr>
  </w:style>
  <w:style w:type="paragraph" w:customStyle="1" w:styleId="14">
    <w:name w:val="标题 5（有编号）（绿盟科技）"/>
    <w:basedOn w:val="1"/>
    <w:next w:val="15"/>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图表目录1"/>
    <w:basedOn w:val="17"/>
    <w:next w:val="1"/>
    <w:qFormat/>
    <w:uiPriority w:val="0"/>
    <w:pPr>
      <w:ind w:left="400" w:leftChars="200" w:hanging="200" w:hangingChars="200"/>
    </w:pPr>
  </w:style>
  <w:style w:type="paragraph" w:customStyle="1" w:styleId="17">
    <w:name w:val="Normal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2"/>
    <w:basedOn w:val="1"/>
    <w:next w:val="1"/>
    <w:qFormat/>
    <w:uiPriority w:val="0"/>
  </w:style>
  <w:style w:type="character" w:customStyle="1" w:styleId="19">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8" textRotate="1"/>
    <customShpInfo spid="_x0000_s3073"/>
    <customShpInfo spid="_x0000_s3075"/>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5596</Words>
  <Characters>6476</Characters>
  <Lines>6</Lines>
  <Paragraphs>1</Paragraphs>
  <ScaleCrop>false</ScaleCrop>
  <LinksUpToDate>false</LinksUpToDate>
  <CharactersWithSpaces>6508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2023-07-26T02:28:00Z</dcterms:created>
  <dc:creator>安智豪</dc:creator>
  <cp:lastModifiedBy>张静秋</cp:lastModifiedBy>
  <cp:lastPrinted>2024-06-13T01:33:00Z</cp:lastPrinted>
  <dcterms:modified xsi:type="dcterms:W3CDTF">2025-09-04T02:31:50Z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ICV">
    <vt:lpwstr>67F4FAAE49CB454BAFE4669D07C99BA5_13</vt:lpwstr>
  </property>
</Properties>
</file>