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米易县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年转移支付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333333"/>
          <w:sz w:val="32"/>
          <w:szCs w:val="27"/>
          <w:lang w:val="en-US" w:eastAsia="zh-CN"/>
        </w:rPr>
      </w:pPr>
      <w:r>
        <w:rPr>
          <w:rFonts w:hint="eastAsia" w:ascii="Times New Roman" w:hAnsi="Times New Roman" w:eastAsia="黑体" w:cs="黑体"/>
          <w:color w:val="333333"/>
          <w:sz w:val="32"/>
          <w:szCs w:val="27"/>
          <w:lang w:val="en-US" w:eastAsia="zh-CN"/>
        </w:rPr>
        <w:t>一、转移性收入情况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</w:rPr>
        <w:t>年米易县</w:t>
      </w:r>
      <w:bookmarkStart w:id="0" w:name="_GoBack"/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一般公共预算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转移支付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</w:rPr>
        <w:t>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124,701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同比增长29,833万元，增长31.45%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其中：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一般性转移支付收入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106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830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同比增长25,121万元，增长30.74%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；专项转移支付收入13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713万元，同比增长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175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增长30.13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%；返还性收入-356万元。政府性基金转移支付收入4,514万元，同比增加1,537万元，增长51.63%。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FF0000"/>
          <w:sz w:val="32"/>
          <w:szCs w:val="27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一般性转移支付收入106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830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，其中：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均衡性转移支付收入2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274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万元；县级基本财力保障机制奖补资金收入3,6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37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万元；结算补助收入-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153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企业事业单位划转补助收入96万元；重点生态功能区转移支付收入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200万元；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固定数额补助收入9,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401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万元；巩固脱贫攻坚成果衔接乡村振兴转移支付收入5,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378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万元；公共安全共同财政事权转移支付收入1,25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万元；教育共同财政事权转移支付收入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227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万元；科学技术共同财政事权转移支付收入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46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万元；文化旅游体育与传媒共同财政事权转移支付收入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351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万元；社会保障和就业共同财政事权转移支付收入6,5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41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万元；医疗卫生共同财政事权转移支付收入4,20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万元；节能环保共同财政事权转移支付收入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210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万元；农林水共同财政事权转移支付收入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49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023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交通运输共同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财政事权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转移支付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1,642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；住房保障共同财政事权转移支付收入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529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万元；灾害防治及应急管理共同财政事权转移支付收入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251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eastAsia="zh-CN"/>
        </w:rPr>
        <w:t>万元；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eastAsia="zh-CN"/>
        </w:rPr>
        <w:t>其他一般性转移支付收入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714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专项转移支付收入13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</w:rPr>
        <w:t>,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713万元，其中：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lang w:val="en-US" w:eastAsia="zh-CN"/>
        </w:rPr>
        <w:t>般公共服务50万元；科学技术50万元；文化旅游体育与传媒12万元；卫生健康373万元；节能环保1344万元；城乡社区563万元；农林水4,793万元；交通运输582万元；资源勘探工业信息等269万元；商业服务业等3万元；金融415万元；住房保障3,100万元；粮油物资储备2万元；灾害防治及应急管理2,157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27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27"/>
          <w:highlight w:val="none"/>
          <w:lang w:val="en-US" w:eastAsia="zh-CN"/>
        </w:rPr>
        <w:t>二、转移性支付情况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eastAsia="zh-CN"/>
        </w:rPr>
        <w:t>我县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val="en-US" w:eastAsia="zh-CN"/>
        </w:rPr>
        <w:t>转移支付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</w:rPr>
        <w:t>收入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val="en-US" w:eastAsia="zh-CN"/>
        </w:rPr>
        <w:t>共安排支出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79,375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val="en-US" w:eastAsia="zh-CN"/>
        </w:rPr>
        <w:t>万元，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</w:rPr>
        <w:t>主要用于增强我县“保工资、保运转、保民生”能力、落实各类教育发展政策、完善教育经费保障机制、加快公共文化服务体系建设、促进社会保障和就业、提高公共卫生服务水平、乡村振兴、生态环保等方面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-4"/>
          <w:sz w:val="32"/>
          <w:szCs w:val="27"/>
          <w:highlight w:val="none"/>
          <w:lang w:val="en-US" w:eastAsia="zh-CN"/>
        </w:rPr>
        <w:t>其中：</w:t>
      </w:r>
      <w:r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  <w:t>一般公共预算转移支付收入安排支出91,984万元，结转结余28,203万元；政府性基金转移支付收入安排支出748万元，结转结余3,766万元。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27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FF0000"/>
          <w:sz w:val="32"/>
          <w:szCs w:val="27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680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QAixLTAAAABw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ODJmOGZhMjYzYzdkNmM5ZTdlMmE2OWQ4YWRhMjkifQ=="/>
  </w:docVars>
  <w:rsids>
    <w:rsidRoot w:val="00091860"/>
    <w:rsid w:val="00040A0B"/>
    <w:rsid w:val="00091860"/>
    <w:rsid w:val="001A2014"/>
    <w:rsid w:val="003204E2"/>
    <w:rsid w:val="00355A3E"/>
    <w:rsid w:val="003A4BD1"/>
    <w:rsid w:val="003D35FD"/>
    <w:rsid w:val="0041391F"/>
    <w:rsid w:val="005E061F"/>
    <w:rsid w:val="006232C5"/>
    <w:rsid w:val="006A04E5"/>
    <w:rsid w:val="006B3E3B"/>
    <w:rsid w:val="006C544E"/>
    <w:rsid w:val="007F4EFB"/>
    <w:rsid w:val="00826091"/>
    <w:rsid w:val="008476C5"/>
    <w:rsid w:val="008C0852"/>
    <w:rsid w:val="008E1CB9"/>
    <w:rsid w:val="0090148F"/>
    <w:rsid w:val="00901A35"/>
    <w:rsid w:val="00992A72"/>
    <w:rsid w:val="009E50D0"/>
    <w:rsid w:val="00CF24F1"/>
    <w:rsid w:val="00E25455"/>
    <w:rsid w:val="00F4102B"/>
    <w:rsid w:val="01836D52"/>
    <w:rsid w:val="01955746"/>
    <w:rsid w:val="028C444A"/>
    <w:rsid w:val="03FE3FF4"/>
    <w:rsid w:val="04535FFB"/>
    <w:rsid w:val="07724E37"/>
    <w:rsid w:val="079B0865"/>
    <w:rsid w:val="096E7CB7"/>
    <w:rsid w:val="0AFD0EBC"/>
    <w:rsid w:val="0DC451FE"/>
    <w:rsid w:val="114F327C"/>
    <w:rsid w:val="12C60955"/>
    <w:rsid w:val="14146DB0"/>
    <w:rsid w:val="16997E32"/>
    <w:rsid w:val="169C083F"/>
    <w:rsid w:val="175D6719"/>
    <w:rsid w:val="176A310D"/>
    <w:rsid w:val="18926E6F"/>
    <w:rsid w:val="18F07DD7"/>
    <w:rsid w:val="190257EB"/>
    <w:rsid w:val="19361298"/>
    <w:rsid w:val="19E15313"/>
    <w:rsid w:val="1B860A5A"/>
    <w:rsid w:val="1C906B3B"/>
    <w:rsid w:val="1E982F7E"/>
    <w:rsid w:val="1F205066"/>
    <w:rsid w:val="20116F91"/>
    <w:rsid w:val="21952219"/>
    <w:rsid w:val="240D1E04"/>
    <w:rsid w:val="2A097862"/>
    <w:rsid w:val="2EF11337"/>
    <w:rsid w:val="2EF62544"/>
    <w:rsid w:val="348424BF"/>
    <w:rsid w:val="34B24C2C"/>
    <w:rsid w:val="356C253A"/>
    <w:rsid w:val="369063B7"/>
    <w:rsid w:val="369940CD"/>
    <w:rsid w:val="39F664B3"/>
    <w:rsid w:val="3B4C44DA"/>
    <w:rsid w:val="3CA64412"/>
    <w:rsid w:val="3F035A2A"/>
    <w:rsid w:val="3FC27A03"/>
    <w:rsid w:val="3FCA0C60"/>
    <w:rsid w:val="40E62ADF"/>
    <w:rsid w:val="44F96935"/>
    <w:rsid w:val="453A3A1F"/>
    <w:rsid w:val="454F71B8"/>
    <w:rsid w:val="45622609"/>
    <w:rsid w:val="46BF7318"/>
    <w:rsid w:val="47FD5609"/>
    <w:rsid w:val="48432EAF"/>
    <w:rsid w:val="49E22456"/>
    <w:rsid w:val="4A0A2154"/>
    <w:rsid w:val="4AA04BA8"/>
    <w:rsid w:val="4B5323A7"/>
    <w:rsid w:val="4B663938"/>
    <w:rsid w:val="4C351C61"/>
    <w:rsid w:val="4C6B66B5"/>
    <w:rsid w:val="4DF50440"/>
    <w:rsid w:val="4E506650"/>
    <w:rsid w:val="4FBA7E88"/>
    <w:rsid w:val="52F2252C"/>
    <w:rsid w:val="550C3CF7"/>
    <w:rsid w:val="556357DB"/>
    <w:rsid w:val="562E4126"/>
    <w:rsid w:val="58F07B68"/>
    <w:rsid w:val="59CD7064"/>
    <w:rsid w:val="5A117950"/>
    <w:rsid w:val="5A2A6479"/>
    <w:rsid w:val="5DB66C77"/>
    <w:rsid w:val="5F1B4379"/>
    <w:rsid w:val="5FB246BB"/>
    <w:rsid w:val="63EA04C7"/>
    <w:rsid w:val="69B15241"/>
    <w:rsid w:val="6AD46107"/>
    <w:rsid w:val="6B120B9C"/>
    <w:rsid w:val="6CA00370"/>
    <w:rsid w:val="6CEC361C"/>
    <w:rsid w:val="6D563F97"/>
    <w:rsid w:val="6E0777B1"/>
    <w:rsid w:val="6E0A243B"/>
    <w:rsid w:val="6EA25B92"/>
    <w:rsid w:val="6F5C3FE7"/>
    <w:rsid w:val="6FF869A5"/>
    <w:rsid w:val="7164006A"/>
    <w:rsid w:val="72021B13"/>
    <w:rsid w:val="747C511D"/>
    <w:rsid w:val="749F5084"/>
    <w:rsid w:val="7858069A"/>
    <w:rsid w:val="787E099D"/>
    <w:rsid w:val="7ABA6B9B"/>
    <w:rsid w:val="7BEF551C"/>
    <w:rsid w:val="7ED06D3F"/>
    <w:rsid w:val="7F9E0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1038</Characters>
  <Lines>2</Lines>
  <Paragraphs>1</Paragraphs>
  <TotalTime>87</TotalTime>
  <ScaleCrop>false</ScaleCrop>
  <LinksUpToDate>false</LinksUpToDate>
  <CharactersWithSpaces>1038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2022-03-02T00:55:00Z</dcterms:created>
  <dc:creator>Administrator</dc:creator>
  <cp:lastModifiedBy>Administrator</cp:lastModifiedBy>
  <cp:lastPrinted>2025-09-15T03:26:51Z</cp:lastPrinted>
  <dcterms:modified xsi:type="dcterms:W3CDTF">2025-09-15T03:43:12Z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747ECEC127F64A3BA6441E8432436CC1</vt:lpwstr>
  </property>
</Properties>
</file>