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1" w:name="_Toc15396597"/>
      <w:bookmarkStart w:id="2" w:name="_Toc15396475"/>
      <w:bookmarkStart w:id="3" w:name="_Toc15377193"/>
      <w:bookmarkStart w:id="4" w:name="_Toc15377425"/>
      <w:bookmarkStart w:id="5" w:name="_Toc15378441"/>
      <w:r>
        <w:rPr>
          <w:rFonts w:hint="eastAsia" w:ascii="黑体" w:hAnsi="黑体" w:eastAsia="黑体"/>
          <w:color w:val="000000"/>
          <w:sz w:val="72"/>
          <w:szCs w:val="72"/>
          <w:lang w:eastAsia="zh-CN"/>
        </w:rPr>
        <w:t>2024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</w:p>
    <w:bookmarkEnd w:id="0"/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米易县公安局三公”经费决算编制说明</w:t>
      </w:r>
    </w:p>
    <w:p>
      <w:pPr>
        <w:widowControl/>
        <w:spacing w:line="360" w:lineRule="auto"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ascii="方正小标宋简体" w:hAnsi="宋体" w:eastAsia="方正小标宋简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color w:val="000000"/>
          <w:sz w:val="48"/>
          <w:szCs w:val="48"/>
        </w:rPr>
        <w:t>目录</w:t>
      </w:r>
    </w:p>
    <w:p>
      <w:pPr>
        <w:widowControl/>
        <w:spacing w:line="360" w:lineRule="auto"/>
        <w:jc w:val="center"/>
        <w:rPr>
          <w:rFonts w:ascii="黑体" w:hAnsi="黑体" w:eastAsia="黑体" w:cstheme="minorBidi"/>
          <w:sz w:val="28"/>
          <w:szCs w:val="28"/>
        </w:rPr>
      </w:pPr>
    </w:p>
    <w:p>
      <w:pPr>
        <w:pStyle w:val="10"/>
        <w:spacing w:before="0" w:line="360" w:lineRule="auto"/>
      </w:pPr>
      <w:r>
        <w:rPr>
          <w:rFonts w:hint="eastAsia"/>
        </w:rPr>
        <w:t>公开时间：202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bookmarkStart w:id="13" w:name="_GoBack"/>
      <w:bookmarkEnd w:id="13"/>
      <w:r>
        <w:rPr>
          <w:rFonts w:hint="eastAsia"/>
        </w:rPr>
        <w:t>日</w:t>
      </w:r>
    </w:p>
    <w:p>
      <w:pPr>
        <w:pStyle w:val="11"/>
        <w:adjustRightInd w:val="0"/>
        <w:snapToGrid w:val="0"/>
        <w:spacing w:line="360" w:lineRule="auto"/>
        <w:jc w:val="left"/>
        <w:rPr>
          <w:rFonts w:hint="eastAsia"/>
        </w:rPr>
      </w:pPr>
    </w:p>
    <w:p>
      <w:pPr>
        <w:pStyle w:val="11"/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一、“三公”经费财政拨款支出决算情况说明.............................................3</w:t>
      </w:r>
    </w:p>
    <w:p>
      <w:pPr>
        <w:pStyle w:val="11"/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（一）“三公”经费财政拨款支出决算总体情况说明.................................3</w:t>
      </w:r>
    </w:p>
    <w:p>
      <w:pPr>
        <w:pStyle w:val="11"/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（二）“三公”经费财政拨款支出决算具体情况说明.................................3</w:t>
      </w:r>
    </w:p>
    <w:p>
      <w:pPr>
        <w:pStyle w:val="11"/>
        <w:adjustRightInd w:val="0"/>
        <w:snapToGrid w:val="0"/>
        <w:spacing w:line="360" w:lineRule="auto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</w:rPr>
        <w:t>二、一般公共预算财政拨款“三公”经费支出决算表.................................</w:t>
      </w:r>
      <w:r>
        <w:rPr>
          <w:rFonts w:hint="eastAsia"/>
          <w:lang w:val="en-US" w:eastAsia="zh-CN"/>
        </w:rPr>
        <w:t>5</w:t>
      </w:r>
    </w:p>
    <w:p>
      <w:pPr>
        <w:widowControl/>
        <w:spacing w:line="360" w:lineRule="auto"/>
        <w:jc w:val="left"/>
        <w:rPr>
          <w:rFonts w:ascii="黑体" w:hAnsi="黑体" w:eastAsia="黑体"/>
        </w:rPr>
      </w:pPr>
      <w:bookmarkStart w:id="6" w:name="_Toc15377196"/>
      <w:bookmarkStart w:id="7" w:name="_Toc15396599"/>
      <w:r>
        <w:rPr>
          <w:rFonts w:ascii="仿宋" w:hAnsi="仿宋" w:eastAsia="仿宋"/>
          <w:b/>
          <w:sz w:val="24"/>
        </w:rPr>
        <w:br w:type="page"/>
      </w:r>
    </w:p>
    <w:bookmarkEnd w:id="6"/>
    <w:bookmarkEnd w:id="7"/>
    <w:p>
      <w:pPr>
        <w:spacing w:line="360" w:lineRule="auto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8" w:name="_Toc15377215"/>
      <w:bookmarkStart w:id="9" w:name="_Toc15396609"/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Style w:val="25"/>
          <w:rFonts w:hint="eastAsia" w:ascii="黑体" w:hAnsi="黑体" w:eastAsia="黑体"/>
        </w:rPr>
        <w:t>“</w:t>
      </w:r>
      <w:r>
        <w:rPr>
          <w:rStyle w:val="25"/>
          <w:rFonts w:hint="eastAsia" w:ascii="黑体" w:hAnsi="黑体" w:eastAsia="黑体"/>
          <w:b w:val="0"/>
        </w:rPr>
        <w:t>三公”经费财政拨款支出决算情况说明</w:t>
      </w:r>
      <w:bookmarkEnd w:id="8"/>
      <w:bookmarkEnd w:id="9"/>
    </w:p>
    <w:p>
      <w:pPr>
        <w:keepNext/>
        <w:keepLines/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</w:pPr>
      <w:bookmarkStart w:id="10" w:name="_Toc15377216"/>
      <w:r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  <w:t>（一）“三公”经费财政拨款支出决算总体情况说明</w:t>
      </w:r>
      <w:bookmarkEnd w:id="10"/>
      <w:r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  <w:t>。</w:t>
      </w:r>
    </w:p>
    <w:p>
      <w:pPr>
        <w:spacing w:line="360" w:lineRule="auto"/>
        <w:ind w:firstLine="640"/>
        <w:outlineLvl w:val="1"/>
        <w:rPr>
          <w:rFonts w:hint="default" w:ascii="仿宋_GB2312" w:hAnsi="仿宋" w:eastAsia="仿宋_GB2312"/>
          <w:color w:val="000000"/>
          <w:sz w:val="32"/>
          <w:szCs w:val="32"/>
          <w:lang w:val="en-US"/>
        </w:rPr>
      </w:pPr>
      <w:bookmarkStart w:id="11" w:name="_Toc15377217"/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2024年“三公”经费财政拨款支出决算为328.24万元，完成预算100%；较上年增加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74.86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上升29.55%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。决算数与预算数持平。</w:t>
      </w:r>
    </w:p>
    <w:p>
      <w:pPr>
        <w:keepNext/>
        <w:keepLines/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</w:pPr>
      <w:r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  <w:t>（二）“三公”经费财政拨款支出决算具体情况说明</w:t>
      </w:r>
      <w:bookmarkEnd w:id="11"/>
      <w:r>
        <w:rPr>
          <w:rFonts w:hint="eastAsia" w:ascii="楷体_GB2312" w:hAnsi="楷体_GB2312" w:eastAsia="楷体_GB2312" w:cs="Times New Roman"/>
          <w:b/>
          <w:color w:val="auto"/>
          <w:kern w:val="0"/>
          <w:sz w:val="32"/>
          <w:szCs w:val="24"/>
          <w:lang w:val="zh-CN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2024年“三公”经费财政拨款支出决算中，因公出国（境）费支出决算0万元，占0%；公务用车购置及运行维护费支出决算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327.71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万元，占99.84%；公务接待费支出决算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万元，占0.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%。具体情况如下：</w:t>
      </w:r>
      <w:r>
        <w:rPr>
          <w:rFonts w:ascii="微软雅黑" w:cs="宋体"/>
          <w:color w:val="333333"/>
          <w:sz w:val="27"/>
          <w:szCs w:val="27"/>
        </w:rPr>
        <w:drawing>
          <wp:inline distT="0" distB="0" distL="0" distR="0">
            <wp:extent cx="5358130" cy="2405380"/>
            <wp:effectExtent l="4445" t="4445" r="9525" b="952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sz w:val="32"/>
          <w:szCs w:val="32"/>
        </w:rPr>
        <w:t>（图7：“三公”经费财政拨款支出结构）（饼状图）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1.因公出国（境）费</w:t>
      </w:r>
      <w:r>
        <w:rPr>
          <w:rFonts w:hint="eastAsia" w:ascii="仿宋_GB2312" w:hAnsi="微软雅黑" w:eastAsia="仿宋_GB2312" w:cs="宋体"/>
          <w:color w:val="000000"/>
          <w:sz w:val="32"/>
        </w:rPr>
        <w:t>0万元。全年安排因公出国（境）团组0个，出国（境）0人。因公出国（境）支出决算</w:t>
      </w:r>
      <w:r>
        <w:rPr>
          <w:rFonts w:hint="eastAsia" w:ascii="仿宋_GB2312" w:hAnsi="微软雅黑" w:eastAsia="仿宋_GB2312" w:cs="宋体"/>
          <w:color w:val="000000"/>
          <w:sz w:val="32"/>
          <w:lang w:val="en-US" w:eastAsia="zh-CN"/>
        </w:rPr>
        <w:t>与</w:t>
      </w:r>
      <w:r>
        <w:rPr>
          <w:rFonts w:hint="eastAsia" w:ascii="仿宋_GB2312" w:hAnsi="微软雅黑" w:eastAsia="仿宋_GB2312" w:cs="宋体"/>
          <w:color w:val="000000"/>
          <w:sz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000000"/>
          <w:sz w:val="32"/>
        </w:rPr>
        <w:t>年0万元</w:t>
      </w:r>
      <w:r>
        <w:rPr>
          <w:rFonts w:hint="eastAsia" w:ascii="仿宋_GB2312" w:hAnsi="微软雅黑" w:eastAsia="仿宋_GB2312" w:cs="宋体"/>
          <w:color w:val="000000"/>
          <w:sz w:val="32"/>
          <w:lang w:val="en-US" w:eastAsia="zh-CN"/>
        </w:rPr>
        <w:t>持平</w:t>
      </w:r>
      <w:r>
        <w:rPr>
          <w:rFonts w:hint="eastAsia" w:ascii="仿宋_GB2312" w:hAnsi="微软雅黑" w:eastAsia="仿宋_GB2312" w:cs="宋体"/>
          <w:color w:val="000000"/>
          <w:sz w:val="32"/>
        </w:rPr>
        <w:t>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2.公务用车购置及运行维护费支出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327.71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，完成预算100%。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公务用车购置及运行维护费支出决算比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252.27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75.44</w:t>
      </w:r>
      <w:r>
        <w:rPr>
          <w:rFonts w:hint="eastAsia" w:ascii="仿宋_GB2312" w:eastAsia="仿宋_GB2312"/>
          <w:color w:val="000000"/>
          <w:sz w:val="32"/>
          <w:szCs w:val="32"/>
        </w:rPr>
        <w:t>万元，上升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29.9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购买车辆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其中：</w:t>
      </w:r>
      <w:r>
        <w:rPr>
          <w:rFonts w:hint="eastAsia" w:ascii="仿宋_GB2312" w:hAnsi="微软雅黑" w:eastAsia="仿宋_GB2312" w:cs="宋体"/>
          <w:color w:val="auto"/>
          <w:sz w:val="32"/>
        </w:rPr>
        <w:t>公务用车购置支出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202.12万元。全年按规定更新购置公务用车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辆。其中：其中：轿车</w:t>
      </w:r>
      <w:r>
        <w:rPr>
          <w:rFonts w:hint="default"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辆、金额</w:t>
      </w:r>
      <w:r>
        <w:rPr>
          <w:rFonts w:hint="default"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万元，越野车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辆、金额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143.77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万元，小型载客汽车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辆、金额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29.6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万元，大中型载客汽车</w:t>
      </w:r>
      <w:r>
        <w:rPr>
          <w:rFonts w:hint="default"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辆、金额</w:t>
      </w:r>
      <w:r>
        <w:rPr>
          <w:rFonts w:hint="default"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万元，其他车型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辆、金额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15.28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。其他用车主要是用于执法执勤、保安巡逻。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主要出入境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截至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12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月底，单位共有执法公务用车55辆，其中：轿车5辆、越野车13辆、小型载客汽车2辆，大中型载客汽车6辆、其他车型29辆。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公务用车运行维护费支出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125.59</w:t>
      </w:r>
      <w:r>
        <w:rPr>
          <w:rFonts w:hint="eastAsia" w:ascii="仿宋_GB2312" w:eastAsia="仿宋_GB2312"/>
          <w:color w:val="000000"/>
          <w:sz w:val="32"/>
          <w:szCs w:val="32"/>
        </w:rPr>
        <w:t>万元。主要用于</w:t>
      </w:r>
      <w:r>
        <w:rPr>
          <w:rFonts w:hint="eastAsia" w:ascii="仿宋_GB2312" w:eastAsia="仿宋_GB2312"/>
          <w:sz w:val="32"/>
          <w:szCs w:val="32"/>
        </w:rPr>
        <w:t>安保维稳、执法办案</w:t>
      </w:r>
      <w:r>
        <w:rPr>
          <w:rFonts w:hint="eastAsia" w:ascii="仿宋_GB2312" w:eastAsia="仿宋_GB2312"/>
          <w:color w:val="000000"/>
          <w:sz w:val="32"/>
          <w:szCs w:val="32"/>
        </w:rPr>
        <w:t>、巡逻防范等所需的公务用车燃料费、维修费、过路过桥费、保险费等支出。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3.公务接待费支出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，完成预算100%。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公务接待费支出决算比2023年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万元，减少0.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52.32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%，主要原因是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公务接待减少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国内公务接待支出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/>
          <w:color w:val="000000"/>
          <w:sz w:val="32"/>
          <w:szCs w:val="32"/>
        </w:rPr>
        <w:t>万元。主要用于执行公务、开展业务活动开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支的用餐费。国内公务接待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批次，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人次，共计支出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0.53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。具体内容包括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一是交警大队接待成都市公安局交警管理局考察支出0.1万元、二是森警大队接待新华社采访支出0.11万元、三是县局接待德阳市公安局调研支出0.21万元、四是交警大队接待省交警总队检查支出0.11万元。</w:t>
      </w:r>
      <w:r>
        <w:rPr>
          <w:rFonts w:hint="eastAsia" w:ascii="仿宋_GB2312" w:eastAsia="仿宋_GB2312"/>
          <w:color w:val="C0504D" w:themeColor="accent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Style w:val="30"/>
          <w:rFonts w:hint="eastAsia" w:ascii="仿宋" w:hAnsi="仿宋" w:eastAsia="仿宋"/>
          <w:b w:val="0"/>
          <w:bCs w:val="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外事接待支出0</w:t>
      </w:r>
      <w:r>
        <w:rPr>
          <w:rFonts w:hint="eastAsia" w:ascii="仿宋_GB2312" w:eastAsia="仿宋_GB2312"/>
          <w:color w:val="000000"/>
          <w:sz w:val="32"/>
          <w:szCs w:val="32"/>
        </w:rPr>
        <w:t>万元，外事接待0批次，0人</w:t>
      </w:r>
      <w:r>
        <w:rPr>
          <w:rFonts w:hint="default" w:ascii="仿宋_GB2312" w:eastAsia="仿宋_GB2312"/>
          <w:color w:val="000000"/>
          <w:sz w:val="32"/>
          <w:szCs w:val="32"/>
        </w:rPr>
        <w:t>次</w:t>
      </w:r>
      <w:r>
        <w:rPr>
          <w:rFonts w:hint="eastAsia" w:ascii="仿宋_GB2312" w:eastAsia="仿宋_GB2312"/>
          <w:color w:val="000000"/>
          <w:sz w:val="32"/>
          <w:szCs w:val="32"/>
        </w:rPr>
        <w:t>，共计支出0万元。</w:t>
      </w:r>
      <w:bookmarkStart w:id="12" w:name="_Toc15396628"/>
    </w:p>
    <w:bookmarkEnd w:id="12"/>
    <w:p>
      <w:pPr>
        <w:spacing w:line="360" w:lineRule="auto"/>
        <w:ind w:firstLine="640"/>
        <w:outlineLvl w:val="1"/>
        <w:rPr>
          <w:rStyle w:val="25"/>
          <w:rFonts w:hint="eastAsia" w:ascii="黑体" w:hAnsi="黑体" w:eastAsia="黑体"/>
          <w:b w:val="0"/>
        </w:rPr>
      </w:pPr>
      <w:r>
        <w:rPr>
          <w:rStyle w:val="25"/>
          <w:rFonts w:hint="eastAsia" w:ascii="黑体" w:hAnsi="黑体" w:eastAsia="黑体"/>
          <w:b w:val="0"/>
        </w:rPr>
        <w:t>二、一般公共预算财政拨款“三公”经费支出决算表（见附件）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1NWQ1NjcxYjVhYWRjZGY5ODc4MmIxOTBiMzE2MzAifQ=="/>
  </w:docVars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19B0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16CD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D282E"/>
    <w:rsid w:val="004E0A2D"/>
    <w:rsid w:val="004E206B"/>
    <w:rsid w:val="004E6DF7"/>
    <w:rsid w:val="004F0FBD"/>
    <w:rsid w:val="004F403E"/>
    <w:rsid w:val="00505A47"/>
    <w:rsid w:val="00512FDA"/>
    <w:rsid w:val="00520DA0"/>
    <w:rsid w:val="005664BB"/>
    <w:rsid w:val="00566FFA"/>
    <w:rsid w:val="0057481D"/>
    <w:rsid w:val="00575F0B"/>
    <w:rsid w:val="0058486E"/>
    <w:rsid w:val="00585B33"/>
    <w:rsid w:val="0059014D"/>
    <w:rsid w:val="005B5C64"/>
    <w:rsid w:val="005C6BD0"/>
    <w:rsid w:val="005C6C4C"/>
    <w:rsid w:val="005D1C8B"/>
    <w:rsid w:val="005D468D"/>
    <w:rsid w:val="005D5CED"/>
    <w:rsid w:val="005F1A4C"/>
    <w:rsid w:val="0060532F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27533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F1991"/>
    <w:rsid w:val="007F2C2F"/>
    <w:rsid w:val="007F55FC"/>
    <w:rsid w:val="007F5665"/>
    <w:rsid w:val="00800112"/>
    <w:rsid w:val="00813348"/>
    <w:rsid w:val="008253BB"/>
    <w:rsid w:val="00833962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C37FB"/>
    <w:rsid w:val="009D3447"/>
    <w:rsid w:val="009D4711"/>
    <w:rsid w:val="009E4CA7"/>
    <w:rsid w:val="009F1185"/>
    <w:rsid w:val="009F18CD"/>
    <w:rsid w:val="009F2A13"/>
    <w:rsid w:val="009F7527"/>
    <w:rsid w:val="00A039ED"/>
    <w:rsid w:val="00A04EB0"/>
    <w:rsid w:val="00A13CC1"/>
    <w:rsid w:val="00A16847"/>
    <w:rsid w:val="00A237D8"/>
    <w:rsid w:val="00A268C4"/>
    <w:rsid w:val="00A307CD"/>
    <w:rsid w:val="00A331C8"/>
    <w:rsid w:val="00A35117"/>
    <w:rsid w:val="00A40A00"/>
    <w:rsid w:val="00A4142F"/>
    <w:rsid w:val="00A422EB"/>
    <w:rsid w:val="00A45BB7"/>
    <w:rsid w:val="00A5596E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0F83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30E69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B4E70"/>
    <w:rsid w:val="00CC09B6"/>
    <w:rsid w:val="00CC666F"/>
    <w:rsid w:val="00CD1E3F"/>
    <w:rsid w:val="00CE44F6"/>
    <w:rsid w:val="00CE49DA"/>
    <w:rsid w:val="00CE7B61"/>
    <w:rsid w:val="00CF271C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66797"/>
    <w:rsid w:val="00E82267"/>
    <w:rsid w:val="00E853CE"/>
    <w:rsid w:val="00E867B6"/>
    <w:rsid w:val="00E87F08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1FE7A82"/>
    <w:rsid w:val="033D09EE"/>
    <w:rsid w:val="05511E66"/>
    <w:rsid w:val="07043E35"/>
    <w:rsid w:val="09240F7A"/>
    <w:rsid w:val="092B7DF5"/>
    <w:rsid w:val="09F36EE0"/>
    <w:rsid w:val="0C107553"/>
    <w:rsid w:val="0CA85673"/>
    <w:rsid w:val="0D4C67A1"/>
    <w:rsid w:val="0F335979"/>
    <w:rsid w:val="10C055FF"/>
    <w:rsid w:val="11DE485F"/>
    <w:rsid w:val="11ED771B"/>
    <w:rsid w:val="13B9062C"/>
    <w:rsid w:val="141D2EFC"/>
    <w:rsid w:val="14974D1C"/>
    <w:rsid w:val="155F0EA4"/>
    <w:rsid w:val="16BB723D"/>
    <w:rsid w:val="18375BB6"/>
    <w:rsid w:val="1ACD32C2"/>
    <w:rsid w:val="1B845363"/>
    <w:rsid w:val="1C3247A1"/>
    <w:rsid w:val="1CB37E8A"/>
    <w:rsid w:val="1D0A068C"/>
    <w:rsid w:val="1EDC3A83"/>
    <w:rsid w:val="1EF919D7"/>
    <w:rsid w:val="20BA18FC"/>
    <w:rsid w:val="20DC2501"/>
    <w:rsid w:val="21155598"/>
    <w:rsid w:val="21BC1C40"/>
    <w:rsid w:val="22A65C60"/>
    <w:rsid w:val="22F339B7"/>
    <w:rsid w:val="2389083E"/>
    <w:rsid w:val="240371BF"/>
    <w:rsid w:val="2416132E"/>
    <w:rsid w:val="24C3662A"/>
    <w:rsid w:val="255B2788"/>
    <w:rsid w:val="257D61FB"/>
    <w:rsid w:val="25E147DB"/>
    <w:rsid w:val="26B26B14"/>
    <w:rsid w:val="28D266D0"/>
    <w:rsid w:val="2929430E"/>
    <w:rsid w:val="296D01D2"/>
    <w:rsid w:val="29FD04D3"/>
    <w:rsid w:val="2AF511D3"/>
    <w:rsid w:val="2BB03927"/>
    <w:rsid w:val="2C365FEA"/>
    <w:rsid w:val="2C523B1B"/>
    <w:rsid w:val="2EA868B8"/>
    <w:rsid w:val="2F300C7F"/>
    <w:rsid w:val="319F7F4E"/>
    <w:rsid w:val="32B74657"/>
    <w:rsid w:val="354950D4"/>
    <w:rsid w:val="356A1152"/>
    <w:rsid w:val="35886A81"/>
    <w:rsid w:val="365B302B"/>
    <w:rsid w:val="37653D51"/>
    <w:rsid w:val="3A72251E"/>
    <w:rsid w:val="3AD94C08"/>
    <w:rsid w:val="3B2354F6"/>
    <w:rsid w:val="3B837124"/>
    <w:rsid w:val="3C4E4E42"/>
    <w:rsid w:val="3CA309E9"/>
    <w:rsid w:val="3CE42D63"/>
    <w:rsid w:val="3D870704"/>
    <w:rsid w:val="3F4B5A39"/>
    <w:rsid w:val="3F9D7F9C"/>
    <w:rsid w:val="409C04F7"/>
    <w:rsid w:val="41D0475C"/>
    <w:rsid w:val="41E4551D"/>
    <w:rsid w:val="42946983"/>
    <w:rsid w:val="43491AB1"/>
    <w:rsid w:val="43E241D8"/>
    <w:rsid w:val="44F2335F"/>
    <w:rsid w:val="44F54182"/>
    <w:rsid w:val="45CD0843"/>
    <w:rsid w:val="45D82B90"/>
    <w:rsid w:val="46856125"/>
    <w:rsid w:val="4715207B"/>
    <w:rsid w:val="483C65E2"/>
    <w:rsid w:val="48854C46"/>
    <w:rsid w:val="488F2F70"/>
    <w:rsid w:val="4A411A5E"/>
    <w:rsid w:val="4ACB5CD7"/>
    <w:rsid w:val="4E207162"/>
    <w:rsid w:val="4E742877"/>
    <w:rsid w:val="4EAA5602"/>
    <w:rsid w:val="4ECE2238"/>
    <w:rsid w:val="5073237C"/>
    <w:rsid w:val="517576C7"/>
    <w:rsid w:val="51C43576"/>
    <w:rsid w:val="531A0324"/>
    <w:rsid w:val="5348201B"/>
    <w:rsid w:val="550833E3"/>
    <w:rsid w:val="556C3F93"/>
    <w:rsid w:val="56712E2E"/>
    <w:rsid w:val="57BA162A"/>
    <w:rsid w:val="595561FB"/>
    <w:rsid w:val="599B1F42"/>
    <w:rsid w:val="59FF7BAD"/>
    <w:rsid w:val="5A771CE1"/>
    <w:rsid w:val="5A791099"/>
    <w:rsid w:val="5AA9110B"/>
    <w:rsid w:val="5B3A0299"/>
    <w:rsid w:val="5BC840DC"/>
    <w:rsid w:val="5C2B1403"/>
    <w:rsid w:val="5D1C654D"/>
    <w:rsid w:val="5D3F6C4F"/>
    <w:rsid w:val="5D966919"/>
    <w:rsid w:val="5DC40F10"/>
    <w:rsid w:val="5F35082F"/>
    <w:rsid w:val="60D46645"/>
    <w:rsid w:val="61490CA6"/>
    <w:rsid w:val="62250672"/>
    <w:rsid w:val="62933E7D"/>
    <w:rsid w:val="641613F3"/>
    <w:rsid w:val="65056C30"/>
    <w:rsid w:val="65295722"/>
    <w:rsid w:val="65E8324C"/>
    <w:rsid w:val="66363C6C"/>
    <w:rsid w:val="669C4337"/>
    <w:rsid w:val="673B0A98"/>
    <w:rsid w:val="67935497"/>
    <w:rsid w:val="67F84FC8"/>
    <w:rsid w:val="68C82B6A"/>
    <w:rsid w:val="69EB6A0A"/>
    <w:rsid w:val="6ACD07DD"/>
    <w:rsid w:val="6ADA5C9D"/>
    <w:rsid w:val="6ADC7761"/>
    <w:rsid w:val="6B613D5C"/>
    <w:rsid w:val="6BEB675B"/>
    <w:rsid w:val="6C297CB1"/>
    <w:rsid w:val="6C700803"/>
    <w:rsid w:val="6EE31EA1"/>
    <w:rsid w:val="700D4447"/>
    <w:rsid w:val="706F2B95"/>
    <w:rsid w:val="71F75B1C"/>
    <w:rsid w:val="72734D90"/>
    <w:rsid w:val="73E35639"/>
    <w:rsid w:val="757D1CAE"/>
    <w:rsid w:val="757F3C26"/>
    <w:rsid w:val="75C43A01"/>
    <w:rsid w:val="76403A40"/>
    <w:rsid w:val="77491969"/>
    <w:rsid w:val="781C3289"/>
    <w:rsid w:val="79983708"/>
    <w:rsid w:val="7AF3040E"/>
    <w:rsid w:val="7BB37091"/>
    <w:rsid w:val="7BF41802"/>
    <w:rsid w:val="7C334028"/>
    <w:rsid w:val="7C5241EA"/>
    <w:rsid w:val="7C534646"/>
    <w:rsid w:val="7DDE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标题 2 Char1"/>
    <w:basedOn w:val="13"/>
    <w:link w:val="3"/>
    <w:qFormat/>
    <w:locked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资金总额(万元)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0.0566607907328129"/>
                  <c:y val="-0.005958291956305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4683953738291"/>
                  <c:y val="0.023934205934811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因公出国(境)费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327.71</c:v>
                </c:pt>
                <c:pt idx="2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ACD3-C931-4644-801A-B9EA7D580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35</Pages>
  <Words>14002</Words>
  <Characters>3969</Characters>
  <Lines>33</Lines>
  <Paragraphs>35</Paragraphs>
  <TotalTime>89</TotalTime>
  <ScaleCrop>false</ScaleCrop>
  <LinksUpToDate>false</LinksUpToDate>
  <CharactersWithSpaces>17936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2020-08-04T01:49:00Z</dcterms:created>
  <dc:creator>曹颖</dc:creator>
  <cp:lastModifiedBy>Administrator</cp:lastModifiedBy>
  <cp:lastPrinted>2024-09-09T03:15:00Z</cp:lastPrinted>
  <dcterms:modified xsi:type="dcterms:W3CDTF">2025-09-15T07:02:17Z</dcterms:modified>
  <dc:title>四川省***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1D031D423051403F8D0501342205E862_12</vt:lpwstr>
  </property>
</Properties>
</file>