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米易县</w:t>
      </w: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审计局部门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spacing w:val="-11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pacing w:val="-11"/>
          <w:sz w:val="44"/>
          <w:szCs w:val="44"/>
        </w:rPr>
        <w:t>关于202</w:t>
      </w:r>
      <w:r>
        <w:rPr>
          <w:rFonts w:hint="default" w:ascii="Times New Roman" w:hAnsi="Times New Roman" w:eastAsia="方正小标宋_GBK" w:cs="Times New Roman"/>
          <w:spacing w:val="-11"/>
          <w:sz w:val="44"/>
          <w:szCs w:val="44"/>
          <w:lang w:val="en-US" w:eastAsia="zh-CN"/>
        </w:rPr>
        <w:t>5</w:t>
      </w:r>
      <w:r>
        <w:rPr>
          <w:rFonts w:hint="default" w:ascii="Times New Roman" w:hAnsi="Times New Roman" w:eastAsia="方正小标宋_GBK" w:cs="Times New Roman"/>
          <w:spacing w:val="-11"/>
          <w:sz w:val="44"/>
          <w:szCs w:val="44"/>
        </w:rPr>
        <w:t>年“三公”经费预算</w:t>
      </w:r>
      <w:r>
        <w:rPr>
          <w:rFonts w:hint="default" w:ascii="Times New Roman" w:hAnsi="Times New Roman" w:eastAsia="方正小标宋_GBK" w:cs="Times New Roman"/>
          <w:spacing w:val="-11"/>
          <w:sz w:val="44"/>
          <w:szCs w:val="44"/>
          <w:lang w:eastAsia="zh-CN"/>
        </w:rPr>
        <w:t>编制</w:t>
      </w:r>
      <w:r>
        <w:rPr>
          <w:rFonts w:hint="default" w:ascii="Times New Roman" w:hAnsi="Times New Roman" w:eastAsia="方正小标宋_GBK" w:cs="Times New Roman"/>
          <w:spacing w:val="-11"/>
          <w:sz w:val="44"/>
          <w:szCs w:val="44"/>
        </w:rPr>
        <w:t>的说明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</w:p>
    <w:p>
      <w:pPr>
        <w:spacing w:line="600" w:lineRule="exact"/>
        <w:ind w:firstLine="640" w:firstLineChars="200"/>
        <w:jc w:val="center"/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  <w:t>目录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  <w:t>一、“三公”经费财政拨款预算安排情况说明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方正楷体_GBK" w:cs="Times New Roman"/>
          <w:b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方正楷体_GBK" w:cs="Times New Roman"/>
          <w:b/>
          <w:bCs/>
          <w:sz w:val="32"/>
          <w:szCs w:val="32"/>
          <w:lang w:eastAsia="zh-CN"/>
        </w:rPr>
        <w:t>（一）因公出国（境）经费预算情况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方正楷体_GBK" w:cs="Times New Roman"/>
          <w:b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方正楷体_GBK" w:cs="Times New Roman"/>
          <w:b/>
          <w:bCs/>
          <w:sz w:val="32"/>
          <w:szCs w:val="32"/>
          <w:lang w:eastAsia="zh-CN"/>
        </w:rPr>
        <w:t>（二）公务接待费预算情况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楷体_GBK" w:cs="Times New Roman"/>
          <w:b/>
          <w:bCs/>
          <w:sz w:val="32"/>
          <w:szCs w:val="32"/>
          <w:lang w:eastAsia="zh-CN"/>
        </w:rPr>
        <w:t>（三）公务用车购置及运行维护费预算情况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  <w:t>二、“三公”经费非财政拨款预算安排情况说明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  <w:t>三、“三公”经费预算公开报表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cs="Times New Roman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  <w:t>一</w:t>
      </w:r>
      <w:r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  <w:t>、“三公”经费财政拨款预算安排情况说明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1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米易县审计局部门202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“三公”经费财政拨款预算数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3411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元，其中：因公出国（境）经费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元，公务接待费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3411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元，公务用车购置及运行维护费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元（公务用车购置费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元，公务用车运行维护费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元）。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/>
          <w:bCs/>
          <w:sz w:val="32"/>
          <w:szCs w:val="32"/>
          <w:lang w:eastAsia="zh-CN"/>
        </w:rPr>
        <w:t>（一）因公出国（境）经费较202</w:t>
      </w:r>
      <w:r>
        <w:rPr>
          <w:rFonts w:hint="default" w:ascii="Times New Roman" w:hAnsi="Times New Roman" w:eastAsia="方正楷体_GBK" w:cs="Times New Roman"/>
          <w:b/>
          <w:bCs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楷体_GBK" w:cs="Times New Roman"/>
          <w:b/>
          <w:bCs/>
          <w:sz w:val="32"/>
          <w:szCs w:val="32"/>
          <w:lang w:eastAsia="zh-CN"/>
        </w:rPr>
        <w:t>年预算与202</w:t>
      </w:r>
      <w:r>
        <w:rPr>
          <w:rFonts w:hint="default" w:ascii="Times New Roman" w:hAnsi="Times New Roman" w:eastAsia="方正楷体_GBK" w:cs="Times New Roman"/>
          <w:b/>
          <w:bCs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楷体_GBK" w:cs="Times New Roman"/>
          <w:b/>
          <w:bCs/>
          <w:sz w:val="32"/>
          <w:szCs w:val="32"/>
          <w:lang w:eastAsia="zh-CN"/>
        </w:rPr>
        <w:t>年预算持平。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主要原因是202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年未安排出国计划，拟安排出国（境）组0次，出国境0人，安排出国（境）经费预算0元，与202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年预算持平。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根据市外事侨务办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</w:rPr>
        <w:t>（台办）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批准的202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年因公临时出国（境）安排，拟安排出国（境）团组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次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b/>
        </w:rPr>
      </w:pPr>
      <w:r>
        <w:rPr>
          <w:rFonts w:hint="default" w:ascii="Times New Roman" w:hAnsi="Times New Roman" w:eastAsia="方正楷体_GBK" w:cs="Times New Roman"/>
          <w:b/>
          <w:bCs/>
          <w:sz w:val="32"/>
          <w:szCs w:val="32"/>
          <w:lang w:eastAsia="zh-CN"/>
        </w:rPr>
        <w:t>（二）公务接待费较202</w:t>
      </w:r>
      <w:r>
        <w:rPr>
          <w:rFonts w:hint="default" w:ascii="Times New Roman" w:hAnsi="Times New Roman" w:eastAsia="方正楷体_GBK" w:cs="Times New Roman"/>
          <w:b/>
          <w:bCs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楷体_GBK" w:cs="Times New Roman"/>
          <w:b/>
          <w:bCs/>
          <w:sz w:val="32"/>
          <w:szCs w:val="32"/>
          <w:lang w:eastAsia="zh-CN"/>
        </w:rPr>
        <w:t>年预算与202</w:t>
      </w:r>
      <w:r>
        <w:rPr>
          <w:rFonts w:hint="default" w:ascii="Times New Roman" w:hAnsi="Times New Roman" w:eastAsia="方正楷体_GBK" w:cs="Times New Roman"/>
          <w:b/>
          <w:bCs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楷体_GBK" w:cs="Times New Roman"/>
          <w:b/>
          <w:bCs/>
          <w:sz w:val="32"/>
          <w:szCs w:val="32"/>
          <w:lang w:eastAsia="zh-CN"/>
        </w:rPr>
        <w:t>年预算持平。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主要原因是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保持节约作风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default" w:ascii="Times New Roman" w:hAnsi="Times New Roman" w:eastAsia="方正仿宋_GBK" w:cs="Times New Roma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年公务接待费计划用于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上级部门及其他单位调研、考察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default" w:ascii="Times New Roman" w:hAnsi="Times New Roman" w:eastAsia="方正仿宋_GBK" w:cs="Times New Roman"/>
          <w:b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/>
          <w:bCs/>
          <w:sz w:val="32"/>
          <w:szCs w:val="32"/>
          <w:lang w:eastAsia="zh-CN"/>
        </w:rPr>
        <w:t>（三）公务用车购置及运行维护费较202</w:t>
      </w:r>
      <w:r>
        <w:rPr>
          <w:rFonts w:hint="default" w:ascii="Times New Roman" w:hAnsi="Times New Roman" w:eastAsia="方正楷体_GBK" w:cs="Times New Roman"/>
          <w:b/>
          <w:bCs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楷体_GBK" w:cs="Times New Roman"/>
          <w:b/>
          <w:bCs/>
          <w:sz w:val="32"/>
          <w:szCs w:val="32"/>
          <w:lang w:eastAsia="zh-CN"/>
        </w:rPr>
        <w:t>年预算与202</w:t>
      </w:r>
      <w:r>
        <w:rPr>
          <w:rFonts w:hint="default" w:ascii="Times New Roman" w:hAnsi="Times New Roman" w:eastAsia="方正楷体_GBK" w:cs="Times New Roman"/>
          <w:b/>
          <w:bCs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楷体_GBK" w:cs="Times New Roman"/>
          <w:b/>
          <w:bCs/>
          <w:sz w:val="32"/>
          <w:szCs w:val="32"/>
          <w:lang w:eastAsia="zh-CN"/>
        </w:rPr>
        <w:t>年预算持平。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主要原因是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我局未配备公务用车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部门现有公务用车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辆，其中：轿车（含7座以下商务车、城市越野车）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辆，7座以上19座（含19座）以下客</w:t>
      </w:r>
      <w:r>
        <w:rPr>
          <w:rFonts w:hint="default" w:ascii="Times New Roman" w:hAnsi="Times New Roman" w:eastAsia="方正仿宋_GBK" w:cs="Times New Roman"/>
          <w:w w:val="97"/>
          <w:sz w:val="32"/>
          <w:szCs w:val="32"/>
        </w:rPr>
        <w:t>车</w:t>
      </w:r>
      <w:r>
        <w:rPr>
          <w:rFonts w:hint="default" w:ascii="Times New Roman" w:hAnsi="Times New Roman" w:eastAsia="方正仿宋_GBK" w:cs="Times New Roman"/>
          <w:w w:val="97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方正仿宋_GBK" w:cs="Times New Roman"/>
          <w:w w:val="97"/>
          <w:sz w:val="32"/>
          <w:szCs w:val="32"/>
        </w:rPr>
        <w:t>辆，越野车</w:t>
      </w:r>
      <w:r>
        <w:rPr>
          <w:rFonts w:hint="default" w:ascii="Times New Roman" w:hAnsi="Times New Roman" w:eastAsia="方正仿宋_GBK" w:cs="Times New Roman"/>
          <w:w w:val="97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方正仿宋_GBK" w:cs="Times New Roman"/>
          <w:w w:val="97"/>
          <w:sz w:val="32"/>
          <w:szCs w:val="32"/>
        </w:rPr>
        <w:t>辆，货车及19座以上客车</w:t>
      </w:r>
      <w:r>
        <w:rPr>
          <w:rFonts w:hint="default" w:ascii="Times New Roman" w:hAnsi="Times New Roman" w:eastAsia="方正仿宋_GBK" w:cs="Times New Roman"/>
          <w:w w:val="97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方正仿宋_GBK" w:cs="Times New Roman"/>
          <w:w w:val="97"/>
          <w:sz w:val="32"/>
          <w:szCs w:val="32"/>
        </w:rPr>
        <w:t>辆，摩托车</w:t>
      </w:r>
      <w:r>
        <w:rPr>
          <w:rFonts w:hint="default" w:ascii="Times New Roman" w:hAnsi="Times New Roman" w:eastAsia="方正仿宋_GBK" w:cs="Times New Roman"/>
          <w:w w:val="97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方正仿宋_GBK" w:cs="Times New Roman"/>
          <w:w w:val="97"/>
          <w:sz w:val="32"/>
          <w:szCs w:val="32"/>
        </w:rPr>
        <w:t>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年安排公务用车购置费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元，购置公务用车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辆，其中：轿车（含7座以下商务车、城市越野车）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辆，7座以上19座（含19座）以下客车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辆，越野车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辆，货车及19座以上客车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辆，摩托车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年安排公务用车运行维护费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元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  <w:t>二</w:t>
      </w:r>
      <w:r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  <w:t>、“三公”经费非财政拨款预算安排情况说明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米易县审计局部门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年没有使用非财政拨款安排“三公”经费预算。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  <w:t>三</w:t>
      </w:r>
      <w:r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  <w:t>、“三公”经费</w:t>
      </w:r>
      <w:r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  <w:t>预算公开报表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0" w:firstLineChars="14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_GBK" w:cs="Times New Roman"/>
          <w:sz w:val="33"/>
          <w:szCs w:val="33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dkY2Q5NzAxYTI2M2ZhMjAyMDlmY2NmODk3ZGU5NzAifQ=="/>
  </w:docVars>
  <w:rsids>
    <w:rsidRoot w:val="7BD049FE"/>
    <w:rsid w:val="061130B8"/>
    <w:rsid w:val="0C267BD8"/>
    <w:rsid w:val="11773B8E"/>
    <w:rsid w:val="13FD6326"/>
    <w:rsid w:val="18B30D97"/>
    <w:rsid w:val="3B81778B"/>
    <w:rsid w:val="44DB32D9"/>
    <w:rsid w:val="4A8E798A"/>
    <w:rsid w:val="568F7CB0"/>
    <w:rsid w:val="5F602ADA"/>
    <w:rsid w:val="62F27988"/>
    <w:rsid w:val="690634C3"/>
    <w:rsid w:val="6AB57F78"/>
    <w:rsid w:val="6E035D9C"/>
    <w:rsid w:val="7BD04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</w:style>
  <w:style w:type="paragraph" w:customStyle="1" w:styleId="5">
    <w:name w:val="p0"/>
    <w:basedOn w:val="1"/>
    <w:qFormat/>
    <w:uiPriority w:val="0"/>
    <w:pPr>
      <w:widowControl/>
      <w:ind w:left="641" w:hanging="357"/>
    </w:pPr>
    <w:rPr>
      <w:rFonts w:ascii="Calibri" w:hAnsi="Calibri" w:cs="宋体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710</Words>
  <Characters>767</Characters>
  <Lines>0</Lines>
  <Paragraphs>0</Paragraphs>
  <TotalTime>5</TotalTime>
  <ScaleCrop>false</ScaleCrop>
  <LinksUpToDate>false</LinksUpToDate>
  <CharactersWithSpaces>768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2021-03-11T08:09:00Z</dcterms:created>
  <dc:creator>安娇</dc:creator>
  <cp:lastModifiedBy>田净业</cp:lastModifiedBy>
  <dcterms:modified xsi:type="dcterms:W3CDTF">2025-05-23T07:50:59Z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  <property fmtid="{D5CDD505-2E9C-101B-9397-08002B2CF9AE}" pid="3" name="ICV">
    <vt:lpwstr>9785E078FE574E9081029D5B3986E1BD</vt:lpwstr>
  </property>
</Properties>
</file>