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FECBEF">
      <w:pPr>
        <w:adjustRightInd w:val="0"/>
        <w:snapToGrid w:val="0"/>
        <w:spacing w:line="360" w:lineRule="auto"/>
        <w:jc w:val="center"/>
        <w:outlineLvl w:val="0"/>
        <w:rPr>
          <w:rFonts w:hint="eastAsia" w:ascii="方正小标宋简体" w:hAnsi="宋体" w:eastAsia="方正小标宋简体"/>
          <w:sz w:val="44"/>
          <w:szCs w:val="44"/>
        </w:rPr>
      </w:pPr>
      <w:bookmarkStart w:id="0" w:name="_Toc15377426"/>
      <w:bookmarkStart w:id="1" w:name="_Toc15396598"/>
      <w:bookmarkStart w:id="2" w:name="_Toc15377194"/>
      <w:bookmarkStart w:id="3" w:name="_Toc15378442"/>
      <w:bookmarkStart w:id="4" w:name="_Toc15396476"/>
      <w:bookmarkStart w:id="5" w:name="_Toc47519987"/>
      <w:r>
        <w:rPr>
          <w:rFonts w:hint="eastAsia" w:ascii="方正小标宋简体" w:hAnsi="宋体" w:eastAsia="方正小标宋简体"/>
          <w:sz w:val="44"/>
          <w:szCs w:val="44"/>
        </w:rPr>
        <w:t>米易县</w:t>
      </w:r>
      <w:bookmarkStart w:id="6" w:name="_Toc15306268"/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湾丘彝族乡中心</w:t>
      </w:r>
      <w:r>
        <w:rPr>
          <w:rFonts w:hint="eastAsia" w:ascii="方正小标宋简体" w:hAnsi="宋体" w:eastAsia="方正小标宋简体"/>
          <w:sz w:val="44"/>
          <w:szCs w:val="44"/>
        </w:rPr>
        <w:t>卫生院</w:t>
      </w:r>
      <w:r>
        <w:rPr>
          <w:rFonts w:hint="eastAsia" w:ascii="方正小标宋简体" w:hAnsi="黑体" w:eastAsia="方正小标宋简体"/>
          <w:sz w:val="44"/>
          <w:szCs w:val="44"/>
        </w:rPr>
        <w:t>202</w:t>
      </w: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宋体" w:eastAsia="方正小标宋简体"/>
          <w:sz w:val="44"/>
          <w:szCs w:val="44"/>
        </w:rPr>
        <w:t>年“三公”经费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单位</w:t>
      </w:r>
      <w:bookmarkEnd w:id="0"/>
      <w:bookmarkEnd w:id="1"/>
      <w:bookmarkEnd w:id="2"/>
      <w:bookmarkEnd w:id="3"/>
      <w:bookmarkEnd w:id="4"/>
      <w:bookmarkEnd w:id="5"/>
      <w:bookmarkEnd w:id="6"/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预算</w:t>
      </w:r>
      <w:r>
        <w:rPr>
          <w:rFonts w:hint="eastAsia" w:ascii="方正小标宋简体" w:hAnsi="宋体" w:eastAsia="方正小标宋简体"/>
          <w:sz w:val="44"/>
          <w:szCs w:val="44"/>
        </w:rPr>
        <w:t>公开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安排情况</w:t>
      </w:r>
      <w:r>
        <w:rPr>
          <w:rFonts w:hint="eastAsia" w:ascii="方正小标宋简体" w:hAnsi="宋体" w:eastAsia="方正小标宋简体"/>
          <w:sz w:val="44"/>
          <w:szCs w:val="44"/>
        </w:rPr>
        <w:t>说明</w:t>
      </w:r>
    </w:p>
    <w:p w14:paraId="776A446D">
      <w:pPr>
        <w:spacing w:line="600" w:lineRule="exact"/>
        <w:ind w:firstLine="640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b/>
          <w:bCs/>
          <w:sz w:val="32"/>
          <w:szCs w:val="32"/>
          <w:lang w:val="en-US" w:eastAsia="zh-CN"/>
        </w:rPr>
        <w:t>一</w:t>
      </w:r>
      <w:r>
        <w:rPr>
          <w:rFonts w:hint="eastAsia" w:ascii="仿宋_GB2312" w:eastAsia="仿宋_GB2312" w:cs="Times New Roman"/>
          <w:b/>
          <w:bCs/>
          <w:sz w:val="32"/>
          <w:szCs w:val="32"/>
        </w:rPr>
        <w:t>、“三公”经费财政拨款预算安排情况说明</w:t>
      </w:r>
    </w:p>
    <w:p w14:paraId="7CDA3001">
      <w:pPr>
        <w:spacing w:line="600" w:lineRule="exact"/>
        <w:ind w:firstLine="640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湾丘卫生院</w:t>
      </w:r>
      <w:r>
        <w:rPr>
          <w:rFonts w:hint="eastAsia" w:ascii="仿宋_GB2312" w:eastAsia="仿宋_GB2312" w:cs="Times New Roman"/>
          <w:sz w:val="32"/>
          <w:szCs w:val="32"/>
        </w:rPr>
        <w:t>202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 w:cs="Times New Roman"/>
          <w:sz w:val="32"/>
          <w:szCs w:val="32"/>
        </w:rPr>
        <w:t>年没有使用财政拨款安排“三公”经费预算。</w:t>
      </w:r>
    </w:p>
    <w:p w14:paraId="3004E02B">
      <w:pPr>
        <w:spacing w:line="600" w:lineRule="exact"/>
        <w:ind w:firstLine="640"/>
        <w:rPr>
          <w:rFonts w:hint="eastAsia" w:ascii="仿宋_GB2312" w:eastAsia="仿宋_GB2312" w:cs="Times New Roman"/>
          <w:b/>
          <w:bCs/>
          <w:sz w:val="32"/>
          <w:szCs w:val="32"/>
        </w:rPr>
      </w:pPr>
      <w:r>
        <w:rPr>
          <w:rFonts w:hint="eastAsia" w:ascii="仿宋_GB2312" w:eastAsia="仿宋_GB2312" w:cs="Times New Roman"/>
          <w:b/>
          <w:bCs/>
          <w:sz w:val="32"/>
          <w:szCs w:val="32"/>
        </w:rPr>
        <w:t>（一）因公出国（境）经费</w:t>
      </w:r>
      <w:r>
        <w:rPr>
          <w:rFonts w:hint="eastAsia" w:ascii="仿宋_GB2312" w:eastAsia="仿宋_GB2312" w:cs="Times New Roman"/>
          <w:b/>
          <w:bCs/>
          <w:sz w:val="32"/>
          <w:szCs w:val="32"/>
          <w:lang w:val="en-US" w:eastAsia="zh-CN"/>
        </w:rPr>
        <w:t>与</w:t>
      </w:r>
      <w:r>
        <w:rPr>
          <w:rFonts w:hint="eastAsia" w:ascii="仿宋_GB2312" w:eastAsia="仿宋_GB2312" w:cs="Times New Roman"/>
          <w:b/>
          <w:bCs/>
          <w:sz w:val="32"/>
          <w:szCs w:val="32"/>
        </w:rPr>
        <w:t>202</w:t>
      </w:r>
      <w:r>
        <w:rPr>
          <w:rFonts w:hint="eastAsia" w:ascii="仿宋_GB2312" w:eastAsia="仿宋_GB2312" w:cs="Times New Roman"/>
          <w:b/>
          <w:bCs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 w:cs="Times New Roman"/>
          <w:b/>
          <w:bCs/>
          <w:sz w:val="32"/>
          <w:szCs w:val="32"/>
        </w:rPr>
        <w:t>年预算</w:t>
      </w:r>
      <w:r>
        <w:rPr>
          <w:rFonts w:hint="eastAsia" w:ascii="仿宋_GB2312" w:eastAsia="仿宋_GB2312" w:cs="Times New Roman"/>
          <w:b/>
          <w:bCs/>
          <w:sz w:val="32"/>
          <w:szCs w:val="32"/>
          <w:lang w:val="en-US" w:eastAsia="zh-CN"/>
        </w:rPr>
        <w:t>持平</w:t>
      </w:r>
    </w:p>
    <w:p w14:paraId="5729EB4D">
      <w:pPr>
        <w:spacing w:line="600" w:lineRule="exact"/>
        <w:ind w:firstLine="640"/>
        <w:rPr>
          <w:rFonts w:hint="default" w:ascii="楷体_GB2312" w:eastAsia="楷体_GB2312"/>
          <w:b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根据市外事侨务办（台办）批准的202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仿宋_GB2312" w:hAnsi="Times New Roman" w:eastAsia="仿宋_GB2312" w:cs="Times New Roman"/>
          <w:sz w:val="32"/>
          <w:szCs w:val="32"/>
        </w:rPr>
        <w:t>年因公临时出国（境）安排，拟安排出国（境）团组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次, 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eastAsia" w:ascii="仿宋_GB2312" w:hAnsi="Times New Roman" w:eastAsia="仿宋_GB2312" w:cs="Times New Roman"/>
          <w:sz w:val="32"/>
          <w:szCs w:val="32"/>
        </w:rPr>
        <w:t>人。</w:t>
      </w:r>
    </w:p>
    <w:p w14:paraId="7DEE35C1">
      <w:pPr>
        <w:spacing w:line="600" w:lineRule="exact"/>
        <w:ind w:firstLine="64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eastAsia="zh-CN"/>
        </w:rPr>
        <w:t>（</w:t>
      </w: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eastAsia="zh-CN"/>
        </w:rPr>
        <w:t>）</w:t>
      </w:r>
      <w:r>
        <w:rPr>
          <w:rFonts w:hint="eastAsia" w:ascii="仿宋_GB2312" w:hAnsi="Times New Roman" w:eastAsia="仿宋_GB2312" w:cs="Times New Roman"/>
          <w:b/>
          <w:bCs/>
          <w:sz w:val="32"/>
          <w:szCs w:val="32"/>
        </w:rPr>
        <w:t>公务接待费</w:t>
      </w: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  <w:t>与</w:t>
      </w:r>
      <w:r>
        <w:rPr>
          <w:rFonts w:hint="eastAsia" w:ascii="仿宋_GB2312" w:hAnsi="Times New Roman" w:eastAsia="仿宋_GB2312" w:cs="Times New Roman"/>
          <w:b/>
          <w:bCs/>
          <w:sz w:val="32"/>
          <w:szCs w:val="32"/>
        </w:rPr>
        <w:t>202</w:t>
      </w: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  <w:t>4</w:t>
      </w:r>
      <w:r>
        <w:rPr>
          <w:rFonts w:hint="eastAsia" w:ascii="仿宋_GB2312" w:hAnsi="Times New Roman" w:eastAsia="仿宋_GB2312" w:cs="Times New Roman"/>
          <w:b/>
          <w:bCs/>
          <w:sz w:val="32"/>
          <w:szCs w:val="32"/>
        </w:rPr>
        <w:t>年预算</w:t>
      </w: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  <w:t>持平</w:t>
      </w:r>
    </w:p>
    <w:p w14:paraId="1DEABEF8">
      <w:pPr>
        <w:spacing w:line="600" w:lineRule="exact"/>
        <w:ind w:firstLine="640"/>
        <w:rPr>
          <w:rFonts w:hint="eastAsia" w:ascii="楷体_GB2312" w:eastAsia="楷体_GB2312"/>
          <w:b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202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仿宋_GB2312" w:hAnsi="Times New Roman" w:eastAsia="仿宋_GB2312" w:cs="Times New Roman"/>
          <w:sz w:val="32"/>
          <w:szCs w:val="32"/>
        </w:rPr>
        <w:t>年安排公务接待费预</w:t>
      </w:r>
      <w:r>
        <w:rPr>
          <w:rFonts w:hint="eastAsia" w:ascii="仿宋_GB2312" w:eastAsia="仿宋_GB2312"/>
          <w:sz w:val="32"/>
          <w:szCs w:val="32"/>
        </w:rPr>
        <w:t>算0元。</w:t>
      </w:r>
    </w:p>
    <w:p w14:paraId="353E1BED">
      <w:pPr>
        <w:spacing w:line="600" w:lineRule="exact"/>
        <w:ind w:firstLine="640"/>
        <w:rPr>
          <w:rFonts w:hint="eastAsia" w:ascii="仿宋_GB2312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</w:rPr>
        <w:t>（三）公务用车购置及运行维护费</w:t>
      </w: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  <w:t>与</w:t>
      </w:r>
      <w:r>
        <w:rPr>
          <w:rFonts w:hint="eastAsia" w:ascii="仿宋_GB2312" w:hAnsi="Times New Roman" w:eastAsia="仿宋_GB2312" w:cs="Times New Roman"/>
          <w:b/>
          <w:bCs/>
          <w:sz w:val="32"/>
          <w:szCs w:val="32"/>
        </w:rPr>
        <w:t>202</w:t>
      </w: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  <w:t>4</w:t>
      </w:r>
      <w:r>
        <w:rPr>
          <w:rFonts w:hint="eastAsia" w:ascii="仿宋_GB2312" w:hAnsi="Times New Roman" w:eastAsia="仿宋_GB2312" w:cs="Times New Roman"/>
          <w:b/>
          <w:bCs/>
          <w:sz w:val="32"/>
          <w:szCs w:val="32"/>
        </w:rPr>
        <w:t>年预算</w:t>
      </w: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  <w:t>持平</w:t>
      </w:r>
    </w:p>
    <w:p w14:paraId="0E4B7E18">
      <w:pPr>
        <w:spacing w:line="600" w:lineRule="exact"/>
        <w:ind w:firstLine="64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单位现有公务用车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eastAsia" w:ascii="仿宋_GB2312" w:hAnsi="Times New Roman" w:eastAsia="仿宋_GB2312" w:cs="Times New Roman"/>
          <w:sz w:val="32"/>
          <w:szCs w:val="32"/>
        </w:rPr>
        <w:t>辆，其中：轿车（含7座以下商务车、城市越野车）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eastAsia" w:ascii="仿宋_GB2312" w:hAnsi="Times New Roman" w:eastAsia="仿宋_GB2312" w:cs="Times New Roman"/>
          <w:sz w:val="32"/>
          <w:szCs w:val="32"/>
        </w:rPr>
        <w:t>辆，7座以上19座（含19座）以下客车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eastAsia" w:ascii="仿宋_GB2312" w:hAnsi="Times New Roman" w:eastAsia="仿宋_GB2312" w:cs="Times New Roman"/>
          <w:sz w:val="32"/>
          <w:szCs w:val="32"/>
        </w:rPr>
        <w:t>辆，越野车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eastAsia" w:ascii="仿宋_GB2312" w:hAnsi="Times New Roman" w:eastAsia="仿宋_GB2312" w:cs="Times New Roman"/>
          <w:sz w:val="32"/>
          <w:szCs w:val="32"/>
        </w:rPr>
        <w:t>辆，货车及19座以上客车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eastAsia" w:ascii="仿宋_GB2312" w:hAnsi="Times New Roman" w:eastAsia="仿宋_GB2312" w:cs="Times New Roman"/>
          <w:sz w:val="32"/>
          <w:szCs w:val="32"/>
        </w:rPr>
        <w:t>辆，摩托车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eastAsia" w:ascii="仿宋_GB2312" w:hAnsi="Times New Roman" w:eastAsia="仿宋_GB2312" w:cs="Times New Roman"/>
          <w:sz w:val="32"/>
          <w:szCs w:val="32"/>
        </w:rPr>
        <w:t>辆。</w:t>
      </w:r>
    </w:p>
    <w:p w14:paraId="6D18E6B1">
      <w:pPr>
        <w:spacing w:line="600" w:lineRule="exact"/>
        <w:ind w:firstLine="64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202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仿宋_GB2312" w:hAnsi="Times New Roman" w:eastAsia="仿宋_GB2312" w:cs="Times New Roman"/>
          <w:sz w:val="32"/>
          <w:szCs w:val="32"/>
        </w:rPr>
        <w:t>年安排公务用车购置费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eastAsia" w:ascii="仿宋_GB2312" w:hAnsi="Times New Roman" w:eastAsia="仿宋_GB2312" w:cs="Times New Roman"/>
          <w:sz w:val="32"/>
          <w:szCs w:val="32"/>
        </w:rPr>
        <w:t>元，购置公务用车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eastAsia" w:ascii="仿宋_GB2312" w:hAnsi="Times New Roman" w:eastAsia="仿宋_GB2312" w:cs="Times New Roman"/>
          <w:sz w:val="32"/>
          <w:szCs w:val="32"/>
        </w:rPr>
        <w:t>辆，其中：轿车（含7座以下商务车、城市越野车）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eastAsia" w:ascii="仿宋_GB2312" w:hAnsi="Times New Roman" w:eastAsia="仿宋_GB2312" w:cs="Times New Roman"/>
          <w:sz w:val="32"/>
          <w:szCs w:val="32"/>
        </w:rPr>
        <w:t>辆，7座以上19座（含19座）以下客车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eastAsia" w:ascii="仿宋_GB2312" w:hAnsi="Times New Roman" w:eastAsia="仿宋_GB2312" w:cs="Times New Roman"/>
          <w:sz w:val="32"/>
          <w:szCs w:val="32"/>
        </w:rPr>
        <w:t>辆，越野车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eastAsia" w:ascii="仿宋_GB2312" w:hAnsi="Times New Roman" w:eastAsia="仿宋_GB2312" w:cs="Times New Roman"/>
          <w:sz w:val="32"/>
          <w:szCs w:val="32"/>
        </w:rPr>
        <w:t>辆，货车及19座以上客车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eastAsia" w:ascii="仿宋_GB2312" w:hAnsi="Times New Roman" w:eastAsia="仿宋_GB2312" w:cs="Times New Roman"/>
          <w:sz w:val="32"/>
          <w:szCs w:val="32"/>
        </w:rPr>
        <w:t>辆，摩托车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eastAsia" w:ascii="仿宋_GB2312" w:hAnsi="Times New Roman" w:eastAsia="仿宋_GB2312" w:cs="Times New Roman"/>
          <w:sz w:val="32"/>
          <w:szCs w:val="32"/>
        </w:rPr>
        <w:t>辆。</w:t>
      </w:r>
    </w:p>
    <w:p w14:paraId="63902ADE">
      <w:pPr>
        <w:spacing w:line="600" w:lineRule="exact"/>
        <w:ind w:firstLine="640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202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仿宋_GB2312" w:hAnsi="Times New Roman" w:eastAsia="仿宋_GB2312" w:cs="Times New Roman"/>
          <w:sz w:val="32"/>
          <w:szCs w:val="32"/>
        </w:rPr>
        <w:t>年安排公务用车运行维护费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eastAsia" w:ascii="仿宋_GB2312" w:hAnsi="Times New Roman" w:eastAsia="仿宋_GB2312" w:cs="Times New Roman"/>
          <w:sz w:val="32"/>
          <w:szCs w:val="32"/>
        </w:rPr>
        <w:t>元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。</w:t>
      </w:r>
    </w:p>
    <w:p w14:paraId="17829FCB">
      <w:pPr>
        <w:spacing w:line="600" w:lineRule="exact"/>
        <w:ind w:firstLine="640"/>
        <w:rPr>
          <w:rFonts w:hint="eastAsia" w:ascii="仿宋_GB2312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仿宋_GB2312" w:hAnsi="Times New Roman" w:eastAsia="仿宋_GB2312" w:cs="Times New Roman"/>
          <w:b/>
          <w:bCs/>
          <w:sz w:val="32"/>
          <w:szCs w:val="32"/>
        </w:rPr>
        <w:t>、“三公”经费非财政拨款预算安排情况说明</w:t>
      </w:r>
    </w:p>
    <w:p w14:paraId="0F168FA6">
      <w:pPr>
        <w:spacing w:line="600" w:lineRule="exact"/>
        <w:ind w:firstLine="64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湾丘卫生院</w:t>
      </w:r>
      <w:r>
        <w:rPr>
          <w:rFonts w:hint="eastAsia" w:ascii="仿宋_GB2312" w:hAnsi="Times New Roman" w:eastAsia="仿宋_GB2312" w:cs="Times New Roman"/>
          <w:sz w:val="32"/>
          <w:szCs w:val="32"/>
        </w:rPr>
        <w:t>202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仿宋_GB2312" w:hAnsi="Times New Roman" w:eastAsia="仿宋_GB2312" w:cs="Times New Roman"/>
          <w:sz w:val="32"/>
          <w:szCs w:val="32"/>
        </w:rPr>
        <w:t>年没有使用非财政拨款安排“三公”经费预算。</w:t>
      </w:r>
    </w:p>
    <w:p w14:paraId="27B226CB">
      <w:pPr>
        <w:spacing w:line="600" w:lineRule="exact"/>
        <w:ind w:firstLine="640"/>
        <w:rPr>
          <w:rFonts w:hint="eastAsia" w:ascii="仿宋_GB2312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</w:rPr>
        <w:t>（一）非财政拨款安排公务接待费情况说明</w:t>
      </w:r>
    </w:p>
    <w:p w14:paraId="0E6F00BF">
      <w:pPr>
        <w:spacing w:line="600" w:lineRule="exact"/>
        <w:ind w:firstLine="64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202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仿宋_GB2312" w:hAnsi="Times New Roman" w:eastAsia="仿宋_GB2312" w:cs="Times New Roman"/>
          <w:sz w:val="32"/>
          <w:szCs w:val="32"/>
        </w:rPr>
        <w:t>年非财政拨款安排公务接待费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与</w:t>
      </w:r>
      <w:r>
        <w:rPr>
          <w:rFonts w:hint="eastAsia" w:ascii="仿宋_GB2312" w:hAnsi="Times New Roman" w:eastAsia="仿宋_GB2312" w:cs="Times New Roman"/>
          <w:sz w:val="32"/>
          <w:szCs w:val="32"/>
        </w:rPr>
        <w:t>202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仿宋_GB2312" w:hAnsi="Times New Roman" w:eastAsia="仿宋_GB2312" w:cs="Times New Roman"/>
          <w:sz w:val="32"/>
          <w:szCs w:val="32"/>
        </w:rPr>
        <w:t>年预算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持平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。</w:t>
      </w:r>
    </w:p>
    <w:p w14:paraId="21265C3F">
      <w:pPr>
        <w:spacing w:line="600" w:lineRule="exact"/>
        <w:ind w:firstLine="64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202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仿宋_GB2312" w:hAnsi="Times New Roman" w:eastAsia="仿宋_GB2312" w:cs="Times New Roman"/>
          <w:sz w:val="32"/>
          <w:szCs w:val="32"/>
        </w:rPr>
        <w:t>年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未安排</w:t>
      </w:r>
      <w:r>
        <w:rPr>
          <w:rFonts w:hint="eastAsia" w:ascii="仿宋_GB2312" w:hAnsi="Times New Roman" w:eastAsia="仿宋_GB2312" w:cs="Times New Roman"/>
          <w:sz w:val="32"/>
          <w:szCs w:val="32"/>
        </w:rPr>
        <w:t>非财政拨款公务接待费。</w:t>
      </w:r>
    </w:p>
    <w:p w14:paraId="1A7FA03A">
      <w:pPr>
        <w:spacing w:line="600" w:lineRule="exact"/>
        <w:ind w:firstLine="640"/>
        <w:rPr>
          <w:rFonts w:hint="eastAsia" w:ascii="仿宋_GB2312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</w:rPr>
        <w:t>（二）非财政拨款安排公务用车购置及运行维护费情况说明</w:t>
      </w:r>
    </w:p>
    <w:p w14:paraId="578A834A">
      <w:pPr>
        <w:spacing w:line="600" w:lineRule="exact"/>
        <w:ind w:firstLine="640"/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</w:rPr>
        <w:t>非财政拨款安排公务用车购置及运行维护费</w:t>
      </w: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  <w:t>与</w:t>
      </w:r>
      <w:r>
        <w:rPr>
          <w:rFonts w:hint="eastAsia" w:ascii="仿宋_GB2312" w:hAnsi="Times New Roman" w:eastAsia="仿宋_GB2312" w:cs="Times New Roman"/>
          <w:b/>
          <w:bCs/>
          <w:sz w:val="32"/>
          <w:szCs w:val="32"/>
        </w:rPr>
        <w:t>202</w:t>
      </w: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  <w:t>4</w:t>
      </w:r>
      <w:r>
        <w:rPr>
          <w:rFonts w:hint="eastAsia" w:ascii="仿宋_GB2312" w:hAnsi="Times New Roman" w:eastAsia="仿宋_GB2312" w:cs="Times New Roman"/>
          <w:b/>
          <w:bCs/>
          <w:sz w:val="32"/>
          <w:szCs w:val="32"/>
        </w:rPr>
        <w:t>年预算</w:t>
      </w: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  <w:t>持平。</w:t>
      </w:r>
    </w:p>
    <w:p w14:paraId="460290E6">
      <w:pPr>
        <w:spacing w:line="600" w:lineRule="exact"/>
        <w:ind w:firstLine="64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单位现有公务用车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eastAsia" w:ascii="仿宋_GB2312" w:hAnsi="Times New Roman" w:eastAsia="仿宋_GB2312" w:cs="Times New Roman"/>
          <w:sz w:val="32"/>
          <w:szCs w:val="32"/>
        </w:rPr>
        <w:t>辆，其中：轿车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eastAsia" w:ascii="仿宋_GB2312" w:hAnsi="Times New Roman" w:eastAsia="仿宋_GB2312" w:cs="Times New Roman"/>
          <w:sz w:val="32"/>
          <w:szCs w:val="32"/>
        </w:rPr>
        <w:t>辆，旅行车（含商务车）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eastAsia" w:ascii="仿宋_GB2312" w:hAnsi="Times New Roman" w:eastAsia="仿宋_GB2312" w:cs="Times New Roman"/>
          <w:sz w:val="32"/>
          <w:szCs w:val="32"/>
        </w:rPr>
        <w:t>辆，越野车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eastAsia" w:ascii="仿宋_GB2312" w:hAnsi="Times New Roman" w:eastAsia="仿宋_GB2312" w:cs="Times New Roman"/>
          <w:sz w:val="32"/>
          <w:szCs w:val="32"/>
        </w:rPr>
        <w:t>辆，大型客、货车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eastAsia" w:ascii="仿宋_GB2312" w:hAnsi="Times New Roman" w:eastAsia="仿宋_GB2312" w:cs="Times New Roman"/>
          <w:sz w:val="32"/>
          <w:szCs w:val="32"/>
        </w:rPr>
        <w:t>辆。</w:t>
      </w:r>
    </w:p>
    <w:p w14:paraId="790676C0">
      <w:pPr>
        <w:spacing w:line="600" w:lineRule="exact"/>
        <w:ind w:firstLine="64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202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仿宋_GB2312" w:hAnsi="Times New Roman" w:eastAsia="仿宋_GB2312" w:cs="Times New Roman"/>
          <w:sz w:val="32"/>
          <w:szCs w:val="32"/>
        </w:rPr>
        <w:t>年安排非财政拨款公务用车购置费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eastAsia" w:ascii="仿宋_GB2312" w:hAnsi="Times New Roman" w:eastAsia="仿宋_GB2312" w:cs="Times New Roman"/>
          <w:sz w:val="32"/>
          <w:szCs w:val="32"/>
        </w:rPr>
        <w:t>元，拟购置公务用车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eastAsia" w:ascii="仿宋_GB2312" w:hAnsi="Times New Roman" w:eastAsia="仿宋_GB2312" w:cs="Times New Roman"/>
          <w:sz w:val="32"/>
          <w:szCs w:val="32"/>
        </w:rPr>
        <w:t>辆，其中：轿车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eastAsia" w:ascii="仿宋_GB2312" w:hAnsi="Times New Roman" w:eastAsia="仿宋_GB2312" w:cs="Times New Roman"/>
          <w:sz w:val="32"/>
          <w:szCs w:val="32"/>
        </w:rPr>
        <w:t>辆，旅行车（含商务车）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eastAsia" w:ascii="仿宋_GB2312" w:hAnsi="Times New Roman" w:eastAsia="仿宋_GB2312" w:cs="Times New Roman"/>
          <w:sz w:val="32"/>
          <w:szCs w:val="32"/>
        </w:rPr>
        <w:t>辆，越野车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eastAsia" w:ascii="仿宋_GB2312" w:hAnsi="Times New Roman" w:eastAsia="仿宋_GB2312" w:cs="Times New Roman"/>
          <w:sz w:val="32"/>
          <w:szCs w:val="32"/>
        </w:rPr>
        <w:t>辆，大型客、货车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eastAsia" w:ascii="仿宋_GB2312" w:hAnsi="Times New Roman" w:eastAsia="仿宋_GB2312" w:cs="Times New Roman"/>
          <w:sz w:val="32"/>
          <w:szCs w:val="32"/>
        </w:rPr>
        <w:t>辆。</w:t>
      </w:r>
    </w:p>
    <w:p w14:paraId="0D326903">
      <w:pPr>
        <w:spacing w:line="600" w:lineRule="exact"/>
        <w:ind w:firstLine="640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202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仿宋_GB2312" w:hAnsi="Times New Roman" w:eastAsia="仿宋_GB2312" w:cs="Times New Roman"/>
          <w:sz w:val="32"/>
          <w:szCs w:val="32"/>
        </w:rPr>
        <w:t>年安排非财政拨款公务用车运行维护费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eastAsia" w:ascii="仿宋_GB2312" w:hAnsi="Times New Roman" w:eastAsia="仿宋_GB2312" w:cs="Times New Roman"/>
          <w:sz w:val="32"/>
          <w:szCs w:val="32"/>
        </w:rPr>
        <w:t>元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。</w:t>
      </w:r>
      <w:bookmarkStart w:id="7" w:name="_GoBack"/>
      <w:bookmarkEnd w:id="7"/>
    </w:p>
    <w:p w14:paraId="5D1B0468">
      <w:pPr>
        <w:spacing w:line="600" w:lineRule="exact"/>
        <w:ind w:firstLine="640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</w:p>
    <w:p w14:paraId="0B562C28">
      <w:pPr>
        <w:spacing w:line="600" w:lineRule="exact"/>
        <w:ind w:firstLine="640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</w:p>
    <w:p w14:paraId="3CBF951E">
      <w:pPr>
        <w:spacing w:line="600" w:lineRule="exact"/>
        <w:ind w:firstLine="3840" w:firstLineChars="1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米易县湾丘彝族乡中心卫生院</w:t>
      </w:r>
    </w:p>
    <w:p w14:paraId="0B83F38A">
      <w:pPr>
        <w:spacing w:line="600" w:lineRule="exact"/>
        <w:ind w:firstLine="4800" w:firstLineChars="1500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2025年5月28日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E9A612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Y0MTM5YWYxZDhhODExNWViZmY0ZDRhNTM4MWU3NTcifQ=="/>
  </w:docVars>
  <w:rsids>
    <w:rsidRoot w:val="00B44725"/>
    <w:rsid w:val="000150B0"/>
    <w:rsid w:val="00030AF5"/>
    <w:rsid w:val="000454B4"/>
    <w:rsid w:val="000534F6"/>
    <w:rsid w:val="00055B8E"/>
    <w:rsid w:val="00057B0C"/>
    <w:rsid w:val="0007086C"/>
    <w:rsid w:val="00094F37"/>
    <w:rsid w:val="000B42C9"/>
    <w:rsid w:val="000D6D8E"/>
    <w:rsid w:val="000F077A"/>
    <w:rsid w:val="00134224"/>
    <w:rsid w:val="001757F4"/>
    <w:rsid w:val="0019582F"/>
    <w:rsid w:val="001B288C"/>
    <w:rsid w:val="001B6FD1"/>
    <w:rsid w:val="00202F1D"/>
    <w:rsid w:val="00215777"/>
    <w:rsid w:val="002629CC"/>
    <w:rsid w:val="00280CF6"/>
    <w:rsid w:val="002954AC"/>
    <w:rsid w:val="0035066D"/>
    <w:rsid w:val="003559AD"/>
    <w:rsid w:val="00357A8A"/>
    <w:rsid w:val="00380090"/>
    <w:rsid w:val="003A5C4B"/>
    <w:rsid w:val="003B660C"/>
    <w:rsid w:val="003D6F29"/>
    <w:rsid w:val="00405A84"/>
    <w:rsid w:val="00417FA4"/>
    <w:rsid w:val="004332BD"/>
    <w:rsid w:val="00435D7E"/>
    <w:rsid w:val="004B7CA9"/>
    <w:rsid w:val="004C5AC3"/>
    <w:rsid w:val="004F2D79"/>
    <w:rsid w:val="00500E8E"/>
    <w:rsid w:val="00525051"/>
    <w:rsid w:val="00531D8C"/>
    <w:rsid w:val="005D3386"/>
    <w:rsid w:val="005D4F46"/>
    <w:rsid w:val="005E5625"/>
    <w:rsid w:val="00636498"/>
    <w:rsid w:val="00672777"/>
    <w:rsid w:val="006762AB"/>
    <w:rsid w:val="00685058"/>
    <w:rsid w:val="00695680"/>
    <w:rsid w:val="006A3F8F"/>
    <w:rsid w:val="006A636E"/>
    <w:rsid w:val="007053E1"/>
    <w:rsid w:val="007114BF"/>
    <w:rsid w:val="00723819"/>
    <w:rsid w:val="00745FE1"/>
    <w:rsid w:val="0075511B"/>
    <w:rsid w:val="007802C4"/>
    <w:rsid w:val="00785AA1"/>
    <w:rsid w:val="007B1859"/>
    <w:rsid w:val="007E6624"/>
    <w:rsid w:val="0083556A"/>
    <w:rsid w:val="00836DF9"/>
    <w:rsid w:val="00857081"/>
    <w:rsid w:val="00857AC4"/>
    <w:rsid w:val="008971E4"/>
    <w:rsid w:val="008C346D"/>
    <w:rsid w:val="008C41C6"/>
    <w:rsid w:val="00907AAD"/>
    <w:rsid w:val="00983D52"/>
    <w:rsid w:val="00986BCA"/>
    <w:rsid w:val="009A5D5F"/>
    <w:rsid w:val="009A6F4E"/>
    <w:rsid w:val="009B6069"/>
    <w:rsid w:val="009C3B58"/>
    <w:rsid w:val="009D5E75"/>
    <w:rsid w:val="009F072C"/>
    <w:rsid w:val="00A844F2"/>
    <w:rsid w:val="00A924F3"/>
    <w:rsid w:val="00A95088"/>
    <w:rsid w:val="00AB7D3B"/>
    <w:rsid w:val="00AE5E1F"/>
    <w:rsid w:val="00AF4E3F"/>
    <w:rsid w:val="00B25311"/>
    <w:rsid w:val="00B44725"/>
    <w:rsid w:val="00B8057E"/>
    <w:rsid w:val="00BC53AE"/>
    <w:rsid w:val="00BD1660"/>
    <w:rsid w:val="00BD7631"/>
    <w:rsid w:val="00BE24A4"/>
    <w:rsid w:val="00BF4B8F"/>
    <w:rsid w:val="00C04B28"/>
    <w:rsid w:val="00C206D0"/>
    <w:rsid w:val="00C25046"/>
    <w:rsid w:val="00C31E2C"/>
    <w:rsid w:val="00C65ACE"/>
    <w:rsid w:val="00C666B5"/>
    <w:rsid w:val="00C77FA2"/>
    <w:rsid w:val="00CC6134"/>
    <w:rsid w:val="00CC79C3"/>
    <w:rsid w:val="00CD1C6A"/>
    <w:rsid w:val="00D1122D"/>
    <w:rsid w:val="00D1567C"/>
    <w:rsid w:val="00D8311B"/>
    <w:rsid w:val="00D86BB6"/>
    <w:rsid w:val="00E104E4"/>
    <w:rsid w:val="00E37E6C"/>
    <w:rsid w:val="00E8773E"/>
    <w:rsid w:val="00EB35FA"/>
    <w:rsid w:val="00ED04C9"/>
    <w:rsid w:val="00EF2BA4"/>
    <w:rsid w:val="00EF590D"/>
    <w:rsid w:val="00F15CDB"/>
    <w:rsid w:val="00F25557"/>
    <w:rsid w:val="00F31A31"/>
    <w:rsid w:val="00F65F9E"/>
    <w:rsid w:val="00F918C1"/>
    <w:rsid w:val="00FA6279"/>
    <w:rsid w:val="00FB0B4D"/>
    <w:rsid w:val="00FC59E5"/>
    <w:rsid w:val="00FE2E54"/>
    <w:rsid w:val="00FF2788"/>
    <w:rsid w:val="06DE2FB2"/>
    <w:rsid w:val="125547BA"/>
    <w:rsid w:val="159E6171"/>
    <w:rsid w:val="19D67A05"/>
    <w:rsid w:val="2ABF7AD1"/>
    <w:rsid w:val="2C21650C"/>
    <w:rsid w:val="36C43C21"/>
    <w:rsid w:val="3A6548D8"/>
    <w:rsid w:val="465325AE"/>
    <w:rsid w:val="4B3F4556"/>
    <w:rsid w:val="553925B4"/>
    <w:rsid w:val="56B12A4C"/>
    <w:rsid w:val="68263B7F"/>
    <w:rsid w:val="69C44BE8"/>
    <w:rsid w:val="7D7035E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1"/>
    <w:basedOn w:val="1"/>
    <w:next w:val="1"/>
    <w:unhideWhenUsed/>
    <w:qFormat/>
    <w:uiPriority w:val="0"/>
    <w:pPr>
      <w:tabs>
        <w:tab w:val="right" w:leader="dot" w:pos="8296"/>
      </w:tabs>
      <w:spacing w:before="100" w:beforeAutospacing="1" w:after="100" w:afterAutospacing="1"/>
      <w:jc w:val="center"/>
    </w:pPr>
    <w:rPr>
      <w:rFonts w:ascii="黑体" w:hAnsi="黑体" w:eastAsia="黑体"/>
      <w:sz w:val="36"/>
      <w:szCs w:val="36"/>
    </w:rPr>
  </w:style>
  <w:style w:type="character" w:styleId="7">
    <w:name w:val="Hyperlink"/>
    <w:unhideWhenUsed/>
    <w:qFormat/>
    <w:uiPriority w:val="0"/>
    <w:rPr>
      <w:rFonts w:hint="default" w:ascii="Times New Roman" w:hAnsi="Times New Roman" w:cs="Times New Roman"/>
      <w:color w:val="0000FF"/>
      <w:u w:val="single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页脚 Char"/>
    <w:basedOn w:val="6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684</Words>
  <Characters>741</Characters>
  <Lines>2</Lines>
  <Paragraphs>1</Paragraphs>
  <TotalTime>1</TotalTime>
  <ScaleCrop>false</ScaleCrop>
  <LinksUpToDate>false</LinksUpToDate>
  <CharactersWithSpaces>743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2021-03-02T02:15:00Z</dcterms:created>
  <dc:creator>陈忠林</dc:creator>
  <cp:lastModifiedBy>罗罗</cp:lastModifiedBy>
  <dcterms:modified xsi:type="dcterms:W3CDTF">2025-05-22T03:02:27Z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40113419B2604E169268698A3B6A6D39</vt:lpwstr>
  </property>
  <property fmtid="{D5CDD505-2E9C-101B-9397-08002B2CF9AE}" pid="4" name="KSOTemplateDocerSaveRecord">
    <vt:lpwstr>eyJoZGlkIjoiNDY0MTM5YWYxZDhhODExNWViZmY0ZDRhNTM4MWU3NTciLCJ1c2VySWQiOiIxNDEwNjcyMDc2In0=</vt:lpwstr>
  </property>
</Properties>
</file>