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小标宋" w:eastAsia="小标宋"/>
          <w:sz w:val="44"/>
          <w:szCs w:val="44"/>
        </w:rPr>
      </w:pPr>
      <w:r>
        <w:rPr>
          <w:rFonts w:hint="eastAsia" w:ascii="小标宋" w:eastAsia="小标宋"/>
          <w:sz w:val="44"/>
          <w:szCs w:val="44"/>
        </w:rPr>
        <w:t>米易县国有林场</w:t>
      </w:r>
    </w:p>
    <w:p>
      <w:pPr>
        <w:spacing w:line="560" w:lineRule="exact"/>
        <w:jc w:val="center"/>
        <w:rPr>
          <w:rFonts w:ascii="小标宋" w:eastAsia="小标宋"/>
          <w:sz w:val="44"/>
          <w:szCs w:val="44"/>
        </w:rPr>
      </w:pPr>
      <w:r>
        <w:rPr>
          <w:rFonts w:hint="eastAsia" w:ascii="小标宋" w:eastAsia="小标宋"/>
          <w:sz w:val="44"/>
          <w:szCs w:val="44"/>
        </w:rPr>
        <w:t>关于20</w:t>
      </w:r>
      <w:r>
        <w:rPr>
          <w:rFonts w:ascii="小标宋" w:eastAsia="小标宋"/>
          <w:sz w:val="44"/>
          <w:szCs w:val="44"/>
        </w:rPr>
        <w:t>2</w:t>
      </w:r>
      <w:r>
        <w:rPr>
          <w:rFonts w:hint="eastAsia" w:ascii="小标宋" w:eastAsia="小标宋"/>
          <w:sz w:val="44"/>
          <w:szCs w:val="44"/>
          <w:lang w:val="en-US" w:eastAsia="zh-CN"/>
        </w:rPr>
        <w:t>5</w:t>
      </w:r>
      <w:r>
        <w:rPr>
          <w:rFonts w:hint="eastAsia" w:ascii="小标宋" w:eastAsia="小标宋"/>
          <w:sz w:val="44"/>
          <w:szCs w:val="44"/>
        </w:rPr>
        <w:t>年单位预算编制的说明</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年部门预算已批复我单位，按照《中华人民共和国预算法》规定，现将我单位202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年预算编制情况说明如下: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一、基本职能及主要工作</w:t>
      </w:r>
    </w:p>
    <w:p>
      <w:pPr>
        <w:widowControl/>
        <w:snapToGrid w:val="0"/>
        <w:spacing w:line="600" w:lineRule="exact"/>
        <w:ind w:firstLine="640"/>
        <w:rPr>
          <w:rFonts w:ascii="黑体" w:hAnsi="黑体" w:eastAsia="黑体"/>
          <w:b/>
          <w:sz w:val="32"/>
          <w:szCs w:val="32"/>
        </w:rPr>
      </w:pPr>
      <w:r>
        <w:rPr>
          <w:rFonts w:hint="eastAsia" w:ascii="黑体" w:hAnsi="黑体" w:eastAsia="黑体"/>
          <w:b/>
          <w:sz w:val="32"/>
          <w:szCs w:val="32"/>
        </w:rPr>
        <w:t>（一）基本职能</w:t>
      </w:r>
    </w:p>
    <w:p>
      <w:pPr>
        <w:widowControl/>
        <w:snapToGrid w:val="0"/>
        <w:spacing w:line="600" w:lineRule="exact"/>
        <w:ind w:firstLine="640"/>
        <w:rPr>
          <w:rFonts w:ascii="仿宋_GB2312" w:eastAsia="仿宋_GB2312"/>
          <w:sz w:val="32"/>
          <w:szCs w:val="32"/>
        </w:rPr>
      </w:pPr>
      <w:r>
        <w:rPr>
          <w:rFonts w:hint="eastAsia" w:ascii="仿宋_GB2312" w:eastAsia="仿宋_GB2312"/>
          <w:sz w:val="32"/>
          <w:szCs w:val="32"/>
        </w:rPr>
        <w:t>主要负责培育和保护县属国有森林资源，确保森林资源总量持续增加、质量持续提升、生态效益持续发挥，更好地为全县生态文明建设服务。</w:t>
      </w:r>
    </w:p>
    <w:p>
      <w:pPr>
        <w:widowControl/>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5</w:t>
      </w:r>
      <w:r>
        <w:rPr>
          <w:rFonts w:hint="eastAsia" w:ascii="黑体" w:hAnsi="黑体" w:eastAsia="黑体" w:cs="黑体"/>
          <w:sz w:val="32"/>
          <w:szCs w:val="32"/>
        </w:rPr>
        <w:t>年主要工作任务</w:t>
      </w:r>
    </w:p>
    <w:p>
      <w:pPr>
        <w:tabs>
          <w:tab w:val="left" w:pos="660"/>
        </w:tabs>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一、加强党建工作。</w:t>
      </w:r>
    </w:p>
    <w:p>
      <w:pPr>
        <w:tabs>
          <w:tab w:val="left" w:pos="660"/>
        </w:tabs>
        <w:rPr>
          <w:rFonts w:hint="eastAsia" w:ascii="仿宋_GB2312" w:eastAsia="仿宋_GB2312"/>
          <w:sz w:val="32"/>
          <w:szCs w:val="32"/>
          <w:lang w:val="en-US" w:eastAsia="zh-CN"/>
        </w:rPr>
      </w:pPr>
      <w:r>
        <w:rPr>
          <w:rFonts w:hint="eastAsia" w:ascii="仿宋_GB2312" w:eastAsia="仿宋_GB2312"/>
          <w:sz w:val="32"/>
          <w:szCs w:val="32"/>
          <w:lang w:val="en-US" w:eastAsia="zh-CN"/>
        </w:rPr>
        <w:tab/>
      </w:r>
      <w:r>
        <w:rPr>
          <w:rFonts w:hint="eastAsia" w:ascii="仿宋_GB2312" w:eastAsia="仿宋_GB2312"/>
          <w:sz w:val="32"/>
          <w:szCs w:val="32"/>
          <w:lang w:val="en-US" w:eastAsia="zh-CN"/>
        </w:rPr>
        <w:t>二、资源管理。多进入林区巡山。</w:t>
      </w:r>
    </w:p>
    <w:p>
      <w:pPr>
        <w:tabs>
          <w:tab w:val="left" w:pos="660"/>
        </w:tabs>
        <w:rPr>
          <w:rFonts w:hint="eastAsia" w:ascii="仿宋_GB2312" w:eastAsia="仿宋_GB2312"/>
          <w:sz w:val="32"/>
          <w:szCs w:val="32"/>
          <w:lang w:val="en-US" w:eastAsia="zh-CN"/>
        </w:rPr>
      </w:pPr>
      <w:r>
        <w:rPr>
          <w:rFonts w:hint="eastAsia" w:cs="Times New Roman"/>
          <w:kern w:val="2"/>
          <w:sz w:val="21"/>
          <w:szCs w:val="22"/>
          <w:lang w:val="en-US" w:eastAsia="zh-CN" w:bidi="ar-SA"/>
        </w:rPr>
        <w:tab/>
      </w:r>
      <w:r>
        <w:rPr>
          <w:rFonts w:hint="eastAsia" w:ascii="仿宋_GB2312" w:eastAsia="仿宋_GB2312"/>
          <w:sz w:val="32"/>
          <w:szCs w:val="32"/>
          <w:lang w:val="en-US" w:eastAsia="zh-CN"/>
        </w:rPr>
        <w:t>三、护林防火。加强防火宣传，争取在本防护期自管部分不发生森林火情。</w:t>
      </w:r>
    </w:p>
    <w:p>
      <w:pPr>
        <w:tabs>
          <w:tab w:val="left" w:pos="660"/>
        </w:tabs>
        <w:rPr>
          <w:rFonts w:hint="eastAsia" w:ascii="仿宋_GB2312" w:eastAsia="仿宋_GB2312"/>
          <w:sz w:val="32"/>
          <w:szCs w:val="32"/>
          <w:lang w:val="en-US" w:eastAsia="zh-CN"/>
        </w:rPr>
      </w:pPr>
      <w:r>
        <w:rPr>
          <w:rFonts w:hint="eastAsia" w:ascii="仿宋_GB2312" w:eastAsia="仿宋_GB2312"/>
          <w:sz w:val="32"/>
          <w:szCs w:val="32"/>
          <w:lang w:val="en-US" w:eastAsia="zh-CN"/>
        </w:rPr>
        <w:tab/>
      </w:r>
      <w:r>
        <w:rPr>
          <w:rFonts w:hint="eastAsia" w:ascii="仿宋_GB2312" w:eastAsia="仿宋_GB2312"/>
          <w:sz w:val="32"/>
          <w:szCs w:val="32"/>
          <w:lang w:val="en-US" w:eastAsia="zh-CN"/>
        </w:rPr>
        <w:t>四、安全生产。加强安全隐患排查，及时消除隐患。</w:t>
      </w:r>
    </w:p>
    <w:p>
      <w:pPr>
        <w:tabs>
          <w:tab w:val="left" w:pos="660"/>
        </w:tabs>
        <w:rPr>
          <w:rFonts w:hint="eastAsia" w:ascii="仿宋_GB2312" w:eastAsia="仿宋_GB2312"/>
          <w:sz w:val="32"/>
          <w:szCs w:val="32"/>
          <w:lang w:val="en-US" w:eastAsia="zh-CN"/>
        </w:rPr>
      </w:pPr>
      <w:r>
        <w:rPr>
          <w:rFonts w:hint="eastAsia" w:ascii="仿宋_GB2312" w:eastAsia="仿宋_GB2312"/>
          <w:sz w:val="32"/>
          <w:szCs w:val="32"/>
          <w:lang w:val="en-US" w:eastAsia="zh-CN"/>
        </w:rPr>
        <w:tab/>
      </w:r>
      <w:r>
        <w:rPr>
          <w:rFonts w:hint="eastAsia" w:ascii="仿宋_GB2312" w:eastAsia="仿宋_GB2312"/>
          <w:sz w:val="32"/>
          <w:szCs w:val="32"/>
          <w:lang w:val="en-US" w:eastAsia="zh-CN"/>
        </w:rPr>
        <w:t>五、积极争取符合林场发展的上级项目。</w:t>
      </w:r>
    </w:p>
    <w:p>
      <w:pPr>
        <w:tabs>
          <w:tab w:val="left" w:pos="660"/>
        </w:tabs>
        <w:rPr>
          <w:rFonts w:hint="default" w:ascii="仿宋_GB2312" w:eastAsia="仿宋_GB2312"/>
          <w:sz w:val="32"/>
          <w:szCs w:val="32"/>
          <w:lang w:val="en-US" w:eastAsia="zh-CN"/>
        </w:rPr>
      </w:pPr>
      <w:r>
        <w:rPr>
          <w:rFonts w:hint="eastAsia" w:ascii="仿宋_GB2312" w:eastAsia="仿宋_GB2312"/>
          <w:sz w:val="32"/>
          <w:szCs w:val="32"/>
          <w:lang w:val="en-US" w:eastAsia="zh-CN"/>
        </w:rPr>
        <w:tab/>
      </w:r>
      <w:r>
        <w:rPr>
          <w:rFonts w:hint="eastAsia" w:ascii="仿宋_GB2312" w:eastAsia="仿宋_GB2312"/>
          <w:sz w:val="32"/>
          <w:szCs w:val="32"/>
          <w:lang w:val="en-US" w:eastAsia="zh-CN"/>
        </w:rPr>
        <w:t>六、退休人员管理。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二、机构设置情况</w:t>
      </w:r>
    </w:p>
    <w:p>
      <w:pPr>
        <w:spacing w:line="560" w:lineRule="exact"/>
        <w:ind w:firstLine="640" w:firstLineChars="200"/>
        <w:rPr>
          <w:rFonts w:hint="eastAsia" w:ascii="黑体" w:hAnsi="黑体" w:eastAsia="仿宋_GB2312"/>
          <w:sz w:val="32"/>
          <w:szCs w:val="32"/>
          <w:lang w:eastAsia="zh-CN"/>
        </w:rPr>
      </w:pPr>
      <w:r>
        <w:rPr>
          <w:rFonts w:hint="eastAsia" w:eastAsia="仿宋_GB2312"/>
          <w:sz w:val="32"/>
          <w:szCs w:val="32"/>
        </w:rPr>
        <w:t>米易县国有林场是县林业局下属二级独立核算单位，核定编制24名，现实有在职人员</w:t>
      </w:r>
      <w:r>
        <w:rPr>
          <w:rFonts w:hint="eastAsia" w:eastAsia="仿宋_GB2312"/>
          <w:sz w:val="32"/>
          <w:szCs w:val="32"/>
          <w:lang w:val="en-US" w:eastAsia="zh-CN"/>
        </w:rPr>
        <w:t>18</w:t>
      </w:r>
      <w:r>
        <w:rPr>
          <w:rFonts w:hint="eastAsia" w:eastAsia="仿宋_GB2312"/>
          <w:sz w:val="32"/>
          <w:szCs w:val="32"/>
        </w:rPr>
        <w:t>名，退休人员</w:t>
      </w:r>
      <w:r>
        <w:rPr>
          <w:rFonts w:hint="eastAsia" w:eastAsia="仿宋_GB2312"/>
          <w:sz w:val="32"/>
          <w:szCs w:val="32"/>
          <w:lang w:val="en-US" w:eastAsia="zh-CN"/>
        </w:rPr>
        <w:t>78</w:t>
      </w:r>
      <w:r>
        <w:rPr>
          <w:rFonts w:hint="eastAsia" w:eastAsia="仿宋_GB2312"/>
          <w:sz w:val="32"/>
          <w:szCs w:val="32"/>
        </w:rPr>
        <w:t>名，遗属人员2</w:t>
      </w:r>
      <w:r>
        <w:rPr>
          <w:rFonts w:hint="eastAsia" w:eastAsia="仿宋_GB2312"/>
          <w:sz w:val="32"/>
          <w:szCs w:val="32"/>
          <w:lang w:val="en-US" w:eastAsia="zh-CN"/>
        </w:rPr>
        <w:t>3</w:t>
      </w:r>
      <w:r>
        <w:rPr>
          <w:rFonts w:hint="eastAsia" w:eastAsia="仿宋_GB2312"/>
          <w:sz w:val="32"/>
          <w:szCs w:val="32"/>
        </w:rPr>
        <w:t>名，车辆编制1个，实有车辆1辆</w:t>
      </w:r>
      <w:r>
        <w:rPr>
          <w:rFonts w:hint="eastAsia" w:eastAsia="仿宋_GB2312"/>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三、收支预算总体情况</w:t>
      </w:r>
    </w:p>
    <w:p>
      <w:pPr>
        <w:spacing w:line="560" w:lineRule="exact"/>
        <w:ind w:firstLine="640"/>
        <w:rPr>
          <w:rFonts w:ascii="仿宋_GB2312" w:eastAsia="仿宋_GB2312" w:cs="仿宋_GB2312"/>
          <w:sz w:val="32"/>
          <w:szCs w:val="32"/>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年米易县国有林场收入预算总额为</w:t>
      </w:r>
      <w:r>
        <w:rPr>
          <w:rFonts w:hint="eastAsia" w:ascii="仿宋_GB2312" w:eastAsia="仿宋_GB2312" w:cs="仿宋_GB2312"/>
          <w:sz w:val="32"/>
          <w:szCs w:val="32"/>
          <w:lang w:val="en-US" w:eastAsia="zh-CN"/>
        </w:rPr>
        <w:t>5726502.28</w:t>
      </w:r>
      <w:r>
        <w:rPr>
          <w:rFonts w:hint="eastAsia" w:ascii="仿宋_GB2312" w:eastAsia="仿宋_GB2312" w:cs="仿宋_GB2312"/>
          <w:sz w:val="32"/>
          <w:szCs w:val="32"/>
        </w:rPr>
        <w:t>元，其中：工资福利支出</w:t>
      </w:r>
      <w:r>
        <w:rPr>
          <w:rFonts w:hint="eastAsia" w:ascii="仿宋_GB2312" w:eastAsia="仿宋_GB2312" w:cs="仿宋_GB2312"/>
          <w:sz w:val="32"/>
          <w:szCs w:val="32"/>
          <w:lang w:val="en-US" w:eastAsia="zh-CN"/>
        </w:rPr>
        <w:t>4661146.56</w:t>
      </w:r>
      <w:r>
        <w:rPr>
          <w:rFonts w:hint="eastAsia" w:ascii="仿宋_GB2312" w:eastAsia="仿宋_GB2312" w:cs="仿宋_GB2312"/>
          <w:sz w:val="32"/>
          <w:szCs w:val="32"/>
        </w:rPr>
        <w:t>元，日常公用支出</w:t>
      </w:r>
      <w:r>
        <w:rPr>
          <w:rFonts w:hint="eastAsia" w:ascii="仿宋_GB2312" w:eastAsia="仿宋_GB2312" w:cs="仿宋_GB2312"/>
          <w:sz w:val="32"/>
          <w:szCs w:val="32"/>
          <w:lang w:val="en-US" w:eastAsia="zh-CN"/>
        </w:rPr>
        <w:t>408474</w:t>
      </w:r>
      <w:r>
        <w:rPr>
          <w:rFonts w:hint="eastAsia" w:ascii="仿宋_GB2312" w:eastAsia="仿宋_GB2312" w:cs="仿宋_GB2312"/>
          <w:sz w:val="32"/>
          <w:szCs w:val="32"/>
        </w:rPr>
        <w:t>元，项目支出</w:t>
      </w:r>
      <w:r>
        <w:rPr>
          <w:rFonts w:hint="eastAsia" w:ascii="仿宋_GB2312" w:eastAsia="仿宋_GB2312" w:cs="仿宋_GB2312"/>
          <w:sz w:val="32"/>
          <w:szCs w:val="32"/>
          <w:lang w:val="en-US" w:eastAsia="zh-CN"/>
        </w:rPr>
        <w:t>656881.72</w:t>
      </w:r>
      <w:r>
        <w:rPr>
          <w:rFonts w:hint="eastAsia" w:ascii="仿宋_GB2312" w:eastAsia="仿宋_GB2312" w:cs="仿宋_GB2312"/>
          <w:sz w:val="32"/>
          <w:szCs w:val="32"/>
        </w:rPr>
        <w:t>元。较202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年预算减少</w:t>
      </w:r>
      <w:r>
        <w:rPr>
          <w:rFonts w:hint="eastAsia" w:ascii="仿宋_GB2312" w:eastAsia="仿宋_GB2312" w:cs="仿宋_GB2312"/>
          <w:sz w:val="32"/>
          <w:szCs w:val="32"/>
          <w:lang w:val="en-US" w:eastAsia="zh-CN"/>
        </w:rPr>
        <w:t>11.26</w:t>
      </w:r>
      <w:r>
        <w:rPr>
          <w:rFonts w:hint="eastAsia" w:ascii="仿宋_GB2312" w:eastAsia="仿宋_GB2312" w:cs="仿宋_GB2312"/>
          <w:sz w:val="32"/>
          <w:szCs w:val="32"/>
        </w:rPr>
        <w:t>%，主要原因是</w:t>
      </w:r>
      <w:r>
        <w:rPr>
          <w:rFonts w:hint="eastAsia" w:ascii="仿宋_GB2312" w:eastAsia="仿宋_GB2312" w:cs="仿宋_GB2312"/>
          <w:sz w:val="32"/>
          <w:szCs w:val="32"/>
          <w:lang w:eastAsia="zh-CN"/>
        </w:rPr>
        <w:t>人员减少、</w:t>
      </w:r>
      <w:r>
        <w:rPr>
          <w:rFonts w:hint="eastAsia" w:ascii="仿宋_GB2312" w:eastAsia="仿宋_GB2312" w:cs="仿宋_GB2312"/>
          <w:sz w:val="32"/>
          <w:szCs w:val="32"/>
        </w:rPr>
        <w:t>项目预算减少，相应减少了支出。</w:t>
      </w:r>
    </w:p>
    <w:p>
      <w:pPr>
        <w:spacing w:line="560" w:lineRule="exact"/>
        <w:ind w:firstLine="640"/>
        <w:rPr>
          <w:rFonts w:ascii="仿宋_GB2312" w:eastAsia="仿宋_GB2312" w:cs="仿宋_GB2312"/>
          <w:sz w:val="32"/>
          <w:szCs w:val="32"/>
        </w:rPr>
      </w:pPr>
      <w:r>
        <w:rPr>
          <w:rFonts w:hint="eastAsia" w:ascii="仿宋_GB2312" w:eastAsia="仿宋_GB2312" w:cs="仿宋_GB2312"/>
          <w:sz w:val="32"/>
          <w:szCs w:val="32"/>
        </w:rPr>
        <w:t>（一）收入预算情况。</w:t>
      </w:r>
    </w:p>
    <w:p>
      <w:pPr>
        <w:spacing w:line="560" w:lineRule="exact"/>
        <w:ind w:firstLine="640"/>
        <w:rPr>
          <w:rFonts w:ascii="仿宋_GB2312" w:eastAsia="仿宋_GB2312" w:cs="仿宋_GB2312"/>
          <w:sz w:val="32"/>
          <w:szCs w:val="32"/>
        </w:rPr>
      </w:pPr>
      <w:r>
        <w:rPr>
          <w:rFonts w:hint="eastAsia" w:ascii="仿宋_GB2312" w:eastAsia="仿宋_GB2312" w:cs="仿宋_GB2312"/>
          <w:sz w:val="32"/>
          <w:szCs w:val="32"/>
        </w:rPr>
        <w:t>县国有林场202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年收入预算</w:t>
      </w:r>
      <w:r>
        <w:rPr>
          <w:rFonts w:hint="eastAsia" w:ascii="仿宋_GB2312" w:eastAsia="仿宋_GB2312" w:cs="仿宋_GB2312"/>
          <w:sz w:val="32"/>
          <w:szCs w:val="32"/>
          <w:lang w:val="en-US" w:eastAsia="zh-CN"/>
        </w:rPr>
        <w:t>5726502.28</w:t>
      </w:r>
      <w:r>
        <w:rPr>
          <w:rFonts w:hint="eastAsia" w:ascii="仿宋_GB2312" w:eastAsia="仿宋_GB2312" w:cs="仿宋_GB2312"/>
          <w:sz w:val="32"/>
          <w:szCs w:val="32"/>
        </w:rPr>
        <w:t>元，其中：一般公共预算拨款收入</w:t>
      </w:r>
      <w:r>
        <w:rPr>
          <w:rFonts w:hint="eastAsia" w:ascii="仿宋_GB2312" w:eastAsia="仿宋_GB2312" w:cs="仿宋_GB2312"/>
          <w:sz w:val="32"/>
          <w:szCs w:val="32"/>
          <w:lang w:val="en-US" w:eastAsia="zh-CN"/>
        </w:rPr>
        <w:t>5726502.28</w:t>
      </w:r>
      <w:r>
        <w:rPr>
          <w:rFonts w:hint="eastAsia" w:ascii="仿宋_GB2312" w:eastAsia="仿宋_GB2312" w:cs="仿宋_GB2312"/>
          <w:sz w:val="32"/>
          <w:szCs w:val="32"/>
        </w:rPr>
        <w:t>元，占100%。</w:t>
      </w:r>
    </w:p>
    <w:p>
      <w:pPr>
        <w:spacing w:line="560" w:lineRule="exact"/>
        <w:ind w:firstLine="640"/>
        <w:rPr>
          <w:rFonts w:ascii="仿宋_GB2312" w:eastAsia="仿宋_GB2312" w:cs="仿宋_GB2312"/>
          <w:sz w:val="32"/>
          <w:szCs w:val="32"/>
        </w:rPr>
      </w:pPr>
      <w:r>
        <w:rPr>
          <w:rFonts w:hint="eastAsia" w:ascii="仿宋_GB2312" w:eastAsia="仿宋_GB2312" w:cs="仿宋_GB2312"/>
          <w:sz w:val="32"/>
          <w:szCs w:val="32"/>
        </w:rPr>
        <w:t>（二）支出预算情况。</w:t>
      </w:r>
    </w:p>
    <w:p>
      <w:pPr>
        <w:spacing w:line="560" w:lineRule="exact"/>
        <w:ind w:firstLine="640"/>
        <w:rPr>
          <w:rFonts w:eastAsia="仿宋_GB2312" w:cs="仿宋_GB2312"/>
          <w:sz w:val="32"/>
          <w:szCs w:val="32"/>
        </w:rPr>
      </w:pPr>
      <w:r>
        <w:rPr>
          <w:rFonts w:hint="eastAsia" w:ascii="仿宋_GB2312" w:eastAsia="仿宋_GB2312" w:cs="仿宋_GB2312"/>
          <w:sz w:val="32"/>
          <w:szCs w:val="32"/>
        </w:rPr>
        <w:t>县国有林场202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年支出预算</w:t>
      </w:r>
      <w:r>
        <w:rPr>
          <w:rFonts w:hint="eastAsia" w:ascii="仿宋_GB2312" w:eastAsia="仿宋_GB2312" w:cs="仿宋_GB2312"/>
          <w:sz w:val="32"/>
          <w:szCs w:val="32"/>
          <w:lang w:val="en-US" w:eastAsia="zh-CN"/>
        </w:rPr>
        <w:t>5726502.28</w:t>
      </w:r>
      <w:r>
        <w:rPr>
          <w:rFonts w:hint="eastAsia" w:ascii="仿宋_GB2312" w:eastAsia="仿宋_GB2312" w:cs="仿宋_GB2312"/>
          <w:sz w:val="32"/>
          <w:szCs w:val="32"/>
        </w:rPr>
        <w:t>元，其中：基本支出</w:t>
      </w:r>
      <w:r>
        <w:rPr>
          <w:rFonts w:hint="eastAsia" w:ascii="仿宋_GB2312" w:eastAsia="仿宋_GB2312" w:cs="仿宋_GB2312"/>
          <w:sz w:val="32"/>
          <w:szCs w:val="32"/>
          <w:lang w:val="en-US" w:eastAsia="zh-CN"/>
        </w:rPr>
        <w:t>5069620.56</w:t>
      </w:r>
      <w:r>
        <w:rPr>
          <w:rFonts w:hint="eastAsia" w:ascii="仿宋_GB2312" w:eastAsia="仿宋_GB2312" w:cs="仿宋_GB2312"/>
          <w:sz w:val="32"/>
          <w:szCs w:val="32"/>
        </w:rPr>
        <w:t>元，占</w:t>
      </w:r>
      <w:r>
        <w:rPr>
          <w:rFonts w:hint="eastAsia" w:ascii="仿宋_GB2312" w:eastAsia="仿宋_GB2312" w:cs="仿宋_GB2312"/>
          <w:sz w:val="32"/>
          <w:szCs w:val="32"/>
          <w:lang w:val="en-US" w:eastAsia="zh-CN"/>
        </w:rPr>
        <w:t>88.52</w:t>
      </w:r>
      <w:r>
        <w:rPr>
          <w:rFonts w:hint="eastAsia" w:ascii="仿宋_GB2312" w:eastAsia="仿宋_GB2312" w:cs="仿宋_GB2312"/>
          <w:sz w:val="32"/>
          <w:szCs w:val="32"/>
        </w:rPr>
        <w:t>%；项目支出</w:t>
      </w:r>
      <w:r>
        <w:rPr>
          <w:rFonts w:hint="eastAsia" w:ascii="仿宋_GB2312" w:eastAsia="仿宋_GB2312" w:cs="仿宋_GB2312"/>
          <w:sz w:val="32"/>
          <w:szCs w:val="32"/>
          <w:lang w:val="en-US" w:eastAsia="zh-CN"/>
        </w:rPr>
        <w:t>656881.72</w:t>
      </w:r>
      <w:r>
        <w:rPr>
          <w:rFonts w:hint="eastAsia" w:ascii="仿宋_GB2312" w:eastAsia="仿宋_GB2312" w:cs="仿宋_GB2312"/>
          <w:sz w:val="32"/>
          <w:szCs w:val="32"/>
        </w:rPr>
        <w:t>元，占</w:t>
      </w:r>
      <w:r>
        <w:rPr>
          <w:rFonts w:hint="eastAsia" w:ascii="仿宋_GB2312" w:eastAsia="仿宋_GB2312" w:cs="仿宋_GB2312"/>
          <w:sz w:val="32"/>
          <w:szCs w:val="32"/>
          <w:lang w:val="en-US" w:eastAsia="zh-CN"/>
        </w:rPr>
        <w:t>11.48</w:t>
      </w:r>
      <w:r>
        <w:rPr>
          <w:rFonts w:hint="eastAsia" w:ascii="仿宋_GB2312" w:eastAsia="仿宋_GB2312" w:cs="仿宋_GB2312"/>
          <w:sz w:val="32"/>
          <w:szCs w:val="32"/>
        </w:rPr>
        <w:t>%</w:t>
      </w:r>
      <w:r>
        <w:rPr>
          <w:rFonts w:hint="eastAsia" w:eastAsia="仿宋_GB2312" w:cs="仿宋_GB2312"/>
          <w:sz w:val="32"/>
          <w:szCs w:val="32"/>
        </w:rPr>
        <w:t>。</w:t>
      </w:r>
    </w:p>
    <w:p>
      <w:pPr>
        <w:spacing w:line="560" w:lineRule="exact"/>
        <w:ind w:firstLine="640"/>
        <w:rPr>
          <w:rFonts w:ascii="黑体" w:hAnsi="黑体" w:eastAsia="黑体" w:cs="仿宋_GB2312"/>
          <w:sz w:val="32"/>
          <w:szCs w:val="32"/>
        </w:rPr>
      </w:pPr>
      <w:r>
        <w:rPr>
          <w:rFonts w:hint="eastAsia" w:ascii="黑体" w:hAnsi="黑体" w:eastAsia="黑体" w:cs="仿宋_GB2312"/>
          <w:sz w:val="32"/>
          <w:szCs w:val="32"/>
        </w:rPr>
        <w:t>四、财政拨款收支预算情况说明</w:t>
      </w:r>
    </w:p>
    <w:p>
      <w:pPr>
        <w:spacing w:line="560" w:lineRule="exact"/>
        <w:ind w:firstLine="640"/>
        <w:rPr>
          <w:rFonts w:ascii="仿宋_GB2312" w:hAnsi="黑体" w:eastAsia="仿宋_GB2312" w:cs="仿宋_GB2312"/>
          <w:sz w:val="32"/>
          <w:szCs w:val="32"/>
        </w:rPr>
      </w:pPr>
      <w:r>
        <w:rPr>
          <w:rFonts w:hint="eastAsia" w:ascii="仿宋_GB2312" w:hAnsi="黑体" w:eastAsia="仿宋_GB2312" w:cs="仿宋_GB2312"/>
          <w:sz w:val="32"/>
          <w:szCs w:val="32"/>
        </w:rPr>
        <w:t>国有林场202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年财政拨款收支总预算</w:t>
      </w:r>
      <w:r>
        <w:rPr>
          <w:rFonts w:hint="eastAsia" w:ascii="仿宋_GB2312" w:eastAsia="仿宋_GB2312" w:cs="仿宋_GB2312"/>
          <w:sz w:val="32"/>
          <w:szCs w:val="32"/>
          <w:lang w:val="en-US" w:eastAsia="zh-CN"/>
        </w:rPr>
        <w:t>5726502.28</w:t>
      </w:r>
      <w:r>
        <w:rPr>
          <w:rFonts w:hint="eastAsia" w:ascii="仿宋_GB2312" w:hAnsi="黑体" w:eastAsia="仿宋_GB2312" w:cs="仿宋_GB2312"/>
          <w:sz w:val="32"/>
          <w:szCs w:val="32"/>
        </w:rPr>
        <w:t>元。本年一般公共预算拨款收入</w:t>
      </w:r>
      <w:r>
        <w:rPr>
          <w:rFonts w:hint="eastAsia" w:ascii="仿宋_GB2312" w:eastAsia="仿宋_GB2312" w:cs="仿宋_GB2312"/>
          <w:sz w:val="32"/>
          <w:szCs w:val="32"/>
          <w:lang w:val="en-US" w:eastAsia="zh-CN"/>
        </w:rPr>
        <w:t>5726502.28</w:t>
      </w:r>
      <w:r>
        <w:rPr>
          <w:rFonts w:hint="eastAsia" w:ascii="仿宋_GB2312" w:hAnsi="黑体" w:eastAsia="仿宋_GB2312" w:cs="仿宋_GB2312"/>
          <w:sz w:val="32"/>
          <w:szCs w:val="32"/>
        </w:rPr>
        <w:t>元。支出包括：社会保障和就业支出</w:t>
      </w:r>
      <w:r>
        <w:rPr>
          <w:rFonts w:hint="eastAsia" w:ascii="仿宋_GB2312" w:hAnsi="黑体" w:eastAsia="仿宋_GB2312" w:cs="仿宋_GB2312"/>
          <w:sz w:val="32"/>
          <w:szCs w:val="32"/>
          <w:lang w:val="en-US" w:eastAsia="zh-CN"/>
        </w:rPr>
        <w:t>1395338</w:t>
      </w:r>
      <w:r>
        <w:rPr>
          <w:rFonts w:hint="eastAsia" w:ascii="仿宋_GB2312" w:hAnsi="黑体" w:eastAsia="仿宋_GB2312" w:cs="仿宋_GB2312"/>
          <w:sz w:val="32"/>
          <w:szCs w:val="32"/>
        </w:rPr>
        <w:t>元、卫生健康支出</w:t>
      </w:r>
      <w:r>
        <w:rPr>
          <w:rFonts w:hint="eastAsia" w:ascii="仿宋_GB2312" w:hAnsi="黑体" w:eastAsia="仿宋_GB2312" w:cs="仿宋_GB2312"/>
          <w:sz w:val="32"/>
          <w:szCs w:val="32"/>
          <w:lang w:val="en-US" w:eastAsia="zh-CN"/>
        </w:rPr>
        <w:t>381515</w:t>
      </w:r>
      <w:r>
        <w:rPr>
          <w:rFonts w:hint="eastAsia" w:ascii="仿宋_GB2312" w:hAnsi="黑体" w:eastAsia="仿宋_GB2312" w:cs="仿宋_GB2312"/>
          <w:sz w:val="32"/>
          <w:szCs w:val="32"/>
        </w:rPr>
        <w:t>元、农林水支出</w:t>
      </w:r>
      <w:r>
        <w:rPr>
          <w:rFonts w:hint="eastAsia" w:ascii="仿宋_GB2312" w:hAnsi="黑体" w:eastAsia="仿宋_GB2312" w:cs="仿宋_GB2312"/>
          <w:sz w:val="32"/>
          <w:szCs w:val="32"/>
          <w:lang w:val="en-US" w:eastAsia="zh-CN"/>
        </w:rPr>
        <w:t>3670193.28</w:t>
      </w:r>
      <w:r>
        <w:rPr>
          <w:rFonts w:hint="eastAsia" w:ascii="仿宋_GB2312" w:hAnsi="黑体" w:eastAsia="仿宋_GB2312" w:cs="仿宋_GB2312"/>
          <w:sz w:val="32"/>
          <w:szCs w:val="32"/>
        </w:rPr>
        <w:t>元，住房保障支出</w:t>
      </w:r>
      <w:r>
        <w:rPr>
          <w:rFonts w:hint="eastAsia" w:ascii="仿宋_GB2312" w:hAnsi="黑体" w:eastAsia="仿宋_GB2312" w:cs="仿宋_GB2312"/>
          <w:sz w:val="32"/>
          <w:szCs w:val="32"/>
          <w:lang w:val="en-US" w:eastAsia="zh-CN"/>
        </w:rPr>
        <w:t>279456</w:t>
      </w:r>
      <w:r>
        <w:rPr>
          <w:rFonts w:hint="eastAsia" w:ascii="仿宋_GB2312" w:hAnsi="黑体" w:eastAsia="仿宋_GB2312" w:cs="仿宋_GB2312"/>
          <w:sz w:val="32"/>
          <w:szCs w:val="32"/>
        </w:rPr>
        <w:t>元。</w:t>
      </w:r>
    </w:p>
    <w:p>
      <w:pPr>
        <w:spacing w:line="560" w:lineRule="exact"/>
        <w:ind w:firstLine="640"/>
        <w:rPr>
          <w:rFonts w:ascii="黑体" w:hAnsi="黑体" w:eastAsia="黑体"/>
          <w:color w:val="333333"/>
          <w:sz w:val="32"/>
          <w:szCs w:val="32"/>
          <w:shd w:val="clear" w:color="auto" w:fill="FFFFFF"/>
        </w:rPr>
      </w:pPr>
      <w:r>
        <w:rPr>
          <w:rFonts w:hint="eastAsia" w:ascii="黑体" w:hAnsi="黑体" w:eastAsia="黑体" w:cs="黑体"/>
          <w:sz w:val="32"/>
          <w:szCs w:val="32"/>
        </w:rPr>
        <w:t>五、</w:t>
      </w:r>
      <w:r>
        <w:rPr>
          <w:rFonts w:hint="eastAsia" w:ascii="黑体" w:hAnsi="黑体" w:eastAsia="黑体"/>
          <w:color w:val="333333"/>
          <w:sz w:val="32"/>
          <w:szCs w:val="32"/>
          <w:shd w:val="clear" w:color="auto" w:fill="FFFFFF"/>
        </w:rPr>
        <w:t>一般公共预算当年拨款情况说明</w:t>
      </w:r>
    </w:p>
    <w:p>
      <w:pPr>
        <w:pStyle w:val="6"/>
        <w:shd w:val="clear" w:color="auto" w:fill="FFFFFF"/>
        <w:spacing w:before="93" w:beforeAutospacing="0" w:after="255" w:afterAutospacing="0"/>
        <w:ind w:firstLine="640" w:firstLineChars="200"/>
        <w:rPr>
          <w:rFonts w:hint="eastAsia" w:ascii="微软雅黑" w:hAnsi="微软雅黑" w:eastAsia="微软雅黑"/>
          <w:color w:val="333333"/>
          <w:sz w:val="27"/>
          <w:szCs w:val="27"/>
        </w:rPr>
      </w:pPr>
      <w:r>
        <w:rPr>
          <w:rFonts w:hint="eastAsia" w:ascii="仿宋_GB2312" w:hAnsi="微软雅黑" w:eastAsia="仿宋_GB2312"/>
          <w:color w:val="333333"/>
          <w:sz w:val="32"/>
          <w:szCs w:val="32"/>
        </w:rPr>
        <w:t>（一）一般公共预算当年拨款规模变化情况</w:t>
      </w:r>
      <w:r>
        <w:rPr>
          <w:rFonts w:hint="eastAsia" w:ascii="微软雅黑" w:hAnsi="微软雅黑" w:eastAsia="微软雅黑"/>
          <w:color w:val="333333"/>
          <w:sz w:val="27"/>
          <w:szCs w:val="27"/>
        </w:rPr>
        <w:t>。</w:t>
      </w:r>
    </w:p>
    <w:p>
      <w:pPr>
        <w:pStyle w:val="6"/>
        <w:shd w:val="clear" w:color="auto" w:fill="FFFFFF"/>
        <w:spacing w:before="93" w:beforeAutospacing="0" w:after="255" w:afterAutospacing="0"/>
        <w:ind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国有林场202</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年一般公共预算当年拨款</w:t>
      </w:r>
      <w:r>
        <w:rPr>
          <w:rFonts w:hint="eastAsia" w:ascii="仿宋_GB2312" w:eastAsia="仿宋_GB2312" w:cs="仿宋_GB2312"/>
          <w:sz w:val="32"/>
          <w:szCs w:val="32"/>
          <w:lang w:val="en-US" w:eastAsia="zh-CN"/>
        </w:rPr>
        <w:t>5726502.28</w:t>
      </w:r>
      <w:r>
        <w:rPr>
          <w:rFonts w:hint="eastAsia" w:ascii="仿宋_GB2312" w:hAnsi="微软雅黑" w:eastAsia="仿宋_GB2312"/>
          <w:color w:val="333333"/>
          <w:sz w:val="32"/>
          <w:szCs w:val="32"/>
        </w:rPr>
        <w:t>元，比202</w:t>
      </w:r>
      <w:r>
        <w:rPr>
          <w:rFonts w:hint="eastAsia" w:ascii="仿宋_GB2312" w:hAnsi="微软雅黑" w:eastAsia="仿宋_GB2312"/>
          <w:color w:val="333333"/>
          <w:sz w:val="32"/>
          <w:szCs w:val="32"/>
          <w:lang w:val="en-US" w:eastAsia="zh-CN"/>
        </w:rPr>
        <w:t>4</w:t>
      </w:r>
      <w:r>
        <w:rPr>
          <w:rFonts w:hint="eastAsia" w:ascii="仿宋_GB2312" w:hAnsi="微软雅黑" w:eastAsia="仿宋_GB2312"/>
          <w:color w:val="333333"/>
          <w:sz w:val="32"/>
          <w:szCs w:val="32"/>
        </w:rPr>
        <w:t>年预算数减少</w:t>
      </w:r>
      <w:r>
        <w:rPr>
          <w:rFonts w:hint="eastAsia" w:ascii="仿宋_GB2312" w:hAnsi="微软雅黑" w:eastAsia="仿宋_GB2312"/>
          <w:color w:val="333333"/>
          <w:sz w:val="32"/>
          <w:szCs w:val="32"/>
          <w:lang w:val="en-US" w:eastAsia="zh-CN"/>
        </w:rPr>
        <w:t>727146.26</w:t>
      </w:r>
      <w:r>
        <w:rPr>
          <w:rFonts w:hint="eastAsia" w:ascii="仿宋_GB2312" w:hAnsi="微软雅黑" w:eastAsia="仿宋_GB2312"/>
          <w:color w:val="333333"/>
          <w:sz w:val="32"/>
          <w:szCs w:val="32"/>
        </w:rPr>
        <w:t>元，主要是项目预算和人员预算减少。</w:t>
      </w:r>
    </w:p>
    <w:p>
      <w:pPr>
        <w:pStyle w:val="6"/>
        <w:shd w:val="clear" w:color="auto" w:fill="FFFFFF"/>
        <w:spacing w:before="93" w:beforeAutospacing="0" w:after="255" w:afterAutospacing="0"/>
        <w:ind w:firstLine="6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（二）一般公共预算当年拨款结构情况。</w:t>
      </w:r>
    </w:p>
    <w:p>
      <w:pPr>
        <w:pStyle w:val="6"/>
        <w:shd w:val="clear" w:color="auto" w:fill="FFFFFF"/>
        <w:spacing w:before="93" w:beforeAutospacing="0" w:after="255" w:afterAutospacing="0"/>
        <w:ind w:firstLine="600"/>
        <w:rPr>
          <w:rFonts w:ascii="仿宋_GB2312" w:hAnsi="微软雅黑" w:eastAsia="仿宋_GB2312"/>
          <w:color w:val="333333"/>
          <w:sz w:val="32"/>
          <w:szCs w:val="32"/>
        </w:rPr>
      </w:pPr>
      <w:r>
        <w:rPr>
          <w:rFonts w:hint="eastAsia" w:ascii="仿宋_GB2312" w:hAnsi="黑体" w:eastAsia="仿宋_GB2312" w:cs="仿宋_GB2312"/>
          <w:sz w:val="32"/>
          <w:szCs w:val="32"/>
        </w:rPr>
        <w:t>社会保障和就业支出</w:t>
      </w:r>
      <w:r>
        <w:rPr>
          <w:rFonts w:hint="eastAsia" w:ascii="仿宋_GB2312" w:hAnsi="黑体" w:eastAsia="仿宋_GB2312" w:cs="仿宋_GB2312"/>
          <w:sz w:val="32"/>
          <w:szCs w:val="32"/>
          <w:lang w:val="en-US" w:eastAsia="zh-CN"/>
        </w:rPr>
        <w:t>1395338</w:t>
      </w:r>
      <w:r>
        <w:rPr>
          <w:rFonts w:hint="eastAsia" w:ascii="仿宋_GB2312" w:hAnsi="黑体" w:eastAsia="仿宋_GB2312" w:cs="仿宋_GB2312"/>
          <w:sz w:val="32"/>
          <w:szCs w:val="32"/>
        </w:rPr>
        <w:t>元，占</w:t>
      </w:r>
      <w:r>
        <w:rPr>
          <w:rFonts w:hint="eastAsia" w:ascii="仿宋_GB2312" w:hAnsi="黑体" w:eastAsia="仿宋_GB2312" w:cs="仿宋_GB2312"/>
          <w:sz w:val="32"/>
          <w:szCs w:val="32"/>
          <w:lang w:val="en-US" w:eastAsia="zh-CN"/>
        </w:rPr>
        <w:t>24.37</w:t>
      </w:r>
      <w:r>
        <w:rPr>
          <w:rFonts w:hint="eastAsia" w:ascii="仿宋_GB2312" w:hAnsi="黑体" w:eastAsia="仿宋_GB2312" w:cs="仿宋_GB2312"/>
          <w:sz w:val="32"/>
          <w:szCs w:val="32"/>
        </w:rPr>
        <w:t>%。卫生健康支出</w:t>
      </w:r>
      <w:r>
        <w:rPr>
          <w:rFonts w:hint="eastAsia" w:ascii="仿宋_GB2312" w:hAnsi="黑体" w:eastAsia="仿宋_GB2312" w:cs="仿宋_GB2312"/>
          <w:sz w:val="32"/>
          <w:szCs w:val="32"/>
          <w:lang w:val="en-US" w:eastAsia="zh-CN"/>
        </w:rPr>
        <w:t>381515</w:t>
      </w:r>
      <w:r>
        <w:rPr>
          <w:rFonts w:hint="eastAsia" w:ascii="仿宋_GB2312" w:hAnsi="黑体" w:eastAsia="仿宋_GB2312" w:cs="仿宋_GB2312"/>
          <w:sz w:val="32"/>
          <w:szCs w:val="32"/>
        </w:rPr>
        <w:t>元，占6.</w:t>
      </w:r>
      <w:r>
        <w:rPr>
          <w:rFonts w:hint="eastAsia" w:ascii="仿宋_GB2312" w:hAnsi="黑体" w:eastAsia="仿宋_GB2312" w:cs="仿宋_GB2312"/>
          <w:sz w:val="32"/>
          <w:szCs w:val="32"/>
          <w:lang w:val="en-US" w:eastAsia="zh-CN"/>
        </w:rPr>
        <w:t>66</w:t>
      </w:r>
      <w:r>
        <w:rPr>
          <w:rFonts w:hint="eastAsia" w:ascii="仿宋_GB2312" w:hAnsi="黑体" w:eastAsia="仿宋_GB2312" w:cs="仿宋_GB2312"/>
          <w:sz w:val="32"/>
          <w:szCs w:val="32"/>
        </w:rPr>
        <w:t>%。农林水支出</w:t>
      </w:r>
      <w:r>
        <w:rPr>
          <w:rFonts w:hint="eastAsia" w:ascii="仿宋_GB2312" w:hAnsi="黑体" w:eastAsia="仿宋_GB2312" w:cs="仿宋_GB2312"/>
          <w:sz w:val="32"/>
          <w:szCs w:val="32"/>
          <w:lang w:val="en-US" w:eastAsia="zh-CN"/>
        </w:rPr>
        <w:t>3670193.28</w:t>
      </w:r>
      <w:r>
        <w:rPr>
          <w:rFonts w:hint="eastAsia" w:ascii="仿宋_GB2312" w:hAnsi="黑体" w:eastAsia="仿宋_GB2312" w:cs="仿宋_GB2312"/>
          <w:sz w:val="32"/>
          <w:szCs w:val="32"/>
        </w:rPr>
        <w:t>元，占64.</w:t>
      </w:r>
      <w:r>
        <w:rPr>
          <w:rFonts w:hint="eastAsia" w:ascii="仿宋_GB2312" w:hAnsi="黑体" w:eastAsia="仿宋_GB2312" w:cs="仿宋_GB2312"/>
          <w:sz w:val="32"/>
          <w:szCs w:val="32"/>
          <w:lang w:val="en-US" w:eastAsia="zh-CN"/>
        </w:rPr>
        <w:t>09</w:t>
      </w:r>
      <w:r>
        <w:rPr>
          <w:rFonts w:hint="eastAsia" w:ascii="仿宋_GB2312" w:hAnsi="黑体" w:eastAsia="仿宋_GB2312" w:cs="仿宋_GB2312"/>
          <w:sz w:val="32"/>
          <w:szCs w:val="32"/>
        </w:rPr>
        <w:t>%。住房保障支出</w:t>
      </w:r>
      <w:r>
        <w:rPr>
          <w:rFonts w:hint="eastAsia" w:ascii="仿宋_GB2312" w:hAnsi="黑体" w:eastAsia="仿宋_GB2312" w:cs="仿宋_GB2312"/>
          <w:sz w:val="32"/>
          <w:szCs w:val="32"/>
          <w:lang w:val="en-US" w:eastAsia="zh-CN"/>
        </w:rPr>
        <w:t>279456</w:t>
      </w:r>
      <w:r>
        <w:rPr>
          <w:rFonts w:hint="eastAsia" w:ascii="仿宋_GB2312" w:hAnsi="黑体" w:eastAsia="仿宋_GB2312" w:cs="仿宋_GB2312"/>
          <w:sz w:val="32"/>
          <w:szCs w:val="32"/>
        </w:rPr>
        <w:t>元，占</w:t>
      </w:r>
      <w:r>
        <w:rPr>
          <w:rFonts w:hint="eastAsia" w:ascii="仿宋_GB2312" w:hAnsi="黑体" w:eastAsia="仿宋_GB2312" w:cs="仿宋_GB2312"/>
          <w:sz w:val="32"/>
          <w:szCs w:val="32"/>
          <w:lang w:val="en-US" w:eastAsia="zh-CN"/>
        </w:rPr>
        <w:t>4.88</w:t>
      </w:r>
      <w:r>
        <w:rPr>
          <w:rFonts w:hint="eastAsia" w:ascii="仿宋_GB2312" w:hAnsi="黑体" w:eastAsia="仿宋_GB2312" w:cs="仿宋_GB2312"/>
          <w:sz w:val="32"/>
          <w:szCs w:val="32"/>
        </w:rPr>
        <w:t>%。</w:t>
      </w:r>
    </w:p>
    <w:p>
      <w:pPr>
        <w:pStyle w:val="6"/>
        <w:shd w:val="clear" w:color="auto" w:fill="FFFFFF"/>
        <w:spacing w:before="93" w:beforeAutospacing="0" w:after="255"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（三）一般公共预算当年拨款具体使用情况。</w:t>
      </w:r>
    </w:p>
    <w:p>
      <w:pPr>
        <w:pStyle w:val="6"/>
        <w:shd w:val="clear" w:color="auto" w:fill="FFFFFF"/>
        <w:spacing w:before="93" w:beforeAutospacing="0" w:after="255" w:afterAutospacing="0"/>
        <w:ind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1.社会保障和就业支出（208）行政事业单位养老支（05） 事业单位离退休（02）202</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年预算数为</w:t>
      </w:r>
      <w:r>
        <w:rPr>
          <w:rFonts w:hint="eastAsia" w:ascii="仿宋_GB2312" w:hAnsi="微软雅黑" w:eastAsia="仿宋_GB2312"/>
          <w:color w:val="333333"/>
          <w:sz w:val="32"/>
          <w:szCs w:val="32"/>
          <w:lang w:val="en-US" w:eastAsia="zh-CN"/>
        </w:rPr>
        <w:t>1070249</w:t>
      </w:r>
      <w:r>
        <w:rPr>
          <w:rFonts w:hint="eastAsia" w:ascii="仿宋_GB2312" w:hAnsi="微软雅黑" w:eastAsia="仿宋_GB2312"/>
          <w:color w:val="333333"/>
          <w:sz w:val="32"/>
          <w:szCs w:val="32"/>
        </w:rPr>
        <w:t>元，主要用于：反映事业单位开支的离退休经费。</w:t>
      </w:r>
    </w:p>
    <w:p>
      <w:pPr>
        <w:pStyle w:val="6"/>
        <w:shd w:val="clear" w:color="auto" w:fill="FFFFFF"/>
        <w:spacing w:before="93" w:beforeAutospacing="0" w:after="255"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2、</w:t>
      </w:r>
      <w:r>
        <w:rPr>
          <w:rFonts w:hint="eastAsia" w:ascii="仿宋_GB2312" w:eastAsia="仿宋_GB2312"/>
          <w:color w:val="333333"/>
          <w:sz w:val="32"/>
          <w:szCs w:val="32"/>
          <w:shd w:val="clear" w:color="auto" w:fill="FFFFFF"/>
        </w:rPr>
        <w:t>社会保障和就业支出（</w:t>
      </w:r>
      <w:r>
        <w:rPr>
          <w:rFonts w:hint="eastAsia" w:ascii="仿宋_GB2312" w:hAnsi="微软雅黑" w:eastAsia="仿宋_GB2312"/>
          <w:color w:val="333333"/>
          <w:sz w:val="32"/>
          <w:szCs w:val="32"/>
          <w:shd w:val="clear" w:color="auto" w:fill="FFFFFF"/>
        </w:rPr>
        <w:t>208</w:t>
      </w:r>
      <w:r>
        <w:rPr>
          <w:rFonts w:hint="eastAsia" w:ascii="仿宋_GB2312" w:eastAsia="仿宋_GB2312"/>
          <w:color w:val="333333"/>
          <w:sz w:val="32"/>
          <w:szCs w:val="32"/>
          <w:shd w:val="clear" w:color="auto" w:fill="FFFFFF"/>
        </w:rPr>
        <w:t>）行政事业单位养老支出（</w:t>
      </w:r>
      <w:r>
        <w:rPr>
          <w:rFonts w:hint="eastAsia" w:ascii="仿宋_GB2312" w:hAnsi="微软雅黑" w:eastAsia="仿宋_GB2312"/>
          <w:color w:val="333333"/>
          <w:sz w:val="32"/>
          <w:szCs w:val="32"/>
          <w:shd w:val="clear" w:color="auto" w:fill="FFFFFF"/>
        </w:rPr>
        <w:t>05</w:t>
      </w:r>
      <w:r>
        <w:rPr>
          <w:rFonts w:hint="eastAsia" w:ascii="仿宋_GB2312" w:eastAsia="仿宋_GB2312"/>
          <w:color w:val="333333"/>
          <w:sz w:val="32"/>
          <w:szCs w:val="32"/>
          <w:shd w:val="clear" w:color="auto" w:fill="FFFFFF"/>
        </w:rPr>
        <w:t>）机关事业单位基本养老保险缴费支出（</w:t>
      </w:r>
      <w:r>
        <w:rPr>
          <w:rFonts w:hint="eastAsia" w:ascii="仿宋_GB2312" w:hAnsi="微软雅黑" w:eastAsia="仿宋_GB2312"/>
          <w:color w:val="333333"/>
          <w:sz w:val="32"/>
          <w:szCs w:val="32"/>
          <w:shd w:val="clear" w:color="auto" w:fill="FFFFFF"/>
        </w:rPr>
        <w:t>05</w:t>
      </w:r>
      <w:r>
        <w:rPr>
          <w:rFonts w:hint="eastAsia" w:ascii="仿宋_GB2312" w:eastAsia="仿宋_GB2312"/>
          <w:color w:val="333333"/>
          <w:sz w:val="32"/>
          <w:szCs w:val="32"/>
          <w:shd w:val="clear" w:color="auto" w:fill="FFFFFF"/>
        </w:rPr>
        <w:t>）</w:t>
      </w:r>
      <w:r>
        <w:rPr>
          <w:rFonts w:hint="eastAsia" w:ascii="仿宋_GB2312" w:hAnsi="微软雅黑" w:eastAsia="仿宋_GB2312"/>
          <w:color w:val="333333"/>
          <w:sz w:val="32"/>
          <w:szCs w:val="32"/>
          <w:shd w:val="clear" w:color="auto" w:fill="FFFFFF"/>
        </w:rPr>
        <w:t>202</w:t>
      </w:r>
      <w:r>
        <w:rPr>
          <w:rFonts w:hint="eastAsia" w:ascii="仿宋_GB2312" w:hAnsi="微软雅黑" w:eastAsia="仿宋_GB2312"/>
          <w:color w:val="333333"/>
          <w:sz w:val="32"/>
          <w:szCs w:val="32"/>
          <w:shd w:val="clear" w:color="auto" w:fill="FFFFFF"/>
          <w:lang w:val="en-US" w:eastAsia="zh-CN"/>
        </w:rPr>
        <w:t>5</w:t>
      </w:r>
      <w:r>
        <w:rPr>
          <w:rFonts w:hint="eastAsia" w:ascii="仿宋_GB2312" w:eastAsia="仿宋_GB2312"/>
          <w:color w:val="333333"/>
          <w:sz w:val="32"/>
          <w:szCs w:val="32"/>
          <w:shd w:val="clear" w:color="auto" w:fill="FFFFFF"/>
        </w:rPr>
        <w:t>年预算数为</w:t>
      </w:r>
      <w:r>
        <w:rPr>
          <w:rFonts w:hint="eastAsia" w:ascii="仿宋_GB2312" w:hAnsi="微软雅黑" w:eastAsia="仿宋_GB2312"/>
          <w:color w:val="333333"/>
          <w:sz w:val="32"/>
          <w:szCs w:val="32"/>
          <w:shd w:val="clear" w:color="auto" w:fill="FFFFFF"/>
          <w:lang w:val="en-US" w:eastAsia="zh-CN"/>
        </w:rPr>
        <w:t>325089</w:t>
      </w:r>
      <w:r>
        <w:rPr>
          <w:rFonts w:hint="eastAsia" w:ascii="仿宋_GB2312" w:eastAsia="仿宋_GB2312"/>
          <w:color w:val="333333"/>
          <w:sz w:val="32"/>
          <w:szCs w:val="32"/>
          <w:shd w:val="clear" w:color="auto" w:fill="FFFFFF"/>
        </w:rPr>
        <w:t>元，主要用于：反映机关事业单位实施养老保险制度由单位缴纳的基本养老保险费支出</w:t>
      </w:r>
      <w:r>
        <w:rPr>
          <w:rFonts w:hint="eastAsia" w:ascii="仿宋_GB2312" w:eastAsia="仿宋_GB2312"/>
          <w:color w:val="333333"/>
          <w:sz w:val="27"/>
          <w:szCs w:val="27"/>
          <w:shd w:val="clear" w:color="auto" w:fill="FFFFFF"/>
        </w:rPr>
        <w:t>。</w:t>
      </w:r>
    </w:p>
    <w:p>
      <w:pPr>
        <w:pStyle w:val="6"/>
        <w:shd w:val="clear" w:color="auto" w:fill="FFFFFF"/>
        <w:spacing w:before="93" w:beforeAutospacing="0" w:after="255" w:afterAutospacing="0"/>
        <w:ind w:firstLine="540" w:firstLineChars="200"/>
        <w:rPr>
          <w:rFonts w:ascii="仿宋_GB2312" w:eastAsia="仿宋_GB2312"/>
          <w:color w:val="333333"/>
          <w:sz w:val="32"/>
          <w:szCs w:val="32"/>
          <w:shd w:val="clear" w:color="auto" w:fill="FFFFFF"/>
        </w:rPr>
      </w:pPr>
      <w:r>
        <w:rPr>
          <w:rFonts w:hint="eastAsia" w:ascii="仿宋_GB2312" w:eastAsia="仿宋_GB2312"/>
          <w:color w:val="333333"/>
          <w:sz w:val="27"/>
          <w:szCs w:val="27"/>
          <w:shd w:val="clear" w:color="auto" w:fill="FFFFFF"/>
        </w:rPr>
        <w:t>3、</w:t>
      </w:r>
      <w:r>
        <w:rPr>
          <w:rFonts w:hint="eastAsia" w:ascii="仿宋_GB2312" w:eastAsia="仿宋_GB2312"/>
          <w:color w:val="333333"/>
          <w:sz w:val="32"/>
          <w:szCs w:val="32"/>
          <w:shd w:val="clear" w:color="auto" w:fill="FFFFFF"/>
        </w:rPr>
        <w:t>卫生健康支出（</w:t>
      </w:r>
      <w:r>
        <w:rPr>
          <w:rFonts w:hint="eastAsia" w:ascii="仿宋_GB2312" w:hAnsi="微软雅黑" w:eastAsia="仿宋_GB2312"/>
          <w:color w:val="333333"/>
          <w:sz w:val="32"/>
          <w:szCs w:val="32"/>
          <w:shd w:val="clear" w:color="auto" w:fill="FFFFFF"/>
        </w:rPr>
        <w:t>210</w:t>
      </w:r>
      <w:r>
        <w:rPr>
          <w:rFonts w:hint="eastAsia" w:ascii="仿宋_GB2312" w:eastAsia="仿宋_GB2312"/>
          <w:color w:val="333333"/>
          <w:sz w:val="32"/>
          <w:szCs w:val="32"/>
          <w:shd w:val="clear" w:color="auto" w:fill="FFFFFF"/>
        </w:rPr>
        <w:t>）行政事业单位医疗（</w:t>
      </w:r>
      <w:r>
        <w:rPr>
          <w:rFonts w:hint="eastAsia" w:ascii="仿宋_GB2312" w:hAnsi="微软雅黑" w:eastAsia="仿宋_GB2312"/>
          <w:color w:val="333333"/>
          <w:sz w:val="32"/>
          <w:szCs w:val="32"/>
          <w:shd w:val="clear" w:color="auto" w:fill="FFFFFF"/>
        </w:rPr>
        <w:t>11</w:t>
      </w:r>
      <w:r>
        <w:rPr>
          <w:rFonts w:hint="eastAsia" w:ascii="仿宋_GB2312" w:eastAsia="仿宋_GB2312"/>
          <w:color w:val="333333"/>
          <w:sz w:val="32"/>
          <w:szCs w:val="32"/>
          <w:shd w:val="clear" w:color="auto" w:fill="FFFFFF"/>
        </w:rPr>
        <w:t>）</w:t>
      </w:r>
      <w:r>
        <w:rPr>
          <w:rStyle w:val="9"/>
          <w:rFonts w:hint="eastAsia" w:ascii="仿宋_GB2312" w:hAnsi="微软雅黑" w:eastAsia="仿宋_GB2312"/>
          <w:b w:val="0"/>
          <w:color w:val="000000"/>
          <w:sz w:val="32"/>
          <w:szCs w:val="32"/>
          <w:shd w:val="clear" w:color="auto" w:fill="FFFFFF"/>
        </w:rPr>
        <w:t>事业单位医疗</w:t>
      </w:r>
      <w:r>
        <w:rPr>
          <w:rFonts w:hint="eastAsia" w:ascii="仿宋_GB2312" w:eastAsia="仿宋_GB2312"/>
          <w:color w:val="333333"/>
          <w:sz w:val="32"/>
          <w:szCs w:val="32"/>
          <w:shd w:val="clear" w:color="auto" w:fill="FFFFFF"/>
        </w:rPr>
        <w:t>（</w:t>
      </w:r>
      <w:r>
        <w:rPr>
          <w:rFonts w:hint="eastAsia" w:ascii="仿宋_GB2312" w:hAnsi="微软雅黑" w:eastAsia="仿宋_GB2312"/>
          <w:color w:val="333333"/>
          <w:sz w:val="32"/>
          <w:szCs w:val="32"/>
          <w:shd w:val="clear" w:color="auto" w:fill="FFFFFF"/>
        </w:rPr>
        <w:t>02</w:t>
      </w:r>
      <w:r>
        <w:rPr>
          <w:rFonts w:hint="eastAsia" w:ascii="仿宋_GB2312" w:eastAsia="仿宋_GB2312"/>
          <w:color w:val="333333"/>
          <w:sz w:val="32"/>
          <w:szCs w:val="32"/>
          <w:shd w:val="clear" w:color="auto" w:fill="FFFFFF"/>
        </w:rPr>
        <w:t>）</w:t>
      </w:r>
      <w:r>
        <w:rPr>
          <w:rFonts w:hint="eastAsia" w:ascii="仿宋_GB2312" w:hAnsi="微软雅黑" w:eastAsia="仿宋_GB2312"/>
          <w:color w:val="333333"/>
          <w:sz w:val="32"/>
          <w:szCs w:val="32"/>
          <w:shd w:val="clear" w:color="auto" w:fill="FFFFFF"/>
        </w:rPr>
        <w:t>202</w:t>
      </w:r>
      <w:r>
        <w:rPr>
          <w:rFonts w:hint="eastAsia" w:ascii="仿宋_GB2312" w:hAnsi="微软雅黑" w:eastAsia="仿宋_GB2312"/>
          <w:color w:val="333333"/>
          <w:sz w:val="32"/>
          <w:szCs w:val="32"/>
          <w:shd w:val="clear" w:color="auto" w:fill="FFFFFF"/>
          <w:lang w:val="en-US" w:eastAsia="zh-CN"/>
        </w:rPr>
        <w:t>5</w:t>
      </w:r>
      <w:r>
        <w:rPr>
          <w:rFonts w:hint="eastAsia" w:ascii="仿宋_GB2312" w:eastAsia="仿宋_GB2312"/>
          <w:color w:val="333333"/>
          <w:sz w:val="32"/>
          <w:szCs w:val="32"/>
          <w:shd w:val="clear" w:color="auto" w:fill="FFFFFF"/>
        </w:rPr>
        <w:t>年预算数为</w:t>
      </w:r>
      <w:r>
        <w:rPr>
          <w:rFonts w:hint="eastAsia" w:ascii="仿宋_GB2312" w:hAnsi="微软雅黑" w:eastAsia="仿宋_GB2312"/>
          <w:color w:val="333333"/>
          <w:sz w:val="32"/>
          <w:szCs w:val="32"/>
          <w:shd w:val="clear" w:color="auto" w:fill="FFFFFF"/>
          <w:lang w:val="en-US" w:eastAsia="zh-CN"/>
        </w:rPr>
        <w:t>268519</w:t>
      </w:r>
      <w:r>
        <w:rPr>
          <w:rFonts w:hint="eastAsia" w:ascii="仿宋_GB2312" w:eastAsia="仿宋_GB2312"/>
          <w:color w:val="333333"/>
          <w:sz w:val="32"/>
          <w:szCs w:val="32"/>
          <w:shd w:val="clear" w:color="auto" w:fill="FFFFFF"/>
        </w:rPr>
        <w:t>元，主要用于：反映财政部门安排的事业单位基本医疗保险缴费经费，未参加医疗保险的事业单位的公费医疗经费，按国家规定享受房休员待遇的医疗经费。</w:t>
      </w:r>
    </w:p>
    <w:p>
      <w:pPr>
        <w:pStyle w:val="6"/>
        <w:shd w:val="clear" w:color="auto" w:fill="FFFFFF"/>
        <w:spacing w:before="93" w:beforeAutospacing="0" w:after="255"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4、卫生健康支出（210）行政事业单位医疗（11）公务员医疗补助（03）202</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年预算数为</w:t>
      </w:r>
      <w:r>
        <w:rPr>
          <w:rFonts w:hint="eastAsia" w:ascii="仿宋_GB2312" w:hAnsi="微软雅黑" w:eastAsia="仿宋_GB2312"/>
          <w:color w:val="333333"/>
          <w:sz w:val="32"/>
          <w:szCs w:val="32"/>
          <w:lang w:val="en-US" w:eastAsia="zh-CN"/>
        </w:rPr>
        <w:t>112996</w:t>
      </w:r>
      <w:r>
        <w:rPr>
          <w:rFonts w:hint="eastAsia" w:ascii="仿宋_GB2312" w:hAnsi="微软雅黑" w:eastAsia="仿宋_GB2312"/>
          <w:color w:val="333333"/>
          <w:sz w:val="32"/>
          <w:szCs w:val="32"/>
        </w:rPr>
        <w:t>元，主要用于：反映财政部门安排的公务员医疗补助经费。</w:t>
      </w:r>
    </w:p>
    <w:p>
      <w:pPr>
        <w:pStyle w:val="6"/>
        <w:shd w:val="clear" w:color="auto" w:fill="FFFFFF"/>
        <w:spacing w:before="93" w:beforeAutospacing="0" w:after="255" w:afterAutospacing="0"/>
        <w:ind w:firstLine="640" w:firstLineChars="200"/>
        <w:rPr>
          <w:rFonts w:ascii="仿宋_GB2312" w:eastAsia="仿宋_GB2312"/>
          <w:color w:val="333333"/>
          <w:sz w:val="27"/>
          <w:szCs w:val="27"/>
          <w:shd w:val="clear" w:color="auto" w:fill="FFFFFF"/>
        </w:rPr>
      </w:pPr>
      <w:r>
        <w:rPr>
          <w:rFonts w:hint="eastAsia" w:ascii="仿宋_GB2312" w:eastAsia="仿宋_GB2312"/>
          <w:color w:val="333333"/>
          <w:sz w:val="32"/>
          <w:szCs w:val="32"/>
          <w:shd w:val="clear" w:color="auto" w:fill="FFFFFF"/>
        </w:rPr>
        <w:t>5、农林水支出（</w:t>
      </w:r>
      <w:r>
        <w:rPr>
          <w:rFonts w:hint="eastAsia" w:ascii="仿宋_GB2312" w:hAnsi="微软雅黑" w:eastAsia="仿宋_GB2312"/>
          <w:color w:val="333333"/>
          <w:sz w:val="32"/>
          <w:szCs w:val="32"/>
          <w:shd w:val="clear" w:color="auto" w:fill="FFFFFF"/>
        </w:rPr>
        <w:t>213</w:t>
      </w:r>
      <w:r>
        <w:rPr>
          <w:rFonts w:hint="eastAsia" w:ascii="仿宋_GB2312" w:eastAsia="仿宋_GB2312"/>
          <w:color w:val="333333"/>
          <w:sz w:val="32"/>
          <w:szCs w:val="32"/>
          <w:shd w:val="clear" w:color="auto" w:fill="FFFFFF"/>
        </w:rPr>
        <w:t>）林业和草原（</w:t>
      </w:r>
      <w:r>
        <w:rPr>
          <w:rFonts w:hint="eastAsia" w:ascii="仿宋_GB2312" w:hAnsi="微软雅黑" w:eastAsia="仿宋_GB2312"/>
          <w:color w:val="333333"/>
          <w:sz w:val="32"/>
          <w:szCs w:val="32"/>
          <w:shd w:val="clear" w:color="auto" w:fill="FFFFFF"/>
        </w:rPr>
        <w:t>02</w:t>
      </w:r>
      <w:r>
        <w:rPr>
          <w:rFonts w:hint="eastAsia" w:ascii="仿宋_GB2312" w:eastAsia="仿宋_GB2312"/>
          <w:color w:val="333333"/>
          <w:sz w:val="32"/>
          <w:szCs w:val="32"/>
          <w:shd w:val="clear" w:color="auto" w:fill="FFFFFF"/>
        </w:rPr>
        <w:t>）</w:t>
      </w:r>
      <w:r>
        <w:rPr>
          <w:rFonts w:hint="eastAsia" w:ascii="仿宋_GB2312" w:hAnsi="微软雅黑" w:eastAsia="仿宋_GB2312"/>
          <w:color w:val="333333"/>
          <w:sz w:val="32"/>
          <w:szCs w:val="32"/>
          <w:shd w:val="clear" w:color="auto" w:fill="FFFFFF"/>
        </w:rPr>
        <w:t> </w:t>
      </w:r>
      <w:r>
        <w:rPr>
          <w:rFonts w:hint="eastAsia" w:ascii="仿宋_GB2312" w:eastAsia="仿宋_GB2312"/>
          <w:color w:val="333333"/>
          <w:sz w:val="32"/>
          <w:szCs w:val="32"/>
          <w:shd w:val="clear" w:color="auto" w:fill="FFFFFF"/>
        </w:rPr>
        <w:t>事业机构（</w:t>
      </w:r>
      <w:r>
        <w:rPr>
          <w:rFonts w:hint="eastAsia" w:ascii="仿宋_GB2312" w:hAnsi="微软雅黑" w:eastAsia="仿宋_GB2312"/>
          <w:color w:val="333333"/>
          <w:sz w:val="32"/>
          <w:szCs w:val="32"/>
          <w:shd w:val="clear" w:color="auto" w:fill="FFFFFF"/>
        </w:rPr>
        <w:t>04</w:t>
      </w:r>
      <w:r>
        <w:rPr>
          <w:rFonts w:hint="eastAsia" w:ascii="仿宋_GB2312" w:eastAsia="仿宋_GB2312"/>
          <w:color w:val="333333"/>
          <w:sz w:val="32"/>
          <w:szCs w:val="32"/>
          <w:shd w:val="clear" w:color="auto" w:fill="FFFFFF"/>
        </w:rPr>
        <w:t>）</w:t>
      </w:r>
      <w:r>
        <w:rPr>
          <w:rFonts w:hint="eastAsia" w:ascii="仿宋_GB2312" w:hAnsi="微软雅黑" w:eastAsia="仿宋_GB2312"/>
          <w:color w:val="333333"/>
          <w:sz w:val="32"/>
          <w:szCs w:val="32"/>
          <w:shd w:val="clear" w:color="auto" w:fill="FFFFFF"/>
        </w:rPr>
        <w:t>202</w:t>
      </w:r>
      <w:r>
        <w:rPr>
          <w:rFonts w:hint="eastAsia" w:ascii="仿宋_GB2312" w:hAnsi="微软雅黑" w:eastAsia="仿宋_GB2312"/>
          <w:color w:val="333333"/>
          <w:sz w:val="32"/>
          <w:szCs w:val="32"/>
          <w:shd w:val="clear" w:color="auto" w:fill="FFFFFF"/>
          <w:lang w:val="en-US" w:eastAsia="zh-CN"/>
        </w:rPr>
        <w:t>5</w:t>
      </w:r>
      <w:r>
        <w:rPr>
          <w:rFonts w:hint="eastAsia" w:ascii="仿宋_GB2312" w:eastAsia="仿宋_GB2312"/>
          <w:color w:val="333333"/>
          <w:sz w:val="32"/>
          <w:szCs w:val="32"/>
          <w:shd w:val="clear" w:color="auto" w:fill="FFFFFF"/>
        </w:rPr>
        <w:t>年预算数为</w:t>
      </w:r>
      <w:r>
        <w:rPr>
          <w:rFonts w:hint="eastAsia" w:ascii="仿宋_GB2312" w:hAnsi="微软雅黑" w:eastAsia="仿宋_GB2312"/>
          <w:color w:val="333333"/>
          <w:sz w:val="32"/>
          <w:szCs w:val="32"/>
          <w:shd w:val="clear" w:color="auto" w:fill="FFFFFF"/>
          <w:lang w:val="en-US" w:eastAsia="zh-CN"/>
        </w:rPr>
        <w:t>3029151.56</w:t>
      </w:r>
      <w:r>
        <w:rPr>
          <w:rFonts w:hint="eastAsia" w:ascii="仿宋_GB2312" w:eastAsia="仿宋_GB2312"/>
          <w:color w:val="333333"/>
          <w:sz w:val="32"/>
          <w:szCs w:val="32"/>
          <w:shd w:val="clear" w:color="auto" w:fill="FFFFFF"/>
        </w:rPr>
        <w:t>元，主要用于：反映事业单位的基本支出，不包括行政单位（含实行公务员管理的事业单位）后勤服务中心等附属事业单位的支出</w:t>
      </w:r>
      <w:r>
        <w:rPr>
          <w:rFonts w:hint="eastAsia" w:ascii="仿宋_GB2312" w:eastAsia="仿宋_GB2312"/>
          <w:color w:val="333333"/>
          <w:sz w:val="27"/>
          <w:szCs w:val="27"/>
          <w:shd w:val="clear" w:color="auto" w:fill="FFFFFF"/>
        </w:rPr>
        <w:t>。</w:t>
      </w:r>
    </w:p>
    <w:p>
      <w:pPr>
        <w:pStyle w:val="6"/>
        <w:shd w:val="clear" w:color="auto" w:fill="FFFFFF"/>
        <w:spacing w:before="93" w:beforeAutospacing="0" w:after="255"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6、农林水支出（213）林业和草原（02）其他林业和草原支出（99）202</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年预算数为</w:t>
      </w:r>
      <w:r>
        <w:rPr>
          <w:rFonts w:hint="eastAsia" w:ascii="仿宋_GB2312" w:hAnsi="微软雅黑" w:eastAsia="仿宋_GB2312"/>
          <w:color w:val="333333"/>
          <w:sz w:val="32"/>
          <w:szCs w:val="32"/>
          <w:lang w:val="en-US" w:eastAsia="zh-CN"/>
        </w:rPr>
        <w:t>614041.72</w:t>
      </w:r>
      <w:r>
        <w:rPr>
          <w:rFonts w:hint="eastAsia" w:ascii="仿宋_GB2312" w:hAnsi="微软雅黑" w:eastAsia="仿宋_GB2312"/>
          <w:color w:val="333333"/>
          <w:sz w:val="32"/>
          <w:szCs w:val="32"/>
        </w:rPr>
        <w:t>元，主要用于：反映除上述项目以外其他用于林业和草原方面的支出。</w:t>
      </w:r>
    </w:p>
    <w:p>
      <w:pPr>
        <w:pStyle w:val="6"/>
        <w:shd w:val="clear" w:color="auto" w:fill="FFFFFF"/>
        <w:spacing w:before="93" w:beforeAutospacing="0" w:after="255" w:afterAutospacing="0"/>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7、住房保障支出（221）住房改革支出（02） 住房公积金（01）202</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年预算数为</w:t>
      </w:r>
      <w:r>
        <w:rPr>
          <w:rFonts w:hint="eastAsia" w:ascii="仿宋_GB2312" w:hAnsi="微软雅黑" w:eastAsia="仿宋_GB2312"/>
          <w:color w:val="333333"/>
          <w:sz w:val="32"/>
          <w:szCs w:val="32"/>
          <w:lang w:val="en-US" w:eastAsia="zh-CN"/>
        </w:rPr>
        <w:t>279456</w:t>
      </w:r>
      <w:r>
        <w:rPr>
          <w:rFonts w:hint="eastAsia" w:ascii="仿宋_GB2312" w:hAnsi="微软雅黑" w:eastAsia="仿宋_GB2312"/>
          <w:color w:val="333333"/>
          <w:sz w:val="32"/>
          <w:szCs w:val="32"/>
        </w:rPr>
        <w:t>元，主要用于：按映行政售业单位按人力资源和社会保障部，财政部规定的基本工资和津贴补贴以及规定比例为职工缴纳的住房公积金。</w:t>
      </w:r>
    </w:p>
    <w:p>
      <w:pPr>
        <w:pStyle w:val="6"/>
        <w:shd w:val="clear" w:color="auto" w:fill="FFFFFF"/>
        <w:spacing w:before="93" w:beforeAutospacing="0" w:after="255" w:afterAutospacing="0"/>
        <w:ind w:firstLine="320" w:firstLineChars="100"/>
        <w:rPr>
          <w:rFonts w:ascii="黑体" w:hAnsi="黑体" w:eastAsia="黑体"/>
          <w:color w:val="333333"/>
          <w:sz w:val="32"/>
          <w:szCs w:val="32"/>
        </w:rPr>
      </w:pPr>
      <w:r>
        <w:rPr>
          <w:rFonts w:hint="eastAsia" w:ascii="黑体" w:hAnsi="黑体" w:eastAsia="黑体"/>
          <w:color w:val="333333"/>
          <w:sz w:val="32"/>
          <w:szCs w:val="32"/>
        </w:rPr>
        <w:t>六、一般公共预算基本支出情况说明</w:t>
      </w:r>
    </w:p>
    <w:p>
      <w:pPr>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国有林场202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年一般公共预算基本支出5</w:t>
      </w:r>
      <w:r>
        <w:rPr>
          <w:rFonts w:hint="eastAsia" w:ascii="仿宋_GB2312" w:hAnsi="宋体" w:eastAsia="仿宋_GB2312" w:cs="宋体"/>
          <w:kern w:val="0"/>
          <w:sz w:val="32"/>
          <w:szCs w:val="32"/>
          <w:lang w:val="en-US" w:eastAsia="zh-CN"/>
        </w:rPr>
        <w:t>069620.56</w:t>
      </w:r>
      <w:r>
        <w:rPr>
          <w:rFonts w:hint="eastAsia" w:ascii="仿宋_GB2312" w:hAnsi="宋体" w:eastAsia="仿宋_GB2312" w:cs="宋体"/>
          <w:kern w:val="0"/>
          <w:sz w:val="32"/>
          <w:szCs w:val="32"/>
        </w:rPr>
        <w:t>元，其中：人员经费</w:t>
      </w:r>
      <w:r>
        <w:rPr>
          <w:rFonts w:hint="eastAsia" w:ascii="仿宋_GB2312" w:hAnsi="宋体" w:eastAsia="仿宋_GB2312" w:cs="宋体"/>
          <w:kern w:val="0"/>
          <w:sz w:val="32"/>
          <w:szCs w:val="32"/>
          <w:lang w:val="en-US" w:eastAsia="zh-CN"/>
        </w:rPr>
        <w:t>4661146.56</w:t>
      </w:r>
      <w:r>
        <w:rPr>
          <w:rFonts w:hint="eastAsia" w:ascii="仿宋_GB2312" w:hAnsi="宋体" w:eastAsia="仿宋_GB2312" w:cs="宋体"/>
          <w:kern w:val="0"/>
          <w:sz w:val="32"/>
          <w:szCs w:val="32"/>
        </w:rPr>
        <w:t>元，主要包括：基本工资、津贴补贴、奖金、绩效工资、机关事业单位基本养老保险缴费、职工基本医疗保险缴费、公务员医疗补助缴费、其他社会保障缴费、住房公积金、其他工资福利支出、生活补助、医疗费补助、奖励金。</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408474</w:t>
      </w:r>
      <w:r>
        <w:rPr>
          <w:rFonts w:hint="eastAsia" w:ascii="仿宋_GB2312" w:hAnsi="宋体" w:eastAsia="仿宋_GB2312" w:cs="宋体"/>
          <w:kern w:val="0"/>
          <w:sz w:val="32"/>
          <w:szCs w:val="32"/>
        </w:rPr>
        <w:t>元，主要包括：办公费、水费、邮电费、差旅费、培训费、公务接待费、福利费、公务用车运行维护费、其他交通费用、其他商品和服务支出。</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七、“三公”经费预算安排情况说明</w:t>
      </w:r>
    </w:p>
    <w:p>
      <w:pPr>
        <w:spacing w:line="600" w:lineRule="exact"/>
        <w:ind w:firstLine="640"/>
        <w:rPr>
          <w:rFonts w:ascii="仿宋_GB2312" w:eastAsia="仿宋_GB2312"/>
          <w:color w:val="auto"/>
          <w:sz w:val="32"/>
          <w:szCs w:val="32"/>
        </w:rPr>
      </w:pPr>
      <w:r>
        <w:rPr>
          <w:rFonts w:hint="eastAsia" w:ascii="仿宋_GB2312" w:eastAsia="仿宋_GB2312"/>
          <w:color w:val="auto"/>
          <w:sz w:val="32"/>
          <w:szCs w:val="32"/>
        </w:rPr>
        <w:t>20</w:t>
      </w:r>
      <w:r>
        <w:rPr>
          <w:rFonts w:ascii="仿宋_GB2312" w:eastAsia="仿宋_GB2312"/>
          <w:color w:val="auto"/>
          <w:sz w:val="32"/>
          <w:szCs w:val="32"/>
        </w:rPr>
        <w:t>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年“三公”经费财政拨款预算数50760元，其中：因公出国（境）经费0万元，公务接待费</w:t>
      </w:r>
      <w:r>
        <w:rPr>
          <w:rFonts w:hint="eastAsia" w:ascii="仿宋_GB2312" w:eastAsia="仿宋_GB2312"/>
          <w:color w:val="auto"/>
          <w:sz w:val="32"/>
          <w:szCs w:val="32"/>
          <w:lang w:val="en-US" w:eastAsia="zh-CN"/>
        </w:rPr>
        <w:t>4860</w:t>
      </w:r>
      <w:r>
        <w:rPr>
          <w:rFonts w:hint="eastAsia" w:ascii="仿宋_GB2312" w:eastAsia="仿宋_GB2312"/>
          <w:color w:val="auto"/>
          <w:sz w:val="32"/>
          <w:szCs w:val="32"/>
        </w:rPr>
        <w:t>元，公务用车购置及运行维护费45900元（公务用车购置费0元，公务用车运行维护费45900元）。</w:t>
      </w:r>
    </w:p>
    <w:p>
      <w:pPr>
        <w:spacing w:line="560" w:lineRule="exact"/>
        <w:ind w:firstLine="640"/>
        <w:rPr>
          <w:rFonts w:eastAsia="仿宋_GB2312" w:cs="仿宋_GB2312"/>
          <w:sz w:val="32"/>
          <w:szCs w:val="32"/>
        </w:rPr>
      </w:pPr>
      <w:r>
        <w:rPr>
          <w:rFonts w:hint="eastAsia" w:eastAsia="仿宋_GB2312" w:cs="仿宋_GB2312"/>
          <w:b/>
          <w:sz w:val="32"/>
          <w:szCs w:val="32"/>
        </w:rPr>
        <w:t>（一）因公出国（境）经费</w:t>
      </w:r>
    </w:p>
    <w:p>
      <w:pPr>
        <w:spacing w:line="600" w:lineRule="exact"/>
        <w:ind w:firstLine="64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年没有安排出国（境）计划，拟安排出国（境）组0次，出国境0人，安排出国（境）经费预算0元，较20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年预算持平。</w:t>
      </w:r>
    </w:p>
    <w:p>
      <w:pPr>
        <w:spacing w:line="560" w:lineRule="exact"/>
        <w:ind w:firstLine="640"/>
        <w:rPr>
          <w:rFonts w:eastAsia="仿宋_GB2312" w:cs="仿宋_GB2312"/>
          <w:sz w:val="32"/>
          <w:szCs w:val="32"/>
        </w:rPr>
      </w:pPr>
      <w:r>
        <w:rPr>
          <w:rFonts w:hint="eastAsia" w:eastAsia="仿宋_GB2312" w:cs="仿宋_GB2312"/>
          <w:b/>
          <w:sz w:val="32"/>
          <w:szCs w:val="32"/>
        </w:rPr>
        <w:t>（二）公务接待费</w:t>
      </w:r>
    </w:p>
    <w:p>
      <w:pPr>
        <w:spacing w:line="600" w:lineRule="exact"/>
        <w:ind w:firstLine="64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年安排公务接待费预算4860元，和20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年预算持平主要原因是公务接待费严格落实中央相关政策规定，合理编制公务接待费预算。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年公务接待费计划用于本单位按规定开支的各类公务接待。</w:t>
      </w:r>
    </w:p>
    <w:p>
      <w:pPr>
        <w:spacing w:line="560" w:lineRule="exact"/>
        <w:ind w:firstLine="640"/>
        <w:rPr>
          <w:rFonts w:eastAsia="仿宋_GB2312" w:cs="仿宋_GB2312"/>
          <w:sz w:val="32"/>
          <w:szCs w:val="32"/>
        </w:rPr>
      </w:pPr>
      <w:r>
        <w:rPr>
          <w:rFonts w:hint="eastAsia" w:eastAsia="仿宋_GB2312" w:cs="仿宋_GB2312"/>
          <w:b/>
          <w:sz w:val="32"/>
          <w:szCs w:val="32"/>
        </w:rPr>
        <w:t>（三）公务用车购置及运行维护费</w:t>
      </w:r>
    </w:p>
    <w:p>
      <w:pPr>
        <w:spacing w:line="600" w:lineRule="exact"/>
        <w:ind w:firstLine="64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年安排公务用车购置及运行维护费45900元，其中：公务用车运行维护费45900元，车辆购经费0元，较20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年预算持平主要原因是严格遵守《中华人民共和国预算法》及部门预算编审相关规定，按照车辆运行维护费定额标准编制公务用车运行费预算。</w:t>
      </w:r>
    </w:p>
    <w:p>
      <w:pPr>
        <w:spacing w:line="600" w:lineRule="exact"/>
        <w:ind w:firstLine="640"/>
        <w:rPr>
          <w:rFonts w:ascii="仿宋_GB2312" w:eastAsia="仿宋_GB2312"/>
          <w:sz w:val="32"/>
          <w:szCs w:val="32"/>
        </w:rPr>
      </w:pPr>
      <w:r>
        <w:rPr>
          <w:rFonts w:hint="eastAsia" w:ascii="仿宋_GB2312" w:eastAsia="仿宋_GB2312"/>
          <w:sz w:val="32"/>
          <w:szCs w:val="32"/>
        </w:rPr>
        <w:t>单位现有公务用车1辆，其中：轿车（含7座以下商务车、城市越野车）1辆，7座以上19座（含19座）以下客车0辆，越野车0辆，货车及19座以上客车0辆，摩托车0辆。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年安排公务用车购置费0元，购置公务用车0辆，其中：轿车（含7座以下商务车、城市越野车）0辆，7座以上19座（含19座）以下客车0辆，越野车0辆，货车及19座以上客车0辆，摩托车0辆。</w:t>
      </w:r>
    </w:p>
    <w:p>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年安排公务用车运行维护费45900元，用于1辆公务（执法执勤）用车燃油、维修、车辆通行等方面支出，主要保障森林草原防灭火及林业产业发展、森林资源管理等工作开展。</w:t>
      </w:r>
    </w:p>
    <w:p>
      <w:pPr>
        <w:spacing w:line="560" w:lineRule="exact"/>
        <w:ind w:firstLine="641"/>
        <w:rPr>
          <w:rFonts w:ascii="黑体" w:hAnsi="黑体" w:eastAsia="黑体" w:cs="黑体"/>
          <w:sz w:val="32"/>
          <w:szCs w:val="32"/>
        </w:rPr>
      </w:pPr>
      <w:r>
        <w:rPr>
          <w:rFonts w:hint="eastAsia" w:ascii="黑体" w:hAnsi="黑体" w:eastAsia="黑体" w:cs="黑体"/>
          <w:sz w:val="32"/>
          <w:szCs w:val="32"/>
        </w:rPr>
        <w:t>八、机关运行经费安排情况说明</w:t>
      </w:r>
    </w:p>
    <w:p>
      <w:pPr>
        <w:spacing w:line="560" w:lineRule="exact"/>
        <w:ind w:firstLine="641"/>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年安排日常公用经费</w:t>
      </w:r>
      <w:r>
        <w:rPr>
          <w:rFonts w:hint="eastAsia" w:ascii="仿宋_GB2312" w:eastAsia="仿宋_GB2312"/>
          <w:sz w:val="32"/>
          <w:szCs w:val="32"/>
          <w:lang w:val="en-US" w:eastAsia="zh-CN"/>
        </w:rPr>
        <w:t>408474</w:t>
      </w:r>
      <w:r>
        <w:rPr>
          <w:rFonts w:hint="eastAsia" w:ascii="仿宋_GB2312" w:eastAsia="仿宋_GB2312"/>
          <w:sz w:val="32"/>
          <w:szCs w:val="32"/>
        </w:rPr>
        <w:t>元，其中办公费</w:t>
      </w:r>
      <w:r>
        <w:rPr>
          <w:rFonts w:hint="eastAsia" w:ascii="仿宋_GB2312" w:eastAsia="仿宋_GB2312"/>
          <w:sz w:val="32"/>
          <w:szCs w:val="32"/>
          <w:lang w:val="en-US" w:eastAsia="zh-CN"/>
        </w:rPr>
        <w:t>45000</w:t>
      </w:r>
      <w:r>
        <w:rPr>
          <w:rFonts w:hint="eastAsia" w:ascii="仿宋_GB2312" w:eastAsia="仿宋_GB2312"/>
          <w:sz w:val="32"/>
          <w:szCs w:val="32"/>
        </w:rPr>
        <w:t>元、水费</w:t>
      </w:r>
      <w:r>
        <w:rPr>
          <w:rFonts w:hint="eastAsia" w:ascii="仿宋_GB2312" w:eastAsia="仿宋_GB2312"/>
          <w:sz w:val="32"/>
          <w:szCs w:val="32"/>
          <w:lang w:val="en-US" w:eastAsia="zh-CN"/>
        </w:rPr>
        <w:t>3000</w:t>
      </w:r>
      <w:r>
        <w:rPr>
          <w:rFonts w:hint="eastAsia" w:ascii="仿宋_GB2312" w:eastAsia="仿宋_GB2312"/>
          <w:sz w:val="32"/>
          <w:szCs w:val="32"/>
        </w:rPr>
        <w:t>元，电费3000元、邮电费</w:t>
      </w:r>
      <w:r>
        <w:rPr>
          <w:rFonts w:hint="eastAsia" w:ascii="仿宋_GB2312" w:eastAsia="仿宋_GB2312"/>
          <w:sz w:val="32"/>
          <w:szCs w:val="32"/>
          <w:lang w:val="en-US" w:eastAsia="zh-CN"/>
        </w:rPr>
        <w:t>15660</w:t>
      </w:r>
      <w:r>
        <w:rPr>
          <w:rFonts w:hint="eastAsia" w:ascii="仿宋_GB2312" w:eastAsia="仿宋_GB2312"/>
          <w:sz w:val="32"/>
          <w:szCs w:val="32"/>
        </w:rPr>
        <w:t xml:space="preserve">元、差旅费 </w:t>
      </w:r>
      <w:r>
        <w:rPr>
          <w:rFonts w:hint="eastAsia" w:ascii="仿宋_GB2312" w:eastAsia="仿宋_GB2312"/>
          <w:sz w:val="32"/>
          <w:szCs w:val="32"/>
          <w:lang w:val="en-US" w:eastAsia="zh-CN"/>
        </w:rPr>
        <w:t>114780</w:t>
      </w:r>
      <w:r>
        <w:rPr>
          <w:rFonts w:hint="eastAsia" w:ascii="仿宋_GB2312" w:eastAsia="仿宋_GB2312"/>
          <w:sz w:val="32"/>
          <w:szCs w:val="32"/>
        </w:rPr>
        <w:t xml:space="preserve">元、公务接待费4860元、公务用车运行维护费45900元、福利费 </w:t>
      </w:r>
      <w:r>
        <w:rPr>
          <w:rFonts w:hint="eastAsia" w:ascii="仿宋_GB2312" w:eastAsia="仿宋_GB2312"/>
          <w:sz w:val="32"/>
          <w:szCs w:val="32"/>
          <w:lang w:val="en-US" w:eastAsia="zh-CN"/>
        </w:rPr>
        <w:t>72252</w:t>
      </w:r>
      <w:r>
        <w:rPr>
          <w:rFonts w:hint="eastAsia" w:ascii="仿宋_GB2312" w:eastAsia="仿宋_GB2312"/>
          <w:sz w:val="32"/>
          <w:szCs w:val="32"/>
        </w:rPr>
        <w:t>元、其它商品和服务支出</w:t>
      </w:r>
      <w:r>
        <w:rPr>
          <w:rFonts w:hint="eastAsia" w:ascii="仿宋_GB2312" w:eastAsia="仿宋_GB2312"/>
          <w:sz w:val="32"/>
          <w:szCs w:val="32"/>
          <w:lang w:val="en-US" w:eastAsia="zh-CN"/>
        </w:rPr>
        <w:t>77070</w:t>
      </w:r>
      <w:r>
        <w:rPr>
          <w:rFonts w:hint="eastAsia" w:ascii="仿宋_GB2312" w:eastAsia="仿宋_GB2312"/>
          <w:sz w:val="32"/>
          <w:szCs w:val="32"/>
        </w:rPr>
        <w:t>元。</w:t>
      </w:r>
    </w:p>
    <w:p>
      <w:pPr>
        <w:spacing w:line="560" w:lineRule="exact"/>
        <w:ind w:firstLine="641"/>
        <w:rPr>
          <w:rFonts w:ascii="黑体" w:hAnsi="黑体" w:eastAsia="黑体"/>
          <w:sz w:val="32"/>
          <w:szCs w:val="32"/>
        </w:rPr>
      </w:pPr>
      <w:r>
        <w:rPr>
          <w:rFonts w:hint="eastAsia" w:ascii="黑体" w:hAnsi="黑体" w:eastAsia="黑体"/>
          <w:sz w:val="32"/>
          <w:szCs w:val="32"/>
        </w:rPr>
        <w:t>九、政府性基金预算支出情况说明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县国有林场202</w:t>
      </w:r>
      <w:r>
        <w:rPr>
          <w:rFonts w:hint="eastAsia" w:ascii="仿宋_GB2312" w:eastAsia="仿宋_GB2312"/>
          <w:sz w:val="32"/>
          <w:szCs w:val="32"/>
          <w:lang w:val="en-US" w:eastAsia="zh-CN"/>
        </w:rPr>
        <w:t>5</w:t>
      </w:r>
      <w:r>
        <w:rPr>
          <w:rFonts w:hint="eastAsia" w:ascii="仿宋_GB2312" w:eastAsia="仿宋_GB2312"/>
          <w:sz w:val="32"/>
          <w:szCs w:val="32"/>
        </w:rPr>
        <w:t>年没有使用政府性基金预算拨款安排的支出。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十、国有资本经营预算情况说明</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t>县国有林场202</w:t>
      </w:r>
      <w:r>
        <w:rPr>
          <w:rFonts w:hint="eastAsia" w:ascii="仿宋_GB2312" w:eastAsia="仿宋_GB2312"/>
          <w:sz w:val="32"/>
          <w:szCs w:val="32"/>
          <w:lang w:val="en-US" w:eastAsia="zh-CN"/>
        </w:rPr>
        <w:t>5</w:t>
      </w:r>
      <w:r>
        <w:rPr>
          <w:rFonts w:hint="eastAsia" w:ascii="仿宋_GB2312" w:eastAsia="仿宋_GB2312"/>
          <w:sz w:val="32"/>
          <w:szCs w:val="32"/>
        </w:rPr>
        <w:t>年没有使用国有资本经营预算拨款安排的支出。</w:t>
      </w:r>
    </w:p>
    <w:p>
      <w:pPr>
        <w:spacing w:line="560" w:lineRule="exact"/>
        <w:ind w:firstLine="320" w:firstLineChars="100"/>
        <w:rPr>
          <w:rFonts w:ascii="黑体" w:hAnsi="黑体" w:eastAsia="黑体"/>
          <w:sz w:val="32"/>
          <w:szCs w:val="32"/>
        </w:rPr>
      </w:pPr>
      <w:r>
        <w:rPr>
          <w:rFonts w:hint="eastAsia" w:ascii="黑体" w:hAnsi="黑体" w:eastAsia="黑体"/>
          <w:sz w:val="32"/>
          <w:szCs w:val="32"/>
        </w:rPr>
        <w:t>十一、其他重要事项的情况说明</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t>（一）征收预期情况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年县国有林场</w:t>
      </w:r>
      <w:r>
        <w:rPr>
          <w:rFonts w:hint="eastAsia" w:ascii="仿宋_GB2312" w:eastAsia="仿宋_GB2312"/>
          <w:sz w:val="32"/>
          <w:szCs w:val="32"/>
          <w:lang w:eastAsia="zh-CN"/>
        </w:rPr>
        <w:t>无</w:t>
      </w:r>
      <w:r>
        <w:rPr>
          <w:rFonts w:hint="eastAsia" w:ascii="仿宋_GB2312" w:eastAsia="仿宋_GB2312"/>
          <w:sz w:val="32"/>
          <w:szCs w:val="32"/>
        </w:rPr>
        <w:t>征收预期</w:t>
      </w:r>
      <w:r>
        <w:rPr>
          <w:rFonts w:hint="eastAsia" w:ascii="仿宋_GB2312" w:eastAsia="仿宋_GB2312"/>
          <w:sz w:val="32"/>
          <w:szCs w:val="32"/>
          <w:lang w:eastAsia="zh-CN"/>
        </w:rPr>
        <w:t>。</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t>（二）政府采购情况。</w:t>
      </w:r>
    </w:p>
    <w:p>
      <w:pPr>
        <w:spacing w:line="560" w:lineRule="exact"/>
        <w:ind w:left="319" w:leftChars="152" w:firstLine="320" w:firstLineChars="100"/>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5</w:t>
      </w:r>
      <w:r>
        <w:rPr>
          <w:rFonts w:hint="eastAsia" w:ascii="仿宋_GB2312" w:hAnsi="黑体" w:eastAsia="仿宋_GB2312"/>
          <w:sz w:val="32"/>
          <w:szCs w:val="32"/>
        </w:rPr>
        <w:t>年县国有林场无政府采购安排</w:t>
      </w:r>
    </w:p>
    <w:p>
      <w:pPr>
        <w:pStyle w:val="6"/>
        <w:shd w:val="clear" w:color="auto" w:fill="FFFFFF"/>
        <w:spacing w:before="93" w:beforeAutospacing="0" w:after="0" w:afterAutospacing="0" w:line="600" w:lineRule="atLeast"/>
        <w:ind w:firstLine="321" w:firstLineChars="100"/>
        <w:rPr>
          <w:rFonts w:ascii="仿宋_GB2312" w:hAnsi="微软雅黑" w:eastAsia="仿宋_GB2312"/>
          <w:color w:val="333333"/>
          <w:sz w:val="32"/>
          <w:szCs w:val="32"/>
        </w:rPr>
      </w:pPr>
      <w:bookmarkStart w:id="0" w:name="_Toc4484"/>
      <w:r>
        <w:rPr>
          <w:rStyle w:val="9"/>
          <w:rFonts w:hint="eastAsia" w:ascii="仿宋_GB2312" w:hAnsi="微软雅黑" w:eastAsia="仿宋_GB2312"/>
          <w:color w:val="333333"/>
          <w:sz w:val="32"/>
          <w:szCs w:val="32"/>
        </w:rPr>
        <w:t>（三）国有资产占有使用情况。</w:t>
      </w:r>
      <w:bookmarkEnd w:id="0"/>
    </w:p>
    <w:p>
      <w:pPr>
        <w:pStyle w:val="6"/>
        <w:shd w:val="clear" w:color="auto" w:fill="FFFFFF"/>
        <w:spacing w:before="93" w:beforeAutospacing="0" w:after="0" w:afterAutospacing="0" w:line="600" w:lineRule="atLeast"/>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截至202</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年年底，县国有林场共有车辆1辆，其中，</w:t>
      </w:r>
      <w:r>
        <w:rPr>
          <w:rFonts w:hint="eastAsia" w:ascii="仿宋_GB2312" w:hAnsi="微软雅黑" w:eastAsia="仿宋_GB2312"/>
          <w:color w:val="333333"/>
          <w:sz w:val="32"/>
          <w:szCs w:val="32"/>
          <w:lang w:eastAsia="zh-CN"/>
        </w:rPr>
        <w:t>其它</w:t>
      </w:r>
      <w:r>
        <w:rPr>
          <w:rFonts w:hint="eastAsia" w:ascii="仿宋_GB2312" w:hAnsi="微软雅黑" w:eastAsia="仿宋_GB2312"/>
          <w:color w:val="333333"/>
          <w:sz w:val="32"/>
          <w:szCs w:val="32"/>
        </w:rPr>
        <w:t>用车1辆。单位价值200万元以上大型设备0台（套）。</w:t>
      </w:r>
    </w:p>
    <w:p>
      <w:pPr>
        <w:pStyle w:val="6"/>
        <w:shd w:val="clear" w:color="auto" w:fill="FFFFFF"/>
        <w:spacing w:before="93" w:beforeAutospacing="0" w:after="0" w:afterAutospacing="0" w:line="600" w:lineRule="atLeast"/>
        <w:ind w:firstLine="321" w:firstLineChars="100"/>
        <w:rPr>
          <w:rFonts w:ascii="仿宋_GB2312" w:hAnsi="微软雅黑" w:eastAsia="仿宋_GB2312"/>
          <w:color w:val="333333"/>
          <w:sz w:val="32"/>
          <w:szCs w:val="32"/>
        </w:rPr>
      </w:pPr>
      <w:bookmarkStart w:id="1" w:name="_Toc12104"/>
      <w:bookmarkEnd w:id="1"/>
      <w:bookmarkStart w:id="2" w:name="_Toc5722"/>
      <w:bookmarkEnd w:id="2"/>
      <w:bookmarkStart w:id="3" w:name="_Toc13012"/>
      <w:r>
        <w:rPr>
          <w:rStyle w:val="9"/>
          <w:rFonts w:hint="eastAsia" w:ascii="仿宋_GB2312" w:hAnsi="微软雅黑" w:eastAsia="仿宋_GB2312"/>
          <w:color w:val="333333"/>
          <w:sz w:val="32"/>
          <w:szCs w:val="32"/>
        </w:rPr>
        <w:t>（四）预算绩效管理情况。</w:t>
      </w:r>
      <w:bookmarkEnd w:id="3"/>
    </w:p>
    <w:p>
      <w:pPr>
        <w:widowControl/>
        <w:adjustRightInd w:val="0"/>
        <w:snapToGrid w:val="0"/>
        <w:spacing w:line="560" w:lineRule="exact"/>
        <w:ind w:firstLine="640" w:firstLineChars="200"/>
        <w:jc w:val="lef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202</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年县国有林场开展绩效目标管理的项目2</w:t>
      </w:r>
      <w:r>
        <w:rPr>
          <w:rFonts w:hint="eastAsia" w:ascii="仿宋_GB2312" w:hAnsi="微软雅黑" w:eastAsia="仿宋_GB2312"/>
          <w:color w:val="333333"/>
          <w:sz w:val="32"/>
          <w:szCs w:val="32"/>
          <w:lang w:val="en-US" w:eastAsia="zh-CN"/>
        </w:rPr>
        <w:t>7</w:t>
      </w:r>
      <w:r>
        <w:rPr>
          <w:rFonts w:hint="eastAsia" w:ascii="仿宋_GB2312" w:hAnsi="微软雅黑" w:eastAsia="仿宋_GB2312"/>
          <w:color w:val="333333"/>
          <w:sz w:val="32"/>
          <w:szCs w:val="32"/>
        </w:rPr>
        <w:t>个，涉及预算</w:t>
      </w:r>
      <w:r>
        <w:rPr>
          <w:rFonts w:hint="eastAsia" w:ascii="仿宋_GB2312" w:hAnsi="微软雅黑" w:eastAsia="仿宋_GB2312"/>
          <w:color w:val="333333"/>
          <w:sz w:val="32"/>
          <w:szCs w:val="32"/>
          <w:lang w:val="en-US" w:eastAsia="zh-CN"/>
        </w:rPr>
        <w:t>5726502.28</w:t>
      </w:r>
      <w:r>
        <w:rPr>
          <w:rFonts w:hint="eastAsia" w:ascii="仿宋_GB2312" w:hAnsi="微软雅黑" w:eastAsia="仿宋_GB2312"/>
          <w:color w:val="333333"/>
          <w:sz w:val="32"/>
          <w:szCs w:val="32"/>
        </w:rPr>
        <w:t>元。其中：人员类项目2</w:t>
      </w:r>
      <w:r>
        <w:rPr>
          <w:rFonts w:hint="eastAsia" w:ascii="仿宋_GB2312" w:hAnsi="微软雅黑" w:eastAsia="仿宋_GB2312"/>
          <w:color w:val="333333"/>
          <w:sz w:val="32"/>
          <w:szCs w:val="32"/>
          <w:lang w:val="en-US" w:eastAsia="zh-CN"/>
        </w:rPr>
        <w:t>5</w:t>
      </w:r>
      <w:r>
        <w:rPr>
          <w:rFonts w:hint="eastAsia" w:ascii="仿宋_GB2312" w:hAnsi="微软雅黑" w:eastAsia="仿宋_GB2312"/>
          <w:color w:val="333333"/>
          <w:sz w:val="32"/>
          <w:szCs w:val="32"/>
        </w:rPr>
        <w:t>个，涉及预算</w:t>
      </w:r>
      <w:r>
        <w:rPr>
          <w:rFonts w:hint="eastAsia" w:ascii="仿宋_GB2312" w:hAnsi="微软雅黑" w:eastAsia="仿宋_GB2312"/>
          <w:color w:val="333333"/>
          <w:sz w:val="32"/>
          <w:szCs w:val="32"/>
          <w:lang w:val="en-US" w:eastAsia="zh-CN"/>
        </w:rPr>
        <w:t>5069620.56</w:t>
      </w:r>
      <w:r>
        <w:rPr>
          <w:rFonts w:hint="eastAsia" w:ascii="仿宋_GB2312" w:hAnsi="微软雅黑" w:eastAsia="仿宋_GB2312"/>
          <w:color w:val="333333"/>
          <w:sz w:val="32"/>
          <w:szCs w:val="32"/>
        </w:rPr>
        <w:t>元；运转类项目1个，涉及预算</w:t>
      </w:r>
      <w:r>
        <w:rPr>
          <w:rFonts w:hint="eastAsia" w:ascii="仿宋_GB2312" w:hAnsi="微软雅黑" w:eastAsia="仿宋_GB2312"/>
          <w:color w:val="333333"/>
          <w:sz w:val="32"/>
          <w:szCs w:val="32"/>
          <w:lang w:val="en-US" w:eastAsia="zh-CN"/>
        </w:rPr>
        <w:t>15840</w:t>
      </w:r>
      <w:r>
        <w:rPr>
          <w:rFonts w:hint="eastAsia" w:ascii="仿宋_GB2312" w:hAnsi="微软雅黑" w:eastAsia="仿宋_GB2312"/>
          <w:color w:val="333333"/>
          <w:sz w:val="32"/>
          <w:szCs w:val="32"/>
        </w:rPr>
        <w:t>元；特定目标类项目1个，涉及预算</w:t>
      </w:r>
      <w:r>
        <w:rPr>
          <w:rFonts w:hint="eastAsia" w:ascii="仿宋_GB2312" w:hAnsi="微软雅黑" w:eastAsia="仿宋_GB2312"/>
          <w:color w:val="333333"/>
          <w:sz w:val="32"/>
          <w:szCs w:val="32"/>
          <w:lang w:val="en-US" w:eastAsia="zh-CN"/>
        </w:rPr>
        <w:t>641041.72</w:t>
      </w:r>
      <w:r>
        <w:rPr>
          <w:rFonts w:hint="eastAsia" w:ascii="仿宋_GB2312" w:hAnsi="微软雅黑" w:eastAsia="仿宋_GB2312"/>
          <w:color w:val="333333"/>
          <w:sz w:val="32"/>
          <w:szCs w:val="32"/>
        </w:rPr>
        <w:t>元。</w:t>
      </w:r>
    </w:p>
    <w:p>
      <w:pPr>
        <w:widowControl/>
        <w:adjustRightInd w:val="0"/>
        <w:snapToGrid w:val="0"/>
        <w:spacing w:line="560" w:lineRule="exact"/>
        <w:ind w:firstLine="640" w:firstLineChars="200"/>
        <w:jc w:val="lef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1、严格按照米易县预算编制要求，按时完成了基础信息、完成基础信息的更新，按时完成预算编制并提交部门预算</w:t>
      </w:r>
      <w:r>
        <w:rPr>
          <w:rFonts w:hint="eastAsia" w:ascii="仿宋_GB2312" w:hAnsi="宋体" w:eastAsia="仿宋_GB2312" w:cs="宋体"/>
          <w:sz w:val="32"/>
          <w:szCs w:val="32"/>
          <w:shd w:val="clear" w:color="auto" w:fill="FFFFFF"/>
        </w:rPr>
        <w:t>草案。预算编制中，加强对预算编制准确性的把握，严格按照要求进行预算执行调整。</w:t>
      </w:r>
    </w:p>
    <w:p>
      <w:pPr>
        <w:spacing w:line="560" w:lineRule="exact"/>
        <w:ind w:firstLine="640" w:firstLineChars="200"/>
        <w:rPr>
          <w:rFonts w:ascii="仿宋_GB2312" w:hAnsi="仿宋" w:eastAsia="仿宋_GB2312"/>
          <w:color w:val="333333"/>
          <w:sz w:val="32"/>
          <w:szCs w:val="32"/>
        </w:rPr>
      </w:pPr>
      <w:r>
        <w:rPr>
          <w:rFonts w:hint="eastAsia" w:ascii="仿宋_GB2312" w:eastAsia="仿宋_GB2312"/>
          <w:sz w:val="32"/>
          <w:szCs w:val="32"/>
          <w:shd w:val="clear" w:color="auto" w:fill="FFFFFF"/>
        </w:rPr>
        <w:t>2、</w:t>
      </w:r>
      <w:r>
        <w:rPr>
          <w:rFonts w:hint="eastAsia" w:ascii="仿宋_GB2312" w:hAnsi="仿宋" w:eastAsia="仿宋_GB2312"/>
          <w:color w:val="333333"/>
          <w:sz w:val="32"/>
          <w:szCs w:val="32"/>
        </w:rPr>
        <w:t>根据年初设定的绩效目标，成立了绩效评价工作小组负责本部门绩效自评工作的组织领导和具体实施，明确了工作职责和分工，制定了切实可行的评价方案。根据各业务股室的情况汇报和提交的工作计划、工作总结等资料，评价小组现场进行询查和核实，根据确定的评价指标、评价标准和评价方法统一打分，形成自评结论。</w:t>
      </w:r>
    </w:p>
    <w:p>
      <w:pPr>
        <w:spacing w:line="560" w:lineRule="exact"/>
        <w:ind w:firstLine="640" w:firstLineChars="200"/>
        <w:rPr>
          <w:rFonts w:ascii="仿宋" w:hAnsi="仿宋" w:eastAsia="仿宋" w:cs="仿宋_GB2312"/>
          <w:sz w:val="32"/>
          <w:szCs w:val="32"/>
        </w:rPr>
      </w:pPr>
      <w:r>
        <w:rPr>
          <w:rFonts w:hint="eastAsia" w:ascii="仿宋_GB2312" w:hAnsi="仿宋" w:eastAsia="仿宋_GB2312"/>
          <w:color w:val="333333"/>
          <w:sz w:val="32"/>
          <w:szCs w:val="32"/>
        </w:rPr>
        <w:t>3、</w:t>
      </w:r>
      <w:r>
        <w:rPr>
          <w:rFonts w:ascii="仿宋" w:hAnsi="仿宋" w:eastAsia="仿宋" w:cs="仿宋_GB2312"/>
          <w:color w:val="000000"/>
          <w:spacing w:val="14"/>
          <w:sz w:val="32"/>
        </w:rPr>
        <w:t>202</w:t>
      </w:r>
      <w:r>
        <w:rPr>
          <w:rFonts w:hint="eastAsia" w:ascii="仿宋" w:hAnsi="仿宋" w:eastAsia="仿宋" w:cs="仿宋_GB2312"/>
          <w:color w:val="000000"/>
          <w:spacing w:val="14"/>
          <w:sz w:val="32"/>
          <w:lang w:val="en-US" w:eastAsia="zh-CN"/>
        </w:rPr>
        <w:t>5</w:t>
      </w:r>
      <w:r>
        <w:rPr>
          <w:rFonts w:ascii="仿宋" w:hAnsi="仿宋" w:eastAsia="仿宋" w:cs="仿宋_GB2312"/>
          <w:color w:val="000000"/>
          <w:spacing w:val="14"/>
          <w:sz w:val="32"/>
        </w:rPr>
        <w:t>年我单位</w:t>
      </w:r>
      <w:r>
        <w:rPr>
          <w:rFonts w:hint="eastAsia" w:ascii="仿宋" w:hAnsi="仿宋" w:eastAsia="仿宋" w:cs="仿宋_GB2312"/>
          <w:sz w:val="32"/>
          <w:szCs w:val="32"/>
        </w:rPr>
        <w:t>根据预算绩效管理要求，在年初预算编制阶段，开展了预算项目预算事前绩效评估，编制了</w:t>
      </w:r>
      <w:r>
        <w:rPr>
          <w:rFonts w:hint="eastAsia" w:ascii="仿宋" w:hAnsi="仿宋" w:eastAsia="仿宋" w:cs="仿宋"/>
          <w:sz w:val="32"/>
          <w:szCs w:val="32"/>
        </w:rPr>
        <w:t>部门整体支出绩效目标申报表</w:t>
      </w:r>
      <w:r>
        <w:rPr>
          <w:rFonts w:hint="eastAsia" w:ascii="仿宋" w:hAnsi="仿宋" w:eastAsia="仿宋" w:cs="仿宋_GB2312"/>
          <w:sz w:val="32"/>
          <w:szCs w:val="32"/>
        </w:rPr>
        <w:t>。预算执行过程中，预计</w:t>
      </w:r>
      <w:r>
        <w:rPr>
          <w:rFonts w:hint="eastAsia" w:ascii="仿宋" w:hAnsi="仿宋" w:eastAsia="仿宋"/>
          <w:sz w:val="32"/>
          <w:szCs w:val="32"/>
        </w:rPr>
        <w:t>在8月、10月、12月</w:t>
      </w:r>
      <w:r>
        <w:rPr>
          <w:rFonts w:hint="eastAsia" w:ascii="仿宋" w:hAnsi="仿宋" w:eastAsia="仿宋" w:cs="仿宋_GB2312"/>
          <w:sz w:val="32"/>
          <w:szCs w:val="32"/>
        </w:rPr>
        <w:t xml:space="preserve">开展绩效监控， </w:t>
      </w:r>
      <w:r>
        <w:rPr>
          <w:rFonts w:ascii="仿宋" w:hAnsi="仿宋" w:eastAsia="仿宋" w:cs="仿宋_GB2312"/>
          <w:color w:val="000000"/>
          <w:spacing w:val="14"/>
          <w:sz w:val="32"/>
        </w:rPr>
        <w:t>根据工作安排开展202</w:t>
      </w:r>
      <w:r>
        <w:rPr>
          <w:rFonts w:hint="eastAsia" w:ascii="仿宋" w:hAnsi="仿宋" w:eastAsia="仿宋" w:cs="仿宋_GB2312"/>
          <w:color w:val="000000"/>
          <w:spacing w:val="14"/>
          <w:sz w:val="32"/>
          <w:lang w:val="en-US" w:eastAsia="zh-CN"/>
        </w:rPr>
        <w:t>5</w:t>
      </w:r>
      <w:r>
        <w:rPr>
          <w:rFonts w:ascii="仿宋" w:hAnsi="仿宋" w:eastAsia="仿宋" w:cs="仿宋_GB2312"/>
          <w:color w:val="000000"/>
          <w:spacing w:val="14"/>
          <w:sz w:val="32"/>
        </w:rPr>
        <w:t>年部门整体绩</w:t>
      </w:r>
      <w:r>
        <w:rPr>
          <w:rFonts w:ascii="仿宋" w:hAnsi="仿宋" w:eastAsia="仿宋" w:cs="仿宋_GB2312"/>
          <w:color w:val="000000"/>
          <w:spacing w:val="14"/>
          <w:sz w:val="32"/>
        </w:rPr>
        <w:drawing>
          <wp:anchor distT="0" distB="0" distL="114300" distR="114300" simplePos="0" relativeHeight="251659264" behindDoc="1" locked="0" layoutInCell="1" allowOverlap="1">
            <wp:simplePos x="0" y="0"/>
            <wp:positionH relativeFrom="page">
              <wp:posOffset>713105</wp:posOffset>
            </wp:positionH>
            <wp:positionV relativeFrom="page">
              <wp:posOffset>890270</wp:posOffset>
            </wp:positionV>
            <wp:extent cx="5816600" cy="469455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5816600" cy="4694555"/>
                    </a:xfrm>
                    <a:prstGeom prst="rect">
                      <a:avLst/>
                    </a:prstGeom>
                    <a:noFill/>
                  </pic:spPr>
                </pic:pic>
              </a:graphicData>
            </a:graphic>
          </wp:anchor>
        </w:drawing>
      </w:r>
      <w:bookmarkStart w:id="4" w:name="br1_4"/>
      <w:bookmarkEnd w:id="4"/>
      <w:r>
        <w:rPr>
          <w:rFonts w:ascii="仿宋" w:hAnsi="仿宋" w:eastAsia="仿宋" w:cs="仿宋_GB2312"/>
          <w:color w:val="000000"/>
          <w:spacing w:val="14"/>
          <w:sz w:val="32"/>
        </w:rPr>
        <w:t>效目标自评工作，评估绩效目标的完成情况，总结预算管理经验，找差距，完善单位的内部控制管理制度，提高单位预算管理水平，提高资金的使用效益，同时定期对202</w:t>
      </w:r>
      <w:r>
        <w:rPr>
          <w:rFonts w:hint="eastAsia" w:ascii="仿宋" w:hAnsi="仿宋" w:eastAsia="仿宋" w:cs="仿宋_GB2312"/>
          <w:color w:val="000000"/>
          <w:spacing w:val="14"/>
          <w:sz w:val="32"/>
        </w:rPr>
        <w:t>4年</w:t>
      </w:r>
      <w:r>
        <w:rPr>
          <w:rFonts w:hint="eastAsia" w:ascii="仿宋" w:hAnsi="仿宋" w:eastAsia="仿宋" w:cs="仿宋_GB2312"/>
          <w:spacing w:val="14"/>
          <w:sz w:val="32"/>
        </w:rPr>
        <w:t>预算绩效进行跟踪监控，确保按期完成部门本年度整体绩效目标。</w:t>
      </w:r>
    </w:p>
    <w:p>
      <w:pPr>
        <w:spacing w:line="560" w:lineRule="exact"/>
        <w:ind w:firstLine="320" w:firstLineChars="100"/>
        <w:rPr>
          <w:rFonts w:ascii="仿宋_GB2312" w:eastAsia="仿宋_GB2312"/>
          <w:sz w:val="32"/>
          <w:szCs w:val="32"/>
        </w:rPr>
      </w:pPr>
      <w:r>
        <w:rPr>
          <w:rFonts w:hint="eastAsia" w:ascii="黑体" w:hAnsi="黑体" w:eastAsia="黑体" w:cs="黑体"/>
          <w:sz w:val="32"/>
          <w:szCs w:val="32"/>
        </w:rPr>
        <w:t>十二、对专业性较强的名词进行解释</w:t>
      </w:r>
    </w:p>
    <w:p>
      <w:pPr>
        <w:pStyle w:val="6"/>
        <w:shd w:val="clear" w:color="auto" w:fill="FFFFFF"/>
        <w:spacing w:before="93" w:beforeAutospacing="0" w:after="0" w:afterAutospacing="0" w:line="600" w:lineRule="atLeast"/>
        <w:ind w:firstLine="64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部门预算。通俗地说就是一个部门一本预算。它是由政府各部门依据国家有关政策的规定及其行使职能的需要，由基层预算单位编制，逐级上报、审核、汇总，经财政部门审核后提交人大批准的涵盖部门各项收支的综合财政计划。</w:t>
      </w:r>
    </w:p>
    <w:p>
      <w:pPr>
        <w:pStyle w:val="6"/>
        <w:shd w:val="clear" w:color="auto" w:fill="FFFFFF"/>
        <w:spacing w:before="93" w:beforeAutospacing="0" w:after="0" w:afterAutospacing="0" w:line="600" w:lineRule="atLeast"/>
        <w:ind w:firstLine="64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2.社会保障和就业支出（208）行政事业单位养老支出（05）事业单位离退休（02）主要用于：反映事业单位开支的离退休经费。</w:t>
      </w:r>
    </w:p>
    <w:p>
      <w:pPr>
        <w:pStyle w:val="6"/>
        <w:shd w:val="clear" w:color="auto" w:fill="FFFFFF"/>
        <w:spacing w:before="93" w:beforeAutospacing="0" w:after="0" w:afterAutospacing="0" w:line="600" w:lineRule="atLeast"/>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3.社会保障和就业支出（208）行政事业单位养老支出（05）机关事业单位基本养老保险缴费支出（05）主要用于：反映机关事业单位实施养老保险制度由单位缴纳的基本养老保险费支出。</w:t>
      </w:r>
    </w:p>
    <w:p>
      <w:pPr>
        <w:pStyle w:val="6"/>
        <w:shd w:val="clear" w:color="auto" w:fill="FFFFFF"/>
        <w:spacing w:before="93" w:beforeAutospacing="0" w:after="0" w:afterAutospacing="0" w:line="600" w:lineRule="atLeast"/>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4.卫生健康支出（210）行政事业单位医疗（11）</w:t>
      </w:r>
      <w:r>
        <w:rPr>
          <w:rStyle w:val="9"/>
          <w:rFonts w:hint="eastAsia" w:ascii="仿宋_GB2312" w:hAnsi="微软雅黑" w:eastAsia="仿宋_GB2312"/>
          <w:b w:val="0"/>
          <w:color w:val="000000"/>
          <w:sz w:val="32"/>
          <w:szCs w:val="32"/>
        </w:rPr>
        <w:t>事业单位医疗</w:t>
      </w:r>
      <w:r>
        <w:rPr>
          <w:rFonts w:hint="eastAsia" w:ascii="仿宋_GB2312" w:hAnsi="微软雅黑" w:eastAsia="仿宋_GB2312"/>
          <w:color w:val="333333"/>
          <w:sz w:val="32"/>
          <w:szCs w:val="32"/>
        </w:rPr>
        <w:t>（02）主要用于：反映财政部门安排的事业单位基本医疗保险缴费经费，未参加医疗保险的事业单位的公费医疗经费，按国家规定享受房休员待遇的医疗经费。</w:t>
      </w:r>
    </w:p>
    <w:p>
      <w:pPr>
        <w:pStyle w:val="6"/>
        <w:shd w:val="clear" w:color="auto" w:fill="FFFFFF"/>
        <w:spacing w:before="93" w:beforeAutospacing="0" w:after="0" w:afterAutospacing="0" w:line="600" w:lineRule="atLeast"/>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5.卫生健康支出（210）行政事业单位医疗（11）</w:t>
      </w:r>
      <w:r>
        <w:rPr>
          <w:rStyle w:val="9"/>
          <w:rFonts w:hint="eastAsia" w:ascii="仿宋_GB2312" w:hAnsi="微软雅黑" w:eastAsia="仿宋_GB2312"/>
          <w:b w:val="0"/>
          <w:color w:val="000000"/>
          <w:sz w:val="32"/>
          <w:szCs w:val="32"/>
        </w:rPr>
        <w:t>公务员医疗补助</w:t>
      </w:r>
      <w:r>
        <w:rPr>
          <w:rFonts w:hint="eastAsia" w:ascii="仿宋_GB2312" w:hAnsi="微软雅黑" w:eastAsia="仿宋_GB2312"/>
          <w:color w:val="333333"/>
          <w:sz w:val="32"/>
          <w:szCs w:val="32"/>
        </w:rPr>
        <w:t>（03）主要用于：反映财政部门安排的公务员医疗补助经费。</w:t>
      </w:r>
    </w:p>
    <w:p>
      <w:pPr>
        <w:pStyle w:val="6"/>
        <w:shd w:val="clear" w:color="auto" w:fill="FFFFFF"/>
        <w:spacing w:before="93" w:beforeAutospacing="0" w:after="0" w:afterAutospacing="0" w:line="600" w:lineRule="atLeast"/>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6.农林水支出（213）林业和草原（02） 事业机构（04）主要用于：反映事业单位的基本支出，不包括行政单位（含实行公务员管理的事业单位）后勤服务中心等附属事业单位的支出。</w:t>
      </w:r>
    </w:p>
    <w:p>
      <w:pPr>
        <w:pStyle w:val="6"/>
        <w:shd w:val="clear" w:color="auto" w:fill="FFFFFF"/>
        <w:spacing w:before="93" w:beforeAutospacing="0" w:after="0" w:afterAutospacing="0" w:line="600" w:lineRule="atLeast"/>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7.农林水支出（213）林业和草原（02）其他林业和草原支出（99）主要用于：反映除上述项目以外其他用于林业和草原方面的支出。</w:t>
      </w:r>
    </w:p>
    <w:p>
      <w:pPr>
        <w:pStyle w:val="6"/>
        <w:shd w:val="clear" w:color="auto" w:fill="FFFFFF"/>
        <w:spacing w:before="93" w:beforeAutospacing="0" w:after="0" w:afterAutospacing="0" w:line="600" w:lineRule="atLeast"/>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8.住房保障支出（221）住房改革支出（02） 住房公积金（01）主要用于：按映行政售业单位按人力资源和社会保障部，财政部规定的基本工资和津贴补贴以及规定比例为职工缴纳的住房公积金。</w:t>
      </w:r>
    </w:p>
    <w:p>
      <w:pPr>
        <w:pStyle w:val="6"/>
        <w:shd w:val="clear" w:color="auto" w:fill="FFFFFF"/>
        <w:spacing w:before="93" w:beforeAutospacing="0" w:after="0" w:afterAutospacing="0" w:line="600" w:lineRule="atLeast"/>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9.基本支出：指为保证机构正常运转，完成日常工作任务而发生的人员支出和公用支出。</w:t>
      </w:r>
    </w:p>
    <w:p>
      <w:pPr>
        <w:pStyle w:val="6"/>
        <w:shd w:val="clear" w:color="auto" w:fill="FFFFFF"/>
        <w:spacing w:before="93" w:beforeAutospacing="0" w:after="0" w:afterAutospacing="0" w:line="600" w:lineRule="atLeast"/>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10.项目支出：指在基本支出之外为完成特定的工作任务和事业发展目标所发生的支出。</w:t>
      </w:r>
    </w:p>
    <w:p>
      <w:pPr>
        <w:pStyle w:val="6"/>
        <w:shd w:val="clear" w:color="auto" w:fill="FFFFFF"/>
        <w:spacing w:before="93"/>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11、“三公”经费：纳入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pStyle w:val="6"/>
        <w:shd w:val="clear" w:color="auto" w:fill="FFFFFF"/>
        <w:spacing w:before="93"/>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12.机关运行经费：为保障行政单位（包含参照公务员法管理的事业单位）运行用于购买货物和服务的各项资金。包括办公及办公费、邮电费、差旅费等费用开支。</w:t>
      </w:r>
    </w:p>
    <w:p>
      <w:pPr>
        <w:pStyle w:val="6"/>
        <w:shd w:val="clear" w:color="auto" w:fill="FFFFFF"/>
        <w:spacing w:before="93"/>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附件：表1.单位收支总表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表1-1.单位收入总表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表1-2.单位支出总表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表2.财政拨款收支预算总表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表2-1.财政拨款支出预算表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表3.一般公共预算支出预算表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表3-1.一般公共预算基本支出预算表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表3-2.一般公共预算项目支出预算表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表3-3.一般公共预算“三公”经费支出预算表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表4.政府性基金预算支出预算表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表4-1.政府性基金预算“三公”经费支出预算表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表5.国有资本经营预算支出预算表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表6-1.单位预算项目绩效目标表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表6-2.单位预算项目绩效目标表</w:t>
      </w:r>
    </w:p>
    <w:p>
      <w:pPr>
        <w:pStyle w:val="6"/>
        <w:shd w:val="clear" w:color="auto" w:fill="FFFFFF"/>
        <w:spacing w:before="93"/>
        <w:ind w:firstLine="1600" w:firstLineChars="5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表7.单位整体支出绩效目标表</w:t>
      </w: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r>
        <w:rPr>
          <w:rFonts w:hint="eastAsia" w:ascii="仿宋_GB2312" w:eastAsia="仿宋_GB2312"/>
          <w:sz w:val="32"/>
          <w:szCs w:val="32"/>
        </w:rPr>
        <w:t xml:space="preserve">                                     米易县国有林场</w:t>
      </w:r>
    </w:p>
    <w:p>
      <w:pPr>
        <w:spacing w:line="560" w:lineRule="exact"/>
        <w:ind w:firstLine="640"/>
        <w:rPr>
          <w:rFonts w:ascii="黑体" w:hAnsi="黑体" w:eastAsia="黑体" w:cs="黑体"/>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20</w:t>
      </w:r>
      <w:bookmarkStart w:id="5" w:name="_GoBack"/>
      <w:bookmarkEnd w:id="5"/>
      <w:r>
        <w:rPr>
          <w:rFonts w:hint="eastAsia" w:ascii="仿宋_GB2312" w:eastAsia="仿宋_GB2312"/>
          <w:sz w:val="32"/>
          <w:szCs w:val="32"/>
        </w:rPr>
        <w:t>日</w:t>
      </w:r>
    </w:p>
    <w:p>
      <w:pPr>
        <w:spacing w:line="560" w:lineRule="exact"/>
        <w:ind w:firstLine="640"/>
        <w:rPr>
          <w:rFonts w:eastAsia="仿宋_GB2312" w:cs="仿宋_GB2312"/>
          <w:b/>
          <w:sz w:val="32"/>
          <w:szCs w:val="32"/>
        </w:rPr>
      </w:pPr>
    </w:p>
    <w:sectPr>
      <w:footerReference r:id="rId3" w:type="default"/>
      <w:footerReference r:id="rId4" w:type="even"/>
      <w:pgSz w:w="11906" w:h="16838"/>
      <w:pgMar w:top="2098" w:right="1474" w:bottom="181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- 12 -</w:t>
    </w:r>
    <w:r>
      <w:rPr>
        <w:rStyle w:val="10"/>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0MDllOTVkNmEyZTZiNDYyMWZmMDAwYWFkNDI1NDcifQ=="/>
  </w:docVars>
  <w:rsids>
    <w:rsidRoot w:val="00E33F67"/>
    <w:rsid w:val="000124C5"/>
    <w:rsid w:val="000135A4"/>
    <w:rsid w:val="00015680"/>
    <w:rsid w:val="00054137"/>
    <w:rsid w:val="00064FE7"/>
    <w:rsid w:val="000673D4"/>
    <w:rsid w:val="00067481"/>
    <w:rsid w:val="0007091A"/>
    <w:rsid w:val="00074C66"/>
    <w:rsid w:val="00080A18"/>
    <w:rsid w:val="0008201E"/>
    <w:rsid w:val="000827E1"/>
    <w:rsid w:val="000A076D"/>
    <w:rsid w:val="000C202C"/>
    <w:rsid w:val="000F4113"/>
    <w:rsid w:val="00101C0E"/>
    <w:rsid w:val="00105F34"/>
    <w:rsid w:val="0010716B"/>
    <w:rsid w:val="00111085"/>
    <w:rsid w:val="00112BCD"/>
    <w:rsid w:val="00121608"/>
    <w:rsid w:val="00126985"/>
    <w:rsid w:val="001368DA"/>
    <w:rsid w:val="00144F90"/>
    <w:rsid w:val="00155321"/>
    <w:rsid w:val="00161EA8"/>
    <w:rsid w:val="00173FD7"/>
    <w:rsid w:val="00181967"/>
    <w:rsid w:val="00190533"/>
    <w:rsid w:val="001B32D1"/>
    <w:rsid w:val="001B3D4D"/>
    <w:rsid w:val="001D4CF6"/>
    <w:rsid w:val="001F5F72"/>
    <w:rsid w:val="0021376E"/>
    <w:rsid w:val="00222BF7"/>
    <w:rsid w:val="002264DD"/>
    <w:rsid w:val="00235D6D"/>
    <w:rsid w:val="00241596"/>
    <w:rsid w:val="00246F04"/>
    <w:rsid w:val="00265BDA"/>
    <w:rsid w:val="00267FE4"/>
    <w:rsid w:val="002749D0"/>
    <w:rsid w:val="0028108E"/>
    <w:rsid w:val="002C4476"/>
    <w:rsid w:val="002C5173"/>
    <w:rsid w:val="002D1276"/>
    <w:rsid w:val="002D1F31"/>
    <w:rsid w:val="002E25BF"/>
    <w:rsid w:val="002E3EAD"/>
    <w:rsid w:val="00302540"/>
    <w:rsid w:val="003043FC"/>
    <w:rsid w:val="003072CD"/>
    <w:rsid w:val="00313753"/>
    <w:rsid w:val="00322316"/>
    <w:rsid w:val="00327644"/>
    <w:rsid w:val="0033150B"/>
    <w:rsid w:val="003350CF"/>
    <w:rsid w:val="00342791"/>
    <w:rsid w:val="003502F3"/>
    <w:rsid w:val="00351A86"/>
    <w:rsid w:val="0036236D"/>
    <w:rsid w:val="003800AD"/>
    <w:rsid w:val="0039741E"/>
    <w:rsid w:val="003A5731"/>
    <w:rsid w:val="003B3199"/>
    <w:rsid w:val="003C27ED"/>
    <w:rsid w:val="003D70D3"/>
    <w:rsid w:val="003F4049"/>
    <w:rsid w:val="00401507"/>
    <w:rsid w:val="00410B53"/>
    <w:rsid w:val="00417593"/>
    <w:rsid w:val="00431EA0"/>
    <w:rsid w:val="00437386"/>
    <w:rsid w:val="0044716F"/>
    <w:rsid w:val="00452194"/>
    <w:rsid w:val="00464BC6"/>
    <w:rsid w:val="00482988"/>
    <w:rsid w:val="00484975"/>
    <w:rsid w:val="004910F4"/>
    <w:rsid w:val="00494B84"/>
    <w:rsid w:val="004A7D23"/>
    <w:rsid w:val="004D3ED0"/>
    <w:rsid w:val="004D66BF"/>
    <w:rsid w:val="004D6FF9"/>
    <w:rsid w:val="004F3447"/>
    <w:rsid w:val="0050471A"/>
    <w:rsid w:val="00521816"/>
    <w:rsid w:val="00524777"/>
    <w:rsid w:val="00524F88"/>
    <w:rsid w:val="00534951"/>
    <w:rsid w:val="0054482C"/>
    <w:rsid w:val="00544BF6"/>
    <w:rsid w:val="00556496"/>
    <w:rsid w:val="0056221C"/>
    <w:rsid w:val="00581F24"/>
    <w:rsid w:val="00595D37"/>
    <w:rsid w:val="005A077B"/>
    <w:rsid w:val="005B292C"/>
    <w:rsid w:val="005B32DE"/>
    <w:rsid w:val="005B3C76"/>
    <w:rsid w:val="005B7BFA"/>
    <w:rsid w:val="005C13F7"/>
    <w:rsid w:val="005D13D4"/>
    <w:rsid w:val="005D624A"/>
    <w:rsid w:val="005D7372"/>
    <w:rsid w:val="005E1A30"/>
    <w:rsid w:val="005E2458"/>
    <w:rsid w:val="005E2CD2"/>
    <w:rsid w:val="005E5907"/>
    <w:rsid w:val="00607F27"/>
    <w:rsid w:val="00620335"/>
    <w:rsid w:val="0063738B"/>
    <w:rsid w:val="0064709F"/>
    <w:rsid w:val="00651898"/>
    <w:rsid w:val="00657DE8"/>
    <w:rsid w:val="006708BC"/>
    <w:rsid w:val="00680251"/>
    <w:rsid w:val="00697D67"/>
    <w:rsid w:val="006A6ABD"/>
    <w:rsid w:val="006B7764"/>
    <w:rsid w:val="006D120D"/>
    <w:rsid w:val="006F29DA"/>
    <w:rsid w:val="006F5C16"/>
    <w:rsid w:val="00703E1D"/>
    <w:rsid w:val="00725173"/>
    <w:rsid w:val="00732705"/>
    <w:rsid w:val="0073513A"/>
    <w:rsid w:val="00762FA7"/>
    <w:rsid w:val="00772CAE"/>
    <w:rsid w:val="00775575"/>
    <w:rsid w:val="00780CE1"/>
    <w:rsid w:val="007B570A"/>
    <w:rsid w:val="007F226F"/>
    <w:rsid w:val="007F4986"/>
    <w:rsid w:val="008074D5"/>
    <w:rsid w:val="008115B4"/>
    <w:rsid w:val="0081387E"/>
    <w:rsid w:val="00820CA8"/>
    <w:rsid w:val="00826F33"/>
    <w:rsid w:val="00854822"/>
    <w:rsid w:val="00855AF2"/>
    <w:rsid w:val="00861A42"/>
    <w:rsid w:val="008707A2"/>
    <w:rsid w:val="00875A14"/>
    <w:rsid w:val="008948C0"/>
    <w:rsid w:val="008B42D9"/>
    <w:rsid w:val="008B585B"/>
    <w:rsid w:val="008B654B"/>
    <w:rsid w:val="008C7942"/>
    <w:rsid w:val="008D00FE"/>
    <w:rsid w:val="008D453C"/>
    <w:rsid w:val="008E3AA6"/>
    <w:rsid w:val="008F12FC"/>
    <w:rsid w:val="008F236F"/>
    <w:rsid w:val="008F70C6"/>
    <w:rsid w:val="008F7180"/>
    <w:rsid w:val="00903A87"/>
    <w:rsid w:val="009042F7"/>
    <w:rsid w:val="00910094"/>
    <w:rsid w:val="00912A2C"/>
    <w:rsid w:val="0091472C"/>
    <w:rsid w:val="0091634B"/>
    <w:rsid w:val="0092036A"/>
    <w:rsid w:val="00921DE7"/>
    <w:rsid w:val="00923662"/>
    <w:rsid w:val="0092645A"/>
    <w:rsid w:val="009301A1"/>
    <w:rsid w:val="009364AA"/>
    <w:rsid w:val="00945788"/>
    <w:rsid w:val="00956ABE"/>
    <w:rsid w:val="0096069F"/>
    <w:rsid w:val="009649DE"/>
    <w:rsid w:val="00981344"/>
    <w:rsid w:val="00991EAE"/>
    <w:rsid w:val="00993452"/>
    <w:rsid w:val="009A130D"/>
    <w:rsid w:val="009A5550"/>
    <w:rsid w:val="009B64F1"/>
    <w:rsid w:val="009C2815"/>
    <w:rsid w:val="009C4378"/>
    <w:rsid w:val="009D1EDC"/>
    <w:rsid w:val="009D3D73"/>
    <w:rsid w:val="009D6C79"/>
    <w:rsid w:val="009E3527"/>
    <w:rsid w:val="009F79F0"/>
    <w:rsid w:val="00A0261E"/>
    <w:rsid w:val="00A369BC"/>
    <w:rsid w:val="00A60C21"/>
    <w:rsid w:val="00A62668"/>
    <w:rsid w:val="00A94592"/>
    <w:rsid w:val="00A963D3"/>
    <w:rsid w:val="00A975EF"/>
    <w:rsid w:val="00AA4E91"/>
    <w:rsid w:val="00AB42A4"/>
    <w:rsid w:val="00AB77B3"/>
    <w:rsid w:val="00AC0CB8"/>
    <w:rsid w:val="00AD70E4"/>
    <w:rsid w:val="00AE3353"/>
    <w:rsid w:val="00AE540F"/>
    <w:rsid w:val="00AE5617"/>
    <w:rsid w:val="00B01DA1"/>
    <w:rsid w:val="00B02D49"/>
    <w:rsid w:val="00B070F9"/>
    <w:rsid w:val="00B1005B"/>
    <w:rsid w:val="00B1788E"/>
    <w:rsid w:val="00B259B0"/>
    <w:rsid w:val="00B41B53"/>
    <w:rsid w:val="00B813AE"/>
    <w:rsid w:val="00B841A7"/>
    <w:rsid w:val="00B95BD0"/>
    <w:rsid w:val="00BB56E8"/>
    <w:rsid w:val="00BC2968"/>
    <w:rsid w:val="00BC7D4B"/>
    <w:rsid w:val="00BD4171"/>
    <w:rsid w:val="00BE280D"/>
    <w:rsid w:val="00BE510C"/>
    <w:rsid w:val="00C0067B"/>
    <w:rsid w:val="00C12ED3"/>
    <w:rsid w:val="00C2236F"/>
    <w:rsid w:val="00C24A74"/>
    <w:rsid w:val="00C35BE3"/>
    <w:rsid w:val="00C47171"/>
    <w:rsid w:val="00C50237"/>
    <w:rsid w:val="00C57287"/>
    <w:rsid w:val="00C6358B"/>
    <w:rsid w:val="00C81780"/>
    <w:rsid w:val="00C81D66"/>
    <w:rsid w:val="00C90B6C"/>
    <w:rsid w:val="00C947DA"/>
    <w:rsid w:val="00CA121B"/>
    <w:rsid w:val="00CB5D8B"/>
    <w:rsid w:val="00CB6D4E"/>
    <w:rsid w:val="00CC187B"/>
    <w:rsid w:val="00CD1211"/>
    <w:rsid w:val="00CD1BBE"/>
    <w:rsid w:val="00CE182B"/>
    <w:rsid w:val="00CF2C76"/>
    <w:rsid w:val="00D0135C"/>
    <w:rsid w:val="00D033C6"/>
    <w:rsid w:val="00D03E9F"/>
    <w:rsid w:val="00D167C6"/>
    <w:rsid w:val="00D17BB9"/>
    <w:rsid w:val="00D42650"/>
    <w:rsid w:val="00D43BA1"/>
    <w:rsid w:val="00D44160"/>
    <w:rsid w:val="00D541C3"/>
    <w:rsid w:val="00D5680B"/>
    <w:rsid w:val="00D5775E"/>
    <w:rsid w:val="00D723B4"/>
    <w:rsid w:val="00D74923"/>
    <w:rsid w:val="00D76D80"/>
    <w:rsid w:val="00D8269E"/>
    <w:rsid w:val="00D834F2"/>
    <w:rsid w:val="00D94D6F"/>
    <w:rsid w:val="00DB09E1"/>
    <w:rsid w:val="00DB3549"/>
    <w:rsid w:val="00DC2CAE"/>
    <w:rsid w:val="00DE2DBA"/>
    <w:rsid w:val="00DE740C"/>
    <w:rsid w:val="00DF6AE9"/>
    <w:rsid w:val="00E03B05"/>
    <w:rsid w:val="00E13596"/>
    <w:rsid w:val="00E22146"/>
    <w:rsid w:val="00E33F67"/>
    <w:rsid w:val="00E35944"/>
    <w:rsid w:val="00E518E1"/>
    <w:rsid w:val="00E556D4"/>
    <w:rsid w:val="00E55CC3"/>
    <w:rsid w:val="00E60533"/>
    <w:rsid w:val="00E75A11"/>
    <w:rsid w:val="00E76892"/>
    <w:rsid w:val="00E82616"/>
    <w:rsid w:val="00E83944"/>
    <w:rsid w:val="00E83D57"/>
    <w:rsid w:val="00E91001"/>
    <w:rsid w:val="00E934C5"/>
    <w:rsid w:val="00EA45D3"/>
    <w:rsid w:val="00EB3522"/>
    <w:rsid w:val="00EB55EC"/>
    <w:rsid w:val="00EC1A32"/>
    <w:rsid w:val="00ED2F11"/>
    <w:rsid w:val="00ED333E"/>
    <w:rsid w:val="00ED40C2"/>
    <w:rsid w:val="00EE1B76"/>
    <w:rsid w:val="00EE413B"/>
    <w:rsid w:val="00EF160A"/>
    <w:rsid w:val="00EF1665"/>
    <w:rsid w:val="00EF1BC3"/>
    <w:rsid w:val="00EF2BDE"/>
    <w:rsid w:val="00EF6047"/>
    <w:rsid w:val="00F15B97"/>
    <w:rsid w:val="00F223C0"/>
    <w:rsid w:val="00F26745"/>
    <w:rsid w:val="00F27404"/>
    <w:rsid w:val="00F33767"/>
    <w:rsid w:val="00F429A3"/>
    <w:rsid w:val="00F42BB3"/>
    <w:rsid w:val="00F4354E"/>
    <w:rsid w:val="00F44144"/>
    <w:rsid w:val="00F47DFC"/>
    <w:rsid w:val="00F5159E"/>
    <w:rsid w:val="00F5306B"/>
    <w:rsid w:val="00F66F88"/>
    <w:rsid w:val="00F7293D"/>
    <w:rsid w:val="00F8776A"/>
    <w:rsid w:val="00F91E8E"/>
    <w:rsid w:val="00F954C2"/>
    <w:rsid w:val="00FA0CE7"/>
    <w:rsid w:val="00FA46D0"/>
    <w:rsid w:val="00FA6BC0"/>
    <w:rsid w:val="00FB2A5A"/>
    <w:rsid w:val="00FC2E52"/>
    <w:rsid w:val="00FE7D96"/>
    <w:rsid w:val="00FF6433"/>
    <w:rsid w:val="015A1C7E"/>
    <w:rsid w:val="03F67DC3"/>
    <w:rsid w:val="067D03DF"/>
    <w:rsid w:val="074300A9"/>
    <w:rsid w:val="07923554"/>
    <w:rsid w:val="09475B37"/>
    <w:rsid w:val="0A6E52BA"/>
    <w:rsid w:val="0BD64C7B"/>
    <w:rsid w:val="0D6D77D3"/>
    <w:rsid w:val="0DF46919"/>
    <w:rsid w:val="0FC97113"/>
    <w:rsid w:val="1AB03E05"/>
    <w:rsid w:val="1EAD74D5"/>
    <w:rsid w:val="213A3216"/>
    <w:rsid w:val="2263597E"/>
    <w:rsid w:val="22872A08"/>
    <w:rsid w:val="278E2A94"/>
    <w:rsid w:val="28AC544D"/>
    <w:rsid w:val="2BE64D65"/>
    <w:rsid w:val="2E302128"/>
    <w:rsid w:val="2E4B7101"/>
    <w:rsid w:val="30503E51"/>
    <w:rsid w:val="334A3048"/>
    <w:rsid w:val="39053924"/>
    <w:rsid w:val="39A20742"/>
    <w:rsid w:val="3AA0340C"/>
    <w:rsid w:val="3AD375F5"/>
    <w:rsid w:val="3C964F87"/>
    <w:rsid w:val="3D495A33"/>
    <w:rsid w:val="41F27582"/>
    <w:rsid w:val="423E19DD"/>
    <w:rsid w:val="455E397D"/>
    <w:rsid w:val="45E310E5"/>
    <w:rsid w:val="473467DE"/>
    <w:rsid w:val="47A95A58"/>
    <w:rsid w:val="4D9731C6"/>
    <w:rsid w:val="5B443B97"/>
    <w:rsid w:val="5E2919CC"/>
    <w:rsid w:val="5E7716D7"/>
    <w:rsid w:val="634C5A9D"/>
    <w:rsid w:val="638B21A1"/>
    <w:rsid w:val="64567A30"/>
    <w:rsid w:val="646002BB"/>
    <w:rsid w:val="64877E2E"/>
    <w:rsid w:val="65385512"/>
    <w:rsid w:val="66274DC1"/>
    <w:rsid w:val="66D3234F"/>
    <w:rsid w:val="69531320"/>
    <w:rsid w:val="69540F5E"/>
    <w:rsid w:val="6B352EA6"/>
    <w:rsid w:val="6B681DC7"/>
    <w:rsid w:val="77621A5F"/>
    <w:rsid w:val="77876651"/>
    <w:rsid w:val="79BF4D8B"/>
    <w:rsid w:val="7E425EB3"/>
    <w:rsid w:val="7FCB5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qFormat/>
    <w:uiPriority w:val="0"/>
  </w:style>
  <w:style w:type="paragraph" w:customStyle="1" w:styleId="11">
    <w:name w:val="_Style 19"/>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
    <w:name w:val="apple-converted-spac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4318</Words>
  <Characters>835</Characters>
  <Lines>6</Lines>
  <Paragraphs>10</Paragraphs>
  <TotalTime>29</TotalTime>
  <ScaleCrop>false</ScaleCrop>
  <LinksUpToDate>false</LinksUpToDate>
  <CharactersWithSpaces>5143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2022-03-16T01:36:00Z</dcterms:created>
  <dc:creator>赵树子</dc:creator>
  <cp:lastModifiedBy>Administrator</cp:lastModifiedBy>
  <cp:lastPrinted>2022-03-17T01:13:00Z</cp:lastPrinted>
  <dcterms:modified xsi:type="dcterms:W3CDTF">2025-05-21T09:26:01Z</dcterms:modified>
  <dc:title>四川省财政厅2011年部门预算编制说明</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B76014DAD7C74FF2A66B5EC95061AED7</vt:lpwstr>
  </property>
</Properties>
</file>