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D8159">
      <w:pPr>
        <w:spacing w:line="600" w:lineRule="exact"/>
        <w:jc w:val="center"/>
        <w:outlineLvl w:val="0"/>
        <w:rPr>
          <w:rFonts w:ascii="方正小标宋简体" w:hAnsi="宋体" w:eastAsia="方正小标宋简体"/>
          <w:sz w:val="72"/>
          <w:szCs w:val="72"/>
        </w:rPr>
      </w:pPr>
      <w:bookmarkStart w:id="0" w:name="_Toc15396475"/>
      <w:bookmarkStart w:id="1" w:name="_Toc15377193"/>
      <w:bookmarkStart w:id="2" w:name="_Toc15396597"/>
      <w:bookmarkStart w:id="3" w:name="_Toc15378441"/>
      <w:bookmarkStart w:id="4" w:name="_Toc15377425"/>
      <w:bookmarkStart w:id="5" w:name="_Toc15306267"/>
    </w:p>
    <w:p w14:paraId="5B3C8043">
      <w:pPr>
        <w:spacing w:line="600" w:lineRule="exact"/>
        <w:jc w:val="center"/>
        <w:outlineLvl w:val="0"/>
        <w:rPr>
          <w:rFonts w:ascii="方正小标宋简体" w:hAnsi="宋体" w:eastAsia="方正小标宋简体"/>
          <w:sz w:val="72"/>
          <w:szCs w:val="72"/>
        </w:rPr>
      </w:pPr>
    </w:p>
    <w:p w14:paraId="0CA0836C">
      <w:pPr>
        <w:spacing w:line="600" w:lineRule="exact"/>
        <w:jc w:val="center"/>
        <w:outlineLvl w:val="0"/>
        <w:rPr>
          <w:rFonts w:ascii="方正小标宋简体" w:hAnsi="宋体" w:eastAsia="方正小标宋简体"/>
          <w:sz w:val="72"/>
          <w:szCs w:val="72"/>
        </w:rPr>
      </w:pPr>
    </w:p>
    <w:p w14:paraId="01C39177">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14:paraId="1676818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426"/>
      <w:bookmarkStart w:id="8" w:name="_Toc15377194"/>
      <w:bookmarkStart w:id="9" w:name="_Toc15396476"/>
      <w:bookmarkStart w:id="10" w:name="_Toc15378442"/>
      <w:r>
        <w:rPr>
          <w:rFonts w:hint="eastAsia" w:ascii="方正小标宋简体" w:hAnsi="方正小标宋简体" w:eastAsia="方正小标宋简体" w:cs="方正小标宋简体"/>
          <w:sz w:val="72"/>
          <w:szCs w:val="72"/>
        </w:rPr>
        <w:t>米易县</w:t>
      </w:r>
      <w:bookmarkStart w:id="11" w:name="_Toc15306268"/>
      <w:r>
        <w:rPr>
          <w:rFonts w:hint="eastAsia" w:ascii="方正小标宋简体" w:hAnsi="方正小标宋简体" w:eastAsia="方正小标宋简体" w:cs="方正小标宋简体"/>
          <w:sz w:val="72"/>
          <w:szCs w:val="72"/>
        </w:rPr>
        <w:t>集体土地征收补偿安置中心部门决算</w:t>
      </w:r>
      <w:bookmarkEnd w:id="6"/>
      <w:bookmarkEnd w:id="7"/>
      <w:bookmarkEnd w:id="8"/>
      <w:bookmarkEnd w:id="9"/>
      <w:bookmarkEnd w:id="10"/>
      <w:bookmarkEnd w:id="11"/>
    </w:p>
    <w:p w14:paraId="6F09D0FC">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公开编制说明</w:t>
      </w:r>
    </w:p>
    <w:p w14:paraId="1E83764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07D4E18">
      <w:pPr>
        <w:widowControl/>
        <w:jc w:val="center"/>
        <w:rPr>
          <w:rFonts w:ascii="黑体" w:hAnsi="黑体" w:eastAsia="黑体" w:cstheme="minorBidi"/>
          <w:sz w:val="28"/>
          <w:szCs w:val="28"/>
        </w:rPr>
      </w:pPr>
    </w:p>
    <w:p w14:paraId="40A2940F">
      <w:pPr>
        <w:pStyle w:val="12"/>
      </w:pPr>
      <w:r>
        <w:rPr>
          <w:rFonts w:hint="eastAsia"/>
        </w:rPr>
        <w:t>公开时间：2024年9月20日</w:t>
      </w:r>
    </w:p>
    <w:p w14:paraId="602163F3"/>
    <w:p w14:paraId="53DC55BA">
      <w:pPr>
        <w:pStyle w:val="12"/>
        <w:tabs>
          <w:tab w:val="right" w:leader="dot" w:pos="8630"/>
        </w:tabs>
        <w:rPr>
          <w:rFonts w:cstheme="minorBidi"/>
          <w:sz w:val="21"/>
        </w:rPr>
      </w:pPr>
      <w:bookmarkStart w:id="12" w:name="_Toc15396599"/>
      <w:bookmarkStart w:id="13" w:name="_Toc15377196"/>
      <w:r>
        <w:rPr>
          <w:rFonts w:ascii="Times New Roman" w:hAnsi="Times New Roman" w:eastAsia="仿宋_GB2312"/>
          <w:sz w:val="32"/>
          <w:szCs w:val="22"/>
          <w:lang w:val="zh-CN"/>
        </w:rPr>
        <w:fldChar w:fldCharType="begin"/>
      </w:r>
      <w:r>
        <w:rPr>
          <w:rFonts w:ascii="Times New Roman" w:hAnsi="Times New Roman" w:eastAsia="仿宋_GB2312"/>
          <w:sz w:val="32"/>
          <w:lang w:val="zh-CN"/>
        </w:rPr>
        <w:instrText xml:space="preserve"> TOC \o "1-2" \h \z \u </w:instrText>
      </w:r>
      <w:r>
        <w:rPr>
          <w:rFonts w:ascii="Times New Roman" w:hAnsi="Times New Roman" w:eastAsia="仿宋_GB2312"/>
          <w:sz w:val="32"/>
          <w:szCs w:val="22"/>
          <w:lang w:val="zh-CN"/>
        </w:rPr>
        <w:fldChar w:fldCharType="separate"/>
      </w:r>
      <w:r>
        <w:fldChar w:fldCharType="begin"/>
      </w:r>
      <w:r>
        <w:instrText xml:space="preserve"> HYPERLINK \l "_Toc149139884" </w:instrText>
      </w:r>
      <w:r>
        <w:fldChar w:fldCharType="separate"/>
      </w:r>
      <w:r>
        <w:rPr>
          <w:rStyle w:val="20"/>
          <w:rFonts w:ascii="黑体" w:hAnsi="黑体" w:eastAsia="黑体"/>
          <w:kern w:val="44"/>
          <w:lang w:val="zh-CN"/>
        </w:rPr>
        <w:t>第一部分 单位概况</w:t>
      </w:r>
      <w:r>
        <w:tab/>
      </w:r>
      <w:r>
        <w:rPr>
          <w:rFonts w:hint="eastAsia"/>
        </w:rPr>
        <w:t>3</w:t>
      </w:r>
      <w:r>
        <w:rPr>
          <w:rFonts w:hint="eastAsia"/>
        </w:rPr>
        <w:fldChar w:fldCharType="end"/>
      </w:r>
    </w:p>
    <w:p w14:paraId="3C69A3FC">
      <w:pPr>
        <w:pStyle w:val="14"/>
        <w:tabs>
          <w:tab w:val="right" w:leader="dot" w:pos="8630"/>
        </w:tabs>
        <w:rPr>
          <w:rFonts w:cstheme="minorBidi"/>
        </w:rPr>
      </w:pPr>
      <w:r>
        <w:fldChar w:fldCharType="begin"/>
      </w:r>
      <w:r>
        <w:instrText xml:space="preserve"> HYPERLINK \l "_Toc149139885" </w:instrText>
      </w:r>
      <w:r>
        <w:fldChar w:fldCharType="separate"/>
      </w:r>
      <w:r>
        <w:rPr>
          <w:rStyle w:val="20"/>
          <w:rFonts w:ascii="黑体" w:hAnsi="黑体" w:eastAsia="黑体"/>
        </w:rPr>
        <w:t>一、单位职责</w:t>
      </w:r>
      <w:r>
        <w:tab/>
      </w:r>
      <w:r>
        <w:rPr>
          <w:rFonts w:hint="eastAsia"/>
        </w:rPr>
        <w:t>3</w:t>
      </w:r>
      <w:r>
        <w:rPr>
          <w:rFonts w:hint="eastAsia"/>
        </w:rPr>
        <w:fldChar w:fldCharType="end"/>
      </w:r>
    </w:p>
    <w:p w14:paraId="225E4C17">
      <w:pPr>
        <w:pStyle w:val="14"/>
        <w:tabs>
          <w:tab w:val="right" w:leader="dot" w:pos="8630"/>
        </w:tabs>
        <w:rPr>
          <w:rFonts w:cstheme="minorBidi"/>
        </w:rPr>
      </w:pPr>
      <w:r>
        <w:fldChar w:fldCharType="begin"/>
      </w:r>
      <w:r>
        <w:instrText xml:space="preserve"> HYPERLINK \l "_Toc149139886" </w:instrText>
      </w:r>
      <w:r>
        <w:fldChar w:fldCharType="separate"/>
      </w:r>
      <w:r>
        <w:rPr>
          <w:rStyle w:val="20"/>
          <w:rFonts w:ascii="黑体" w:hAnsi="黑体" w:eastAsia="黑体"/>
        </w:rPr>
        <w:t>二、机构设置</w:t>
      </w:r>
      <w:r>
        <w:tab/>
      </w:r>
      <w:r>
        <w:rPr>
          <w:rFonts w:hint="eastAsia"/>
        </w:rPr>
        <w:t>3</w:t>
      </w:r>
      <w:r>
        <w:rPr>
          <w:rFonts w:hint="eastAsia"/>
        </w:rPr>
        <w:fldChar w:fldCharType="end"/>
      </w:r>
    </w:p>
    <w:p w14:paraId="42B3EA29">
      <w:pPr>
        <w:pStyle w:val="12"/>
        <w:tabs>
          <w:tab w:val="right" w:leader="dot" w:pos="8630"/>
        </w:tabs>
        <w:rPr>
          <w:rFonts w:cstheme="minorBidi"/>
          <w:sz w:val="21"/>
        </w:rPr>
      </w:pPr>
      <w:r>
        <w:fldChar w:fldCharType="begin"/>
      </w:r>
      <w:r>
        <w:instrText xml:space="preserve"> HYPERLINK \l "_Toc149139888" </w:instrText>
      </w:r>
      <w:r>
        <w:fldChar w:fldCharType="separate"/>
      </w:r>
      <w:r>
        <w:rPr>
          <w:rStyle w:val="20"/>
          <w:rFonts w:ascii="黑体" w:hAnsi="黑体" w:eastAsia="黑体"/>
          <w:kern w:val="44"/>
          <w:lang w:val="zh-CN"/>
        </w:rPr>
        <w:t>第二部分 2022年度单位决算情况说明</w:t>
      </w:r>
      <w:r>
        <w:tab/>
      </w:r>
      <w:r>
        <w:rPr>
          <w:rFonts w:hint="eastAsia"/>
        </w:rPr>
        <w:t>4</w:t>
      </w:r>
      <w:r>
        <w:rPr>
          <w:rFonts w:hint="eastAsia"/>
        </w:rPr>
        <w:fldChar w:fldCharType="end"/>
      </w:r>
    </w:p>
    <w:p w14:paraId="33BC6B3F">
      <w:pPr>
        <w:pStyle w:val="14"/>
        <w:tabs>
          <w:tab w:val="right" w:leader="dot" w:pos="8630"/>
        </w:tabs>
        <w:rPr>
          <w:rFonts w:cstheme="minorBidi"/>
        </w:rPr>
      </w:pPr>
      <w:r>
        <w:fldChar w:fldCharType="begin"/>
      </w:r>
      <w:r>
        <w:instrText xml:space="preserve"> HYPERLINK \l "_Toc149139889" </w:instrText>
      </w:r>
      <w:r>
        <w:fldChar w:fldCharType="separate"/>
      </w:r>
      <w:r>
        <w:rPr>
          <w:rStyle w:val="20"/>
          <w:rFonts w:ascii="黑体" w:hAnsi="黑体" w:eastAsia="黑体"/>
        </w:rPr>
        <w:t>一、收入支出决算总体情况说明</w:t>
      </w:r>
      <w:r>
        <w:tab/>
      </w:r>
      <w:r>
        <w:rPr>
          <w:rFonts w:hint="eastAsia"/>
        </w:rPr>
        <w:t>4</w:t>
      </w:r>
      <w:r>
        <w:rPr>
          <w:rFonts w:hint="eastAsia"/>
        </w:rPr>
        <w:fldChar w:fldCharType="end"/>
      </w:r>
    </w:p>
    <w:p w14:paraId="79EDAE32">
      <w:pPr>
        <w:pStyle w:val="14"/>
        <w:tabs>
          <w:tab w:val="right" w:leader="dot" w:pos="8630"/>
        </w:tabs>
        <w:rPr>
          <w:rFonts w:cstheme="minorBidi"/>
        </w:rPr>
      </w:pPr>
      <w:r>
        <w:fldChar w:fldCharType="begin"/>
      </w:r>
      <w:r>
        <w:instrText xml:space="preserve"> HYPERLINK \l "_Toc149139890" </w:instrText>
      </w:r>
      <w:r>
        <w:fldChar w:fldCharType="separate"/>
      </w:r>
      <w:r>
        <w:rPr>
          <w:rStyle w:val="20"/>
          <w:rFonts w:ascii="黑体" w:hAnsi="黑体" w:eastAsia="黑体"/>
        </w:rPr>
        <w:t>二、收入决算情况说明</w:t>
      </w:r>
      <w:r>
        <w:tab/>
      </w:r>
      <w:r>
        <w:rPr>
          <w:rFonts w:hint="eastAsia"/>
        </w:rPr>
        <w:t>4</w:t>
      </w:r>
      <w:r>
        <w:rPr>
          <w:rFonts w:hint="eastAsia"/>
        </w:rPr>
        <w:fldChar w:fldCharType="end"/>
      </w:r>
    </w:p>
    <w:p w14:paraId="1C1ED55D">
      <w:pPr>
        <w:pStyle w:val="14"/>
        <w:tabs>
          <w:tab w:val="right" w:leader="dot" w:pos="8630"/>
        </w:tabs>
        <w:rPr>
          <w:rFonts w:cstheme="minorBidi"/>
        </w:rPr>
      </w:pPr>
      <w:r>
        <w:fldChar w:fldCharType="begin"/>
      </w:r>
      <w:r>
        <w:instrText xml:space="preserve"> HYPERLINK \l "_Toc149139891" </w:instrText>
      </w:r>
      <w:r>
        <w:fldChar w:fldCharType="separate"/>
      </w:r>
      <w:r>
        <w:rPr>
          <w:rStyle w:val="20"/>
          <w:rFonts w:ascii="黑体" w:hAnsi="黑体" w:eastAsia="黑体"/>
        </w:rPr>
        <w:t>三、支出决算情况说明</w:t>
      </w:r>
      <w:r>
        <w:tab/>
      </w:r>
      <w:r>
        <w:rPr>
          <w:rFonts w:hint="eastAsia"/>
        </w:rPr>
        <w:t>5</w:t>
      </w:r>
      <w:r>
        <w:rPr>
          <w:rFonts w:hint="eastAsia"/>
        </w:rPr>
        <w:fldChar w:fldCharType="end"/>
      </w:r>
    </w:p>
    <w:p w14:paraId="0D8B9F2F">
      <w:pPr>
        <w:pStyle w:val="14"/>
        <w:tabs>
          <w:tab w:val="right" w:leader="dot" w:pos="8630"/>
        </w:tabs>
        <w:rPr>
          <w:rFonts w:cstheme="minorBidi"/>
        </w:rPr>
      </w:pPr>
      <w:r>
        <w:fldChar w:fldCharType="begin"/>
      </w:r>
      <w:r>
        <w:instrText xml:space="preserve"> HYPERLINK \l "_Toc149139892" </w:instrText>
      </w:r>
      <w:r>
        <w:fldChar w:fldCharType="separate"/>
      </w:r>
      <w:r>
        <w:rPr>
          <w:rStyle w:val="20"/>
          <w:rFonts w:ascii="黑体" w:hAnsi="黑体" w:eastAsia="黑体"/>
        </w:rPr>
        <w:t>四、财政拨款收入支出决算总体情况说明</w:t>
      </w:r>
      <w:r>
        <w:tab/>
      </w:r>
      <w:r>
        <w:rPr>
          <w:rFonts w:hint="eastAsia"/>
        </w:rPr>
        <w:t>5</w:t>
      </w:r>
      <w:r>
        <w:rPr>
          <w:rFonts w:hint="eastAsia"/>
        </w:rPr>
        <w:fldChar w:fldCharType="end"/>
      </w:r>
    </w:p>
    <w:p w14:paraId="2DB3F828">
      <w:pPr>
        <w:pStyle w:val="14"/>
        <w:tabs>
          <w:tab w:val="right" w:leader="dot" w:pos="8630"/>
        </w:tabs>
        <w:rPr>
          <w:rFonts w:cstheme="minorBidi"/>
        </w:rPr>
      </w:pPr>
      <w:r>
        <w:fldChar w:fldCharType="begin"/>
      </w:r>
      <w:r>
        <w:instrText xml:space="preserve"> HYPERLINK \l "_Toc149139893" </w:instrText>
      </w:r>
      <w:r>
        <w:fldChar w:fldCharType="separate"/>
      </w:r>
      <w:r>
        <w:rPr>
          <w:rStyle w:val="20"/>
          <w:rFonts w:ascii="黑体" w:hAnsi="黑体" w:eastAsia="黑体"/>
        </w:rPr>
        <w:t>五、一般公共预算财政拨款支出决算情况说明</w:t>
      </w:r>
      <w:r>
        <w:tab/>
      </w:r>
      <w:r>
        <w:rPr>
          <w:rFonts w:hint="eastAsia"/>
        </w:rPr>
        <w:t>6</w:t>
      </w:r>
      <w:r>
        <w:rPr>
          <w:rFonts w:hint="eastAsia"/>
        </w:rPr>
        <w:fldChar w:fldCharType="end"/>
      </w:r>
    </w:p>
    <w:p w14:paraId="3ED86AFC">
      <w:pPr>
        <w:pStyle w:val="14"/>
        <w:tabs>
          <w:tab w:val="right" w:leader="dot" w:pos="8630"/>
        </w:tabs>
        <w:rPr>
          <w:rFonts w:cstheme="minorBidi"/>
        </w:rPr>
      </w:pPr>
      <w:r>
        <w:fldChar w:fldCharType="begin"/>
      </w:r>
      <w:r>
        <w:instrText xml:space="preserve"> HYPERLINK \l "_Toc149139894" </w:instrText>
      </w:r>
      <w:r>
        <w:fldChar w:fldCharType="separate"/>
      </w:r>
      <w:r>
        <w:rPr>
          <w:rStyle w:val="20"/>
          <w:rFonts w:ascii="黑体" w:hAnsi="黑体" w:eastAsia="黑体"/>
        </w:rPr>
        <w:t>六、一般公共预算财政拨款基本支出决算情况说明</w:t>
      </w:r>
      <w:r>
        <w:tab/>
      </w:r>
      <w:r>
        <w:rPr>
          <w:rFonts w:hint="eastAsia"/>
        </w:rPr>
        <w:t>7</w:t>
      </w:r>
      <w:r>
        <w:rPr>
          <w:rFonts w:hint="eastAsia"/>
        </w:rPr>
        <w:fldChar w:fldCharType="end"/>
      </w:r>
    </w:p>
    <w:p w14:paraId="52D6D489">
      <w:pPr>
        <w:pStyle w:val="14"/>
        <w:tabs>
          <w:tab w:val="right" w:leader="dot" w:pos="8630"/>
        </w:tabs>
        <w:rPr>
          <w:rFonts w:cstheme="minorBidi"/>
        </w:rPr>
      </w:pPr>
      <w:r>
        <w:fldChar w:fldCharType="begin"/>
      </w:r>
      <w:r>
        <w:instrText xml:space="preserve"> HYPERLINK \l "_Toc149139895" </w:instrText>
      </w:r>
      <w:r>
        <w:fldChar w:fldCharType="separate"/>
      </w:r>
      <w:r>
        <w:rPr>
          <w:rStyle w:val="20"/>
          <w:rFonts w:ascii="黑体" w:hAnsi="黑体" w:eastAsia="黑体"/>
        </w:rPr>
        <w:t>七、“三公”经费财政拨款支出决算情况说明</w:t>
      </w:r>
      <w:r>
        <w:tab/>
      </w:r>
      <w:r>
        <w:rPr>
          <w:rFonts w:hint="eastAsia"/>
        </w:rPr>
        <w:t>9</w:t>
      </w:r>
      <w:r>
        <w:rPr>
          <w:rFonts w:hint="eastAsia"/>
        </w:rPr>
        <w:fldChar w:fldCharType="end"/>
      </w:r>
    </w:p>
    <w:p w14:paraId="056D950D">
      <w:pPr>
        <w:pStyle w:val="14"/>
        <w:tabs>
          <w:tab w:val="right" w:leader="dot" w:pos="8630"/>
        </w:tabs>
        <w:rPr>
          <w:rFonts w:cstheme="minorBidi"/>
        </w:rPr>
      </w:pPr>
      <w:r>
        <w:fldChar w:fldCharType="begin"/>
      </w:r>
      <w:r>
        <w:instrText xml:space="preserve"> HYPERLINK \l "_Toc149139896" </w:instrText>
      </w:r>
      <w:r>
        <w:fldChar w:fldCharType="separate"/>
      </w:r>
      <w:r>
        <w:rPr>
          <w:rStyle w:val="20"/>
          <w:rFonts w:ascii="黑体" w:hAnsi="黑体" w:eastAsia="黑体"/>
        </w:rPr>
        <w:t>八、政府性基金预算支出决算情况说明</w:t>
      </w:r>
      <w:r>
        <w:tab/>
      </w:r>
      <w:r>
        <w:fldChar w:fldCharType="end"/>
      </w:r>
      <w:r>
        <w:rPr>
          <w:rFonts w:hint="eastAsia"/>
        </w:rPr>
        <w:t>10</w:t>
      </w:r>
    </w:p>
    <w:p w14:paraId="028274DB">
      <w:pPr>
        <w:pStyle w:val="14"/>
        <w:tabs>
          <w:tab w:val="right" w:leader="dot" w:pos="8630"/>
        </w:tabs>
        <w:rPr>
          <w:rFonts w:cstheme="minorBidi"/>
        </w:rPr>
      </w:pPr>
      <w:r>
        <w:fldChar w:fldCharType="begin"/>
      </w:r>
      <w:r>
        <w:instrText xml:space="preserve"> HYPERLINK \l "_Toc149139897" </w:instrText>
      </w:r>
      <w:r>
        <w:fldChar w:fldCharType="separate"/>
      </w:r>
      <w:r>
        <w:rPr>
          <w:rStyle w:val="20"/>
          <w:rFonts w:ascii="黑体" w:hAnsi="黑体" w:eastAsia="黑体"/>
        </w:rPr>
        <w:t>九、国有资本经营预算支出决算情况说明</w:t>
      </w:r>
      <w:r>
        <w:tab/>
      </w:r>
      <w:r>
        <w:rPr>
          <w:rFonts w:hint="eastAsia"/>
        </w:rPr>
        <w:t>10</w:t>
      </w:r>
      <w:r>
        <w:rPr>
          <w:rFonts w:hint="eastAsia"/>
        </w:rPr>
        <w:fldChar w:fldCharType="end"/>
      </w:r>
    </w:p>
    <w:p w14:paraId="415908BD">
      <w:pPr>
        <w:pStyle w:val="14"/>
        <w:tabs>
          <w:tab w:val="right" w:leader="dot" w:pos="8630"/>
        </w:tabs>
        <w:rPr>
          <w:rFonts w:cstheme="minorBidi"/>
        </w:rPr>
      </w:pPr>
      <w:r>
        <w:fldChar w:fldCharType="begin"/>
      </w:r>
      <w:r>
        <w:instrText xml:space="preserve"> HYPERLINK \l "_Toc149139898" </w:instrText>
      </w:r>
      <w:r>
        <w:fldChar w:fldCharType="separate"/>
      </w:r>
      <w:r>
        <w:rPr>
          <w:rStyle w:val="20"/>
          <w:rFonts w:ascii="黑体" w:hAnsi="黑体" w:eastAsia="黑体"/>
        </w:rPr>
        <w:t>十、其他重要事项的情况说明</w:t>
      </w:r>
      <w:r>
        <w:tab/>
      </w:r>
      <w:r>
        <w:rPr>
          <w:rFonts w:hint="eastAsia"/>
        </w:rPr>
        <w:t>11</w:t>
      </w:r>
      <w:r>
        <w:rPr>
          <w:rFonts w:hint="eastAsia"/>
        </w:rPr>
        <w:fldChar w:fldCharType="end"/>
      </w:r>
    </w:p>
    <w:p w14:paraId="2AC15349">
      <w:pPr>
        <w:pStyle w:val="12"/>
        <w:tabs>
          <w:tab w:val="right" w:leader="dot" w:pos="8630"/>
        </w:tabs>
        <w:rPr>
          <w:rFonts w:cstheme="minorBidi"/>
          <w:sz w:val="21"/>
        </w:rPr>
      </w:pPr>
      <w:r>
        <w:fldChar w:fldCharType="begin"/>
      </w:r>
      <w:r>
        <w:instrText xml:space="preserve"> HYPERLINK \l "_Toc149139899" </w:instrText>
      </w:r>
      <w:r>
        <w:fldChar w:fldCharType="separate"/>
      </w:r>
      <w:r>
        <w:rPr>
          <w:rStyle w:val="20"/>
          <w:rFonts w:ascii="黑体" w:hAnsi="黑体" w:eastAsia="黑体"/>
          <w:kern w:val="44"/>
          <w:lang w:val="zh-CN"/>
        </w:rPr>
        <w:t>第三部分 名词解释</w:t>
      </w:r>
      <w:r>
        <w:tab/>
      </w:r>
      <w:r>
        <w:rPr>
          <w:rFonts w:hint="eastAsia"/>
        </w:rPr>
        <w:t>13</w:t>
      </w:r>
      <w:r>
        <w:rPr>
          <w:rFonts w:hint="eastAsia"/>
        </w:rPr>
        <w:fldChar w:fldCharType="end"/>
      </w:r>
    </w:p>
    <w:p w14:paraId="7A50308C">
      <w:pPr>
        <w:pStyle w:val="12"/>
        <w:tabs>
          <w:tab w:val="right" w:leader="dot" w:pos="8630"/>
        </w:tabs>
        <w:rPr>
          <w:rFonts w:cstheme="minorBidi"/>
          <w:sz w:val="21"/>
        </w:rPr>
      </w:pPr>
      <w:r>
        <w:fldChar w:fldCharType="begin"/>
      </w:r>
      <w:r>
        <w:instrText xml:space="preserve"> HYPERLINK \l "_Toc149139900" </w:instrText>
      </w:r>
      <w:r>
        <w:fldChar w:fldCharType="separate"/>
      </w:r>
      <w:r>
        <w:rPr>
          <w:rStyle w:val="20"/>
          <w:rFonts w:ascii="黑体" w:hAnsi="黑体" w:eastAsia="黑体"/>
          <w:kern w:val="44"/>
          <w:lang w:val="zh-CN"/>
        </w:rPr>
        <w:t>第四部分 附件</w:t>
      </w:r>
      <w:r>
        <w:tab/>
      </w:r>
      <w:r>
        <w:rPr>
          <w:rFonts w:hint="eastAsia"/>
        </w:rPr>
        <w:t>15</w:t>
      </w:r>
      <w:r>
        <w:rPr>
          <w:rFonts w:hint="eastAsia"/>
        </w:rPr>
        <w:fldChar w:fldCharType="end"/>
      </w:r>
    </w:p>
    <w:p w14:paraId="0B89A86E">
      <w:pPr>
        <w:pStyle w:val="12"/>
        <w:tabs>
          <w:tab w:val="right" w:leader="dot" w:pos="8630"/>
        </w:tabs>
        <w:rPr>
          <w:rFonts w:cstheme="minorBidi"/>
          <w:sz w:val="21"/>
        </w:rPr>
      </w:pPr>
      <w:r>
        <w:fldChar w:fldCharType="begin"/>
      </w:r>
      <w:r>
        <w:instrText xml:space="preserve"> HYPERLINK \l "_Toc149139901" </w:instrText>
      </w:r>
      <w:r>
        <w:fldChar w:fldCharType="separate"/>
      </w:r>
      <w:r>
        <w:rPr>
          <w:rStyle w:val="20"/>
          <w:rFonts w:ascii="黑体" w:hAnsi="黑体" w:eastAsia="黑体"/>
          <w:kern w:val="44"/>
          <w:lang w:val="zh-CN"/>
        </w:rPr>
        <w:t>第五部分 附表</w:t>
      </w:r>
      <w:r>
        <w:tab/>
      </w:r>
      <w:r>
        <w:rPr>
          <w:rFonts w:hint="eastAsia"/>
        </w:rPr>
        <w:t>29</w:t>
      </w:r>
      <w:r>
        <w:rPr>
          <w:rFonts w:hint="eastAsia"/>
        </w:rPr>
        <w:fldChar w:fldCharType="end"/>
      </w:r>
    </w:p>
    <w:p w14:paraId="6C2954EF">
      <w:pPr>
        <w:pStyle w:val="14"/>
        <w:tabs>
          <w:tab w:val="right" w:leader="dot" w:pos="8630"/>
        </w:tabs>
        <w:rPr>
          <w:rFonts w:cstheme="minorBidi"/>
        </w:rPr>
      </w:pPr>
      <w:r>
        <w:fldChar w:fldCharType="begin"/>
      </w:r>
      <w:r>
        <w:instrText xml:space="preserve"> HYPERLINK \l "_Toc149139902" </w:instrText>
      </w:r>
      <w:r>
        <w:fldChar w:fldCharType="separate"/>
      </w:r>
      <w:r>
        <w:rPr>
          <w:rStyle w:val="20"/>
          <w:rFonts w:eastAsia="仿宋_GB2312"/>
        </w:rPr>
        <w:t>一、收入支出决算总表</w:t>
      </w:r>
      <w:r>
        <w:tab/>
      </w:r>
      <w:r>
        <w:rPr>
          <w:rFonts w:hint="eastAsia"/>
        </w:rPr>
        <w:t>29</w:t>
      </w:r>
      <w:r>
        <w:rPr>
          <w:rFonts w:hint="eastAsia"/>
        </w:rPr>
        <w:fldChar w:fldCharType="end"/>
      </w:r>
    </w:p>
    <w:p w14:paraId="71584D29">
      <w:pPr>
        <w:pStyle w:val="14"/>
        <w:tabs>
          <w:tab w:val="right" w:leader="dot" w:pos="8630"/>
        </w:tabs>
        <w:rPr>
          <w:rFonts w:cstheme="minorBidi"/>
        </w:rPr>
      </w:pPr>
      <w:r>
        <w:fldChar w:fldCharType="begin"/>
      </w:r>
      <w:r>
        <w:instrText xml:space="preserve"> HYPERLINK \l "_Toc149139903" </w:instrText>
      </w:r>
      <w:r>
        <w:fldChar w:fldCharType="separate"/>
      </w:r>
      <w:r>
        <w:rPr>
          <w:rStyle w:val="20"/>
          <w:rFonts w:eastAsia="仿宋_GB2312"/>
        </w:rPr>
        <w:t>二、收入决算表</w:t>
      </w:r>
      <w:r>
        <w:tab/>
      </w:r>
      <w:r>
        <w:rPr>
          <w:rFonts w:hint="eastAsia"/>
        </w:rPr>
        <w:t>29</w:t>
      </w:r>
      <w:r>
        <w:rPr>
          <w:rFonts w:hint="eastAsia"/>
        </w:rPr>
        <w:fldChar w:fldCharType="end"/>
      </w:r>
    </w:p>
    <w:p w14:paraId="6946064E">
      <w:pPr>
        <w:pStyle w:val="14"/>
        <w:tabs>
          <w:tab w:val="right" w:leader="dot" w:pos="8630"/>
        </w:tabs>
        <w:rPr>
          <w:rFonts w:cstheme="minorBidi"/>
        </w:rPr>
      </w:pPr>
      <w:r>
        <w:fldChar w:fldCharType="begin"/>
      </w:r>
      <w:r>
        <w:instrText xml:space="preserve"> HYPERLINK \l "_Toc149139904" </w:instrText>
      </w:r>
      <w:r>
        <w:fldChar w:fldCharType="separate"/>
      </w:r>
      <w:r>
        <w:rPr>
          <w:rStyle w:val="20"/>
          <w:rFonts w:eastAsia="仿宋_GB2312"/>
        </w:rPr>
        <w:t>三、支出决算表</w:t>
      </w:r>
      <w:r>
        <w:tab/>
      </w:r>
      <w:r>
        <w:rPr>
          <w:rFonts w:hint="eastAsia"/>
        </w:rPr>
        <w:t>29</w:t>
      </w:r>
      <w:r>
        <w:rPr>
          <w:rFonts w:hint="eastAsia"/>
        </w:rPr>
        <w:fldChar w:fldCharType="end"/>
      </w:r>
    </w:p>
    <w:p w14:paraId="3B1CAEEC">
      <w:pPr>
        <w:pStyle w:val="14"/>
        <w:tabs>
          <w:tab w:val="right" w:leader="dot" w:pos="8630"/>
        </w:tabs>
        <w:rPr>
          <w:rFonts w:cstheme="minorBidi"/>
        </w:rPr>
      </w:pPr>
      <w:r>
        <w:fldChar w:fldCharType="begin"/>
      </w:r>
      <w:r>
        <w:instrText xml:space="preserve"> HYPERLINK \l "_Toc149139905" </w:instrText>
      </w:r>
      <w:r>
        <w:fldChar w:fldCharType="separate"/>
      </w:r>
      <w:r>
        <w:rPr>
          <w:rStyle w:val="20"/>
          <w:rFonts w:eastAsia="仿宋_GB2312"/>
        </w:rPr>
        <w:t>四、财政拨款收入支出决算总表</w:t>
      </w:r>
      <w:r>
        <w:tab/>
      </w:r>
      <w:r>
        <w:rPr>
          <w:rFonts w:hint="eastAsia"/>
        </w:rPr>
        <w:t>29</w:t>
      </w:r>
      <w:r>
        <w:rPr>
          <w:rFonts w:hint="eastAsia"/>
        </w:rPr>
        <w:fldChar w:fldCharType="end"/>
      </w:r>
    </w:p>
    <w:p w14:paraId="45C9108C">
      <w:pPr>
        <w:pStyle w:val="14"/>
        <w:tabs>
          <w:tab w:val="right" w:leader="dot" w:pos="8630"/>
        </w:tabs>
        <w:rPr>
          <w:rFonts w:cstheme="minorBidi"/>
        </w:rPr>
      </w:pPr>
      <w:r>
        <w:fldChar w:fldCharType="begin"/>
      </w:r>
      <w:r>
        <w:instrText xml:space="preserve"> HYPERLINK \l "_Toc149139906" </w:instrText>
      </w:r>
      <w:r>
        <w:fldChar w:fldCharType="separate"/>
      </w:r>
      <w:r>
        <w:rPr>
          <w:rStyle w:val="20"/>
          <w:rFonts w:eastAsia="仿宋_GB2312"/>
        </w:rPr>
        <w:t>五、财政拨款支出决算明细表</w:t>
      </w:r>
      <w:r>
        <w:tab/>
      </w:r>
      <w:r>
        <w:rPr>
          <w:rFonts w:hint="eastAsia"/>
        </w:rPr>
        <w:t>29</w:t>
      </w:r>
      <w:r>
        <w:rPr>
          <w:rFonts w:hint="eastAsia"/>
        </w:rPr>
        <w:fldChar w:fldCharType="end"/>
      </w:r>
    </w:p>
    <w:p w14:paraId="3FB3DEB7">
      <w:pPr>
        <w:pStyle w:val="14"/>
        <w:tabs>
          <w:tab w:val="right" w:leader="dot" w:pos="8630"/>
        </w:tabs>
        <w:rPr>
          <w:rFonts w:cstheme="minorBidi"/>
        </w:rPr>
      </w:pPr>
      <w:r>
        <w:fldChar w:fldCharType="begin"/>
      </w:r>
      <w:r>
        <w:instrText xml:space="preserve"> HYPERLINK \l "_Toc149139907" </w:instrText>
      </w:r>
      <w:r>
        <w:fldChar w:fldCharType="separate"/>
      </w:r>
      <w:r>
        <w:rPr>
          <w:rStyle w:val="20"/>
          <w:rFonts w:eastAsia="仿宋_GB2312"/>
        </w:rPr>
        <w:t>六、一般公共预算财政拨款支出决算表</w:t>
      </w:r>
      <w:r>
        <w:tab/>
      </w:r>
      <w:r>
        <w:rPr>
          <w:rFonts w:hint="eastAsia"/>
        </w:rPr>
        <w:t>29</w:t>
      </w:r>
      <w:r>
        <w:rPr>
          <w:rFonts w:hint="eastAsia"/>
        </w:rPr>
        <w:fldChar w:fldCharType="end"/>
      </w:r>
    </w:p>
    <w:p w14:paraId="5C723DFD">
      <w:pPr>
        <w:pStyle w:val="14"/>
        <w:tabs>
          <w:tab w:val="right" w:leader="dot" w:pos="8630"/>
        </w:tabs>
        <w:rPr>
          <w:rFonts w:cstheme="minorBidi"/>
        </w:rPr>
      </w:pPr>
      <w:r>
        <w:fldChar w:fldCharType="begin"/>
      </w:r>
      <w:r>
        <w:instrText xml:space="preserve"> HYPERLINK \l "_Toc149139908" </w:instrText>
      </w:r>
      <w:r>
        <w:fldChar w:fldCharType="separate"/>
      </w:r>
      <w:r>
        <w:rPr>
          <w:rStyle w:val="20"/>
          <w:rFonts w:eastAsia="仿宋_GB2312"/>
        </w:rPr>
        <w:t>七、一般公共预算财政拨款支出决算明细表</w:t>
      </w:r>
      <w:r>
        <w:tab/>
      </w:r>
      <w:r>
        <w:rPr>
          <w:rFonts w:hint="eastAsia"/>
        </w:rPr>
        <w:t>29</w:t>
      </w:r>
      <w:r>
        <w:rPr>
          <w:rFonts w:hint="eastAsia"/>
        </w:rPr>
        <w:fldChar w:fldCharType="end"/>
      </w:r>
    </w:p>
    <w:p w14:paraId="742CE277">
      <w:pPr>
        <w:pStyle w:val="14"/>
        <w:tabs>
          <w:tab w:val="right" w:leader="dot" w:pos="8630"/>
        </w:tabs>
        <w:rPr>
          <w:rFonts w:cstheme="minorBidi"/>
        </w:rPr>
      </w:pPr>
      <w:r>
        <w:fldChar w:fldCharType="begin"/>
      </w:r>
      <w:r>
        <w:instrText xml:space="preserve"> HYPERLINK \l "_Toc149139909" </w:instrText>
      </w:r>
      <w:r>
        <w:fldChar w:fldCharType="separate"/>
      </w:r>
      <w:r>
        <w:rPr>
          <w:rStyle w:val="20"/>
          <w:rFonts w:eastAsia="仿宋_GB2312"/>
        </w:rPr>
        <w:t>八、一般公共预算财政拨款基本支出决算表</w:t>
      </w:r>
      <w:r>
        <w:tab/>
      </w:r>
      <w:r>
        <w:rPr>
          <w:rFonts w:hint="eastAsia"/>
        </w:rPr>
        <w:t>29</w:t>
      </w:r>
      <w:r>
        <w:rPr>
          <w:rFonts w:hint="eastAsia"/>
        </w:rPr>
        <w:fldChar w:fldCharType="end"/>
      </w:r>
    </w:p>
    <w:p w14:paraId="7CB57251">
      <w:pPr>
        <w:pStyle w:val="14"/>
        <w:tabs>
          <w:tab w:val="right" w:leader="dot" w:pos="8630"/>
        </w:tabs>
        <w:rPr>
          <w:rFonts w:cstheme="minorBidi"/>
        </w:rPr>
      </w:pPr>
      <w:r>
        <w:fldChar w:fldCharType="begin"/>
      </w:r>
      <w:r>
        <w:instrText xml:space="preserve"> HYPERLINK \l "_Toc149139910" </w:instrText>
      </w:r>
      <w:r>
        <w:fldChar w:fldCharType="separate"/>
      </w:r>
      <w:r>
        <w:rPr>
          <w:rStyle w:val="20"/>
          <w:rFonts w:eastAsia="仿宋_GB2312"/>
        </w:rPr>
        <w:t>九、一般公共预算财政拨款项目支出决算表</w:t>
      </w:r>
      <w:r>
        <w:tab/>
      </w:r>
      <w:r>
        <w:rPr>
          <w:rFonts w:hint="eastAsia"/>
        </w:rPr>
        <w:t>29</w:t>
      </w:r>
      <w:r>
        <w:rPr>
          <w:rFonts w:hint="eastAsia"/>
        </w:rPr>
        <w:fldChar w:fldCharType="end"/>
      </w:r>
    </w:p>
    <w:p w14:paraId="4BB95E17">
      <w:pPr>
        <w:pStyle w:val="14"/>
        <w:tabs>
          <w:tab w:val="right" w:leader="dot" w:pos="8630"/>
        </w:tabs>
        <w:rPr>
          <w:rFonts w:cstheme="minorBidi"/>
        </w:rPr>
      </w:pPr>
      <w:r>
        <w:fldChar w:fldCharType="begin"/>
      </w:r>
      <w:r>
        <w:instrText xml:space="preserve"> HYPERLINK \l "_Toc149139911" </w:instrText>
      </w:r>
      <w:r>
        <w:fldChar w:fldCharType="separate"/>
      </w:r>
      <w:r>
        <w:rPr>
          <w:rStyle w:val="20"/>
          <w:rFonts w:eastAsia="仿宋_GB2312"/>
        </w:rPr>
        <w:t>十、政府性基金预算财政拨款收入支出决算表</w:t>
      </w:r>
      <w:r>
        <w:tab/>
      </w:r>
      <w:r>
        <w:rPr>
          <w:rFonts w:hint="eastAsia"/>
        </w:rPr>
        <w:t>29</w:t>
      </w:r>
      <w:r>
        <w:rPr>
          <w:rFonts w:hint="eastAsia"/>
        </w:rPr>
        <w:fldChar w:fldCharType="end"/>
      </w:r>
    </w:p>
    <w:p w14:paraId="784B8C2F">
      <w:pPr>
        <w:pStyle w:val="14"/>
        <w:tabs>
          <w:tab w:val="right" w:leader="dot" w:pos="8630"/>
        </w:tabs>
        <w:rPr>
          <w:rFonts w:cstheme="minorBidi"/>
        </w:rPr>
      </w:pPr>
      <w:r>
        <w:fldChar w:fldCharType="begin"/>
      </w:r>
      <w:r>
        <w:instrText xml:space="preserve"> HYPERLINK \l "_Toc149139912" </w:instrText>
      </w:r>
      <w:r>
        <w:fldChar w:fldCharType="separate"/>
      </w:r>
      <w:r>
        <w:rPr>
          <w:rStyle w:val="20"/>
          <w:rFonts w:eastAsia="仿宋_GB2312"/>
        </w:rPr>
        <w:t>十一、国有资本经营预算财政拨款收入支出决算表</w:t>
      </w:r>
      <w:r>
        <w:tab/>
      </w:r>
      <w:r>
        <w:rPr>
          <w:rFonts w:hint="eastAsia"/>
        </w:rPr>
        <w:t>29</w:t>
      </w:r>
      <w:r>
        <w:rPr>
          <w:rFonts w:hint="eastAsia"/>
        </w:rPr>
        <w:fldChar w:fldCharType="end"/>
      </w:r>
    </w:p>
    <w:p w14:paraId="3B365987">
      <w:pPr>
        <w:pStyle w:val="14"/>
        <w:tabs>
          <w:tab w:val="right" w:leader="dot" w:pos="8630"/>
        </w:tabs>
        <w:rPr>
          <w:rFonts w:cstheme="minorBidi"/>
        </w:rPr>
      </w:pPr>
      <w:r>
        <w:fldChar w:fldCharType="begin"/>
      </w:r>
      <w:r>
        <w:instrText xml:space="preserve"> HYPERLINK \l "_Toc149139913" </w:instrText>
      </w:r>
      <w:r>
        <w:fldChar w:fldCharType="separate"/>
      </w:r>
      <w:r>
        <w:rPr>
          <w:rStyle w:val="20"/>
          <w:rFonts w:eastAsia="仿宋_GB2312"/>
        </w:rPr>
        <w:t>十二、国有资本经营预算财政拨款支出决算表</w:t>
      </w:r>
      <w:r>
        <w:tab/>
      </w:r>
      <w:r>
        <w:rPr>
          <w:rFonts w:hint="eastAsia"/>
        </w:rPr>
        <w:t>29</w:t>
      </w:r>
      <w:r>
        <w:rPr>
          <w:rFonts w:hint="eastAsia"/>
        </w:rPr>
        <w:fldChar w:fldCharType="end"/>
      </w:r>
    </w:p>
    <w:p w14:paraId="4151A599">
      <w:pPr>
        <w:pStyle w:val="14"/>
        <w:tabs>
          <w:tab w:val="right" w:leader="dot" w:pos="8630"/>
        </w:tabs>
        <w:rPr>
          <w:rFonts w:cstheme="minorBidi"/>
        </w:rPr>
      </w:pPr>
      <w:r>
        <w:fldChar w:fldCharType="begin"/>
      </w:r>
      <w:r>
        <w:instrText xml:space="preserve"> HYPERLINK \l "_Toc149139914" </w:instrText>
      </w:r>
      <w:r>
        <w:fldChar w:fldCharType="separate"/>
      </w:r>
      <w:r>
        <w:rPr>
          <w:rStyle w:val="20"/>
          <w:rFonts w:eastAsia="仿宋_GB2312"/>
        </w:rPr>
        <w:t>十三、财政拨款“三公”经费支出决算表</w:t>
      </w:r>
      <w:r>
        <w:tab/>
      </w:r>
      <w:r>
        <w:rPr>
          <w:rFonts w:hint="eastAsia"/>
        </w:rPr>
        <w:t>29</w:t>
      </w:r>
      <w:r>
        <w:rPr>
          <w:rFonts w:hint="eastAsia"/>
        </w:rPr>
        <w:fldChar w:fldCharType="end"/>
      </w:r>
    </w:p>
    <w:p w14:paraId="01B10940">
      <w:pPr>
        <w:pStyle w:val="2"/>
        <w:jc w:val="center"/>
      </w:pPr>
      <w:r>
        <w:rPr>
          <w:rFonts w:eastAsia="仿宋_GB2312"/>
          <w:kern w:val="2"/>
          <w:sz w:val="32"/>
          <w:lang w:val="zh-CN"/>
        </w:rPr>
        <w:fldChar w:fldCharType="end"/>
      </w: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14:paraId="6BF7E719">
      <w:pPr>
        <w:pStyle w:val="3"/>
        <w:ind w:firstLine="640" w:firstLineChars="200"/>
        <w:rPr>
          <w:rFonts w:ascii="黑体" w:hAnsi="黑体" w:eastAsia="黑体"/>
          <w:b w:val="0"/>
        </w:rPr>
      </w:pPr>
      <w:r>
        <w:rPr>
          <w:rFonts w:hint="eastAsia" w:ascii="黑体" w:hAnsi="黑体" w:eastAsia="黑体"/>
          <w:b w:val="0"/>
          <w:bCs w:val="0"/>
        </w:rPr>
        <w:t>一、</w:t>
      </w:r>
      <w:r>
        <w:rPr>
          <w:rFonts w:hint="eastAsia" w:ascii="黑体" w:hAnsi="黑体" w:eastAsia="黑体"/>
          <w:b w:val="0"/>
        </w:rPr>
        <w:t>部门职责</w:t>
      </w:r>
    </w:p>
    <w:p w14:paraId="33D6CD77">
      <w:pPr>
        <w:spacing w:line="520" w:lineRule="exact"/>
        <w:ind w:firstLine="640" w:firstLineChars="200"/>
        <w:rPr>
          <w:rFonts w:ascii="仿宋" w:hAnsi="仿宋" w:eastAsia="仿宋"/>
          <w:sz w:val="32"/>
          <w:szCs w:val="32"/>
        </w:rPr>
      </w:pPr>
      <w:bookmarkStart w:id="14" w:name="_Toc15396601"/>
      <w:bookmarkStart w:id="15" w:name="_Toc15377200"/>
      <w:r>
        <w:rPr>
          <w:rFonts w:hint="eastAsia" w:ascii="仿宋_GB2312" w:eastAsia="仿宋_GB2312"/>
          <w:sz w:val="32"/>
          <w:szCs w:val="32"/>
        </w:rPr>
        <w:t>负责全县集体土地征收实施工作和征补安置资金预算、存储、审核、拨付等服务工作；健全征管系统和工作台账，负责档案管理服务；牵头负责全县重点工程建设项目的统征协调工作，协助市征收部门开展跨县建设项目的统征协调工作，受县委、县政府及行业主管部门委托，牵头负责征拆工作中重点、难点问题的统筹协调；研究中央、省、市征地拆迁补偿安置相关政策，提出制定我县有关征地拆迁、补偿安置政策意见、建议；完成县委、县政府交办的其他相关工作。</w:t>
      </w:r>
    </w:p>
    <w:bookmarkEnd w:id="14"/>
    <w:bookmarkEnd w:id="15"/>
    <w:p w14:paraId="12FD48A4">
      <w:pPr>
        <w:pStyle w:val="3"/>
        <w:ind w:firstLine="640" w:firstLineChars="200"/>
        <w:rPr>
          <w:rFonts w:ascii="黑体" w:hAnsi="黑体" w:eastAsia="黑体"/>
          <w:b w:val="0"/>
        </w:rPr>
      </w:pPr>
      <w:r>
        <w:rPr>
          <w:rFonts w:hint="eastAsia" w:ascii="黑体" w:hAnsi="黑体" w:eastAsia="黑体"/>
          <w:b w:val="0"/>
        </w:rPr>
        <w:t>二、机构设置</w:t>
      </w:r>
    </w:p>
    <w:p w14:paraId="62721BE5">
      <w:pPr>
        <w:pStyle w:val="3"/>
        <w:ind w:firstLine="640" w:firstLineChars="200"/>
        <w:rPr>
          <w:rFonts w:ascii="Times New Roman" w:hAnsi="Times New Roman" w:eastAsia="仿宋" w:cs="Times New Roman"/>
          <w:b w:val="0"/>
          <w:bCs w:val="0"/>
        </w:rPr>
      </w:pPr>
      <w:r>
        <w:rPr>
          <w:rFonts w:ascii="Times New Roman" w:hAnsi="Times New Roman" w:eastAsia="仿宋_GB2312" w:cs="Times New Roman"/>
          <w:b w:val="0"/>
          <w:bCs w:val="0"/>
        </w:rPr>
        <w:t>米易县集体土地征收补偿安置中心下属二级预算单位1个，其中行政单位0个，参照公务员法管理的事业单位0个，其他事业单位1个。</w:t>
      </w:r>
    </w:p>
    <w:p w14:paraId="046E525F">
      <w:pPr>
        <w:rPr>
          <w:rFonts w:eastAsia="仿宋_GB2312"/>
          <w:sz w:val="32"/>
          <w:szCs w:val="32"/>
        </w:rPr>
      </w:pPr>
      <w:r>
        <w:t xml:space="preserve">      </w:t>
      </w:r>
      <w:r>
        <w:rPr>
          <w:rFonts w:eastAsia="仿宋_GB2312"/>
          <w:sz w:val="32"/>
          <w:szCs w:val="32"/>
        </w:rPr>
        <w:t>纳入</w:t>
      </w:r>
      <w:bookmarkStart w:id="16" w:name="OLE_LINK1"/>
      <w:bookmarkStart w:id="17" w:name="OLE_LINK2"/>
      <w:r>
        <w:rPr>
          <w:rFonts w:eastAsia="仿宋_GB2312"/>
          <w:sz w:val="32"/>
          <w:szCs w:val="32"/>
        </w:rPr>
        <w:t>米易县集体土地征收补偿安置中心</w:t>
      </w:r>
      <w:bookmarkEnd w:id="16"/>
      <w:bookmarkEnd w:id="17"/>
      <w:r>
        <w:rPr>
          <w:rFonts w:eastAsia="仿宋_GB2312"/>
          <w:sz w:val="32"/>
          <w:szCs w:val="32"/>
        </w:rPr>
        <w:t>2023年度部门决算编制范围的二级预算单位包括：米易县集体土地征收补偿安置中心。</w:t>
      </w:r>
    </w:p>
    <w:p w14:paraId="1BEB2A84">
      <w:pPr>
        <w:pStyle w:val="6"/>
        <w:spacing w:before="93"/>
      </w:pPr>
    </w:p>
    <w:p w14:paraId="0F0756C6">
      <w:pPr>
        <w:pStyle w:val="6"/>
        <w:spacing w:before="93"/>
      </w:pPr>
    </w:p>
    <w:p w14:paraId="37D5291A">
      <w:pPr>
        <w:pStyle w:val="6"/>
        <w:spacing w:before="93"/>
      </w:pPr>
    </w:p>
    <w:p w14:paraId="2BFDEBA6">
      <w:pPr>
        <w:pStyle w:val="2"/>
        <w:ind w:right="440"/>
        <w:jc w:val="center"/>
        <w:rPr>
          <w:rFonts w:ascii="黑体" w:hAnsi="黑体" w:eastAsia="黑体"/>
          <w:b w:val="0"/>
        </w:rPr>
      </w:pPr>
      <w:bookmarkStart w:id="18" w:name="_Toc15377204"/>
      <w:bookmarkStart w:id="19" w:name="_Toc15396602"/>
      <w:r>
        <w:rPr>
          <w:rFonts w:hint="eastAsia" w:ascii="黑体" w:hAnsi="黑体" w:eastAsia="黑体"/>
          <w:b w:val="0"/>
        </w:rPr>
        <w:t>第二部分 2023年度</w:t>
      </w:r>
      <w:r>
        <w:rPr>
          <w:rStyle w:val="30"/>
          <w:rFonts w:hint="eastAsia" w:ascii="黑体" w:hAnsi="黑体" w:eastAsia="黑体"/>
          <w:b w:val="0"/>
          <w:bCs/>
        </w:rPr>
        <w:t>部门决算情况说明</w:t>
      </w:r>
      <w:bookmarkEnd w:id="18"/>
      <w:bookmarkEnd w:id="19"/>
    </w:p>
    <w:p w14:paraId="6280B89D">
      <w:pPr>
        <w:pStyle w:val="29"/>
        <w:numPr>
          <w:ilvl w:val="0"/>
          <w:numId w:val="1"/>
        </w:numPr>
        <w:spacing w:line="600" w:lineRule="exact"/>
        <w:ind w:firstLineChars="0"/>
        <w:outlineLvl w:val="1"/>
        <w:rPr>
          <w:rStyle w:val="31"/>
          <w:rFonts w:ascii="黑体" w:hAnsi="黑体" w:eastAsia="黑体"/>
          <w:b w:val="0"/>
        </w:rPr>
      </w:pPr>
      <w:bookmarkStart w:id="20" w:name="_Toc15396603"/>
      <w:bookmarkStart w:id="21"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20"/>
      <w:bookmarkEnd w:id="21"/>
    </w:p>
    <w:p w14:paraId="4C6B443D">
      <w:pPr>
        <w:ind w:firstLine="640" w:firstLineChars="200"/>
        <w:rPr>
          <w:rFonts w:eastAsia="仿宋_GB2312"/>
          <w:sz w:val="32"/>
          <w:szCs w:val="32"/>
        </w:rPr>
      </w:pPr>
      <w:r>
        <w:rPr>
          <w:rFonts w:eastAsia="仿宋_GB2312"/>
          <w:sz w:val="32"/>
          <w:szCs w:val="32"/>
          <w:lang w:val="zh-CN"/>
        </w:rPr>
        <w:t>202</w:t>
      </w:r>
      <w:r>
        <w:rPr>
          <w:rFonts w:hint="eastAsia" w:eastAsia="仿宋_GB2312"/>
          <w:sz w:val="32"/>
          <w:szCs w:val="32"/>
          <w:lang w:val="zh-CN"/>
        </w:rPr>
        <w:t>3年度收、支总计421.54万元。与</w:t>
      </w:r>
      <w:r>
        <w:rPr>
          <w:rFonts w:eastAsia="仿宋_GB2312"/>
          <w:sz w:val="32"/>
          <w:szCs w:val="32"/>
          <w:lang w:val="zh-CN"/>
        </w:rPr>
        <w:t>202</w:t>
      </w:r>
      <w:r>
        <w:rPr>
          <w:rFonts w:hint="eastAsia" w:eastAsia="仿宋_GB2312"/>
          <w:sz w:val="32"/>
          <w:szCs w:val="32"/>
          <w:lang w:val="zh-CN"/>
        </w:rPr>
        <w:t>2年相比，收、支总计各增加232.56万元，增长</w:t>
      </w:r>
      <w:bookmarkStart w:id="22" w:name="OLE_LINK6"/>
      <w:bookmarkStart w:id="23" w:name="OLE_LINK5"/>
      <w:r>
        <w:rPr>
          <w:rFonts w:hint="eastAsia" w:eastAsia="仿宋_GB2312"/>
          <w:sz w:val="32"/>
          <w:szCs w:val="32"/>
          <w:lang w:val="zh-CN"/>
        </w:rPr>
        <w:t>123.06</w:t>
      </w:r>
      <w:r>
        <w:rPr>
          <w:rFonts w:eastAsia="仿宋_GB2312"/>
          <w:sz w:val="32"/>
          <w:szCs w:val="32"/>
          <w:lang w:val="zh-CN"/>
        </w:rPr>
        <w:t>%</w:t>
      </w:r>
      <w:r>
        <w:rPr>
          <w:rFonts w:hint="eastAsia" w:eastAsia="仿宋_GB2312"/>
          <w:sz w:val="32"/>
          <w:szCs w:val="32"/>
          <w:lang w:val="zh-CN"/>
        </w:rPr>
        <w:t>，主要变动原因是</w:t>
      </w:r>
      <w:r>
        <w:rPr>
          <w:rFonts w:hint="eastAsia" w:eastAsia="仿宋_GB2312"/>
          <w:sz w:val="32"/>
          <w:szCs w:val="32"/>
        </w:rPr>
        <w:t>2023年人员</w:t>
      </w:r>
      <w:bookmarkStart w:id="24" w:name="OLE_LINK4"/>
      <w:bookmarkStart w:id="25" w:name="OLE_LINK3"/>
      <w:r>
        <w:rPr>
          <w:rFonts w:hint="eastAsia" w:eastAsia="仿宋_GB2312"/>
          <w:sz w:val="32"/>
          <w:szCs w:val="32"/>
        </w:rPr>
        <w:t>调动及职务</w:t>
      </w:r>
      <w:bookmarkEnd w:id="24"/>
      <w:bookmarkEnd w:id="25"/>
      <w:r>
        <w:rPr>
          <w:rFonts w:hint="eastAsia" w:eastAsia="仿宋_GB2312"/>
          <w:sz w:val="32"/>
          <w:szCs w:val="32"/>
        </w:rPr>
        <w:t>变动，财政下拨用于人员调动及职务的日常开支费用，同时2023年下达了集体土地征收智能信息管理系统建设专项、土地征收管理工作经费、集体土地征收智能信息管理系统建设等项目经费。</w:t>
      </w:r>
    </w:p>
    <w:bookmarkEnd w:id="22"/>
    <w:bookmarkEnd w:id="23"/>
    <w:p w14:paraId="40ACB910">
      <w:pPr>
        <w:pStyle w:val="6"/>
        <w:spacing w:before="93"/>
        <w:jc w:val="center"/>
      </w:pPr>
      <w:r>
        <w:drawing>
          <wp:inline distT="0" distB="0" distL="0" distR="0">
            <wp:extent cx="3781425" cy="2286000"/>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6B5F93">
      <w:pPr>
        <w:spacing w:line="600" w:lineRule="exact"/>
        <w:ind w:firstLine="640"/>
        <w:rPr>
          <w:rFonts w:ascii="仿宋" w:eastAsia="仿宋" w:cs="仿宋"/>
          <w:sz w:val="32"/>
          <w:szCs w:val="32"/>
        </w:rPr>
      </w:pPr>
      <w:r>
        <w:rPr>
          <w:rFonts w:hint="eastAsia" w:ascii="仿宋" w:eastAsia="仿宋" w:cs="仿宋"/>
          <w:sz w:val="32"/>
          <w:szCs w:val="32"/>
        </w:rPr>
        <w:t>（图</w:t>
      </w:r>
      <w:r>
        <w:rPr>
          <w:rFonts w:ascii="仿宋" w:eastAsia="仿宋" w:cs="仿宋"/>
          <w:sz w:val="32"/>
          <w:szCs w:val="32"/>
        </w:rPr>
        <w:t>1</w:t>
      </w:r>
      <w:r>
        <w:rPr>
          <w:rFonts w:hint="eastAsia" w:ascii="仿宋" w:eastAsia="仿宋" w:cs="仿宋"/>
          <w:sz w:val="32"/>
          <w:szCs w:val="32"/>
        </w:rPr>
        <w:t>：收、支决算总计变动情况图）（柱状图）</w:t>
      </w:r>
    </w:p>
    <w:p w14:paraId="4425AD82">
      <w:pPr>
        <w:pStyle w:val="29"/>
        <w:numPr>
          <w:ilvl w:val="0"/>
          <w:numId w:val="1"/>
        </w:numPr>
        <w:spacing w:line="600" w:lineRule="exact"/>
        <w:ind w:firstLineChars="0"/>
        <w:outlineLvl w:val="1"/>
        <w:rPr>
          <w:rStyle w:val="31"/>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31"/>
          <w:rFonts w:hint="eastAsia" w:ascii="黑体" w:hAnsi="黑体" w:eastAsia="黑体"/>
          <w:b w:val="0"/>
        </w:rPr>
        <w:t>入决算情况说明</w:t>
      </w:r>
      <w:bookmarkEnd w:id="26"/>
      <w:bookmarkEnd w:id="27"/>
    </w:p>
    <w:p w14:paraId="70855D54">
      <w:pPr>
        <w:ind w:firstLine="640" w:firstLineChars="200"/>
        <w:rPr>
          <w:rFonts w:eastAsia="仿宋_GB2312"/>
          <w:sz w:val="32"/>
          <w:szCs w:val="32"/>
          <w:lang w:val="zh-CN"/>
        </w:rPr>
      </w:pPr>
      <w:r>
        <w:rPr>
          <w:rFonts w:hint="eastAsia" w:eastAsia="仿宋_GB2312"/>
          <w:sz w:val="32"/>
          <w:szCs w:val="32"/>
          <w:lang w:val="zh-CN"/>
        </w:rPr>
        <w:t>2023年本年收入合计421.54万元，其中：一般公共预算财政拨款收入421.54万元，占100%。</w:t>
      </w:r>
    </w:p>
    <w:p w14:paraId="4A4E1085">
      <w:pPr>
        <w:pStyle w:val="6"/>
        <w:spacing w:before="93"/>
        <w:jc w:val="center"/>
        <w:rPr>
          <w:lang w:val="zh-CN"/>
        </w:rPr>
      </w:pPr>
      <w:r>
        <w:drawing>
          <wp:inline distT="0" distB="0" distL="0" distR="0">
            <wp:extent cx="3771900" cy="248602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91B30A">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03F28D68">
      <w:pPr>
        <w:pStyle w:val="29"/>
        <w:numPr>
          <w:ilvl w:val="0"/>
          <w:numId w:val="1"/>
        </w:numPr>
        <w:spacing w:line="600" w:lineRule="exact"/>
        <w:ind w:firstLineChars="0"/>
        <w:outlineLvl w:val="1"/>
        <w:rPr>
          <w:rStyle w:val="31"/>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31"/>
          <w:rFonts w:hint="eastAsia" w:ascii="黑体" w:hAnsi="黑体" w:eastAsia="黑体"/>
          <w:b w:val="0"/>
        </w:rPr>
        <w:t>出决算情况说明</w:t>
      </w:r>
      <w:bookmarkEnd w:id="28"/>
      <w:bookmarkEnd w:id="29"/>
    </w:p>
    <w:p w14:paraId="745EDE7D">
      <w:pPr>
        <w:ind w:firstLine="640" w:firstLineChars="200"/>
        <w:rPr>
          <w:rFonts w:eastAsia="仿宋_GB2312"/>
          <w:sz w:val="32"/>
          <w:szCs w:val="32"/>
          <w:lang w:val="zh-CN"/>
        </w:rPr>
      </w:pPr>
      <w:r>
        <w:rPr>
          <w:rFonts w:hint="eastAsia" w:eastAsia="仿宋_GB2312"/>
          <w:sz w:val="32"/>
          <w:szCs w:val="32"/>
          <w:lang w:val="zh-CN"/>
        </w:rPr>
        <w:t>2023年本年支出合计421.54万元，其中：基本支出250.27万元，占59.37%；项目支出171.27万元，占40.63%。</w:t>
      </w:r>
    </w:p>
    <w:p w14:paraId="4D070C51">
      <w:pPr>
        <w:pStyle w:val="6"/>
        <w:spacing w:before="93"/>
        <w:jc w:val="center"/>
        <w:rPr>
          <w:rFonts w:ascii="仿宋" w:hAnsi="仿宋" w:eastAsia="仿宋"/>
          <w:color w:val="FF0000"/>
          <w:sz w:val="32"/>
          <w:szCs w:val="32"/>
        </w:rPr>
      </w:pPr>
      <w:r>
        <w:rPr>
          <w:rFonts w:ascii="仿宋" w:hAnsi="仿宋" w:eastAsia="仿宋"/>
          <w:color w:val="FF0000"/>
          <w:sz w:val="32"/>
          <w:szCs w:val="32"/>
        </w:rPr>
        <w:drawing>
          <wp:inline distT="0" distB="0" distL="0" distR="0">
            <wp:extent cx="4572000" cy="2743200"/>
            <wp:effectExtent l="19050" t="0" r="19050" b="0"/>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D3AEF2">
      <w:pPr>
        <w:pStyle w:val="6"/>
        <w:spacing w:before="93"/>
        <w:jc w:val="center"/>
        <w:rPr>
          <w:lang w:val="zh-CN"/>
        </w:rPr>
      </w:pPr>
      <w:r>
        <w:rPr>
          <w:rFonts w:hint="eastAsia" w:ascii="仿宋" w:hAnsi="仿宋" w:eastAsia="仿宋"/>
          <w:sz w:val="32"/>
          <w:szCs w:val="32"/>
        </w:rPr>
        <w:t>（图3：支出决算结构图）（饼状图）</w:t>
      </w:r>
    </w:p>
    <w:p w14:paraId="7CF720B6">
      <w:pPr>
        <w:spacing w:line="600" w:lineRule="exact"/>
        <w:ind w:firstLine="640" w:firstLineChars="200"/>
        <w:outlineLvl w:val="1"/>
        <w:rPr>
          <w:rStyle w:val="31"/>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0"/>
      <w:bookmarkEnd w:id="31"/>
    </w:p>
    <w:p w14:paraId="13B6E0B9">
      <w:pPr>
        <w:snapToGrid w:val="0"/>
        <w:spacing w:line="520" w:lineRule="exact"/>
        <w:ind w:firstLine="640" w:firstLineChars="200"/>
        <w:rPr>
          <w:rFonts w:ascii="仿宋_GB2312" w:hAnsi="仿宋" w:eastAsia="仿宋_GB2312"/>
          <w:sz w:val="32"/>
          <w:szCs w:val="32"/>
        </w:rPr>
      </w:pPr>
      <w:r>
        <w:rPr>
          <w:rFonts w:hint="eastAsia" w:eastAsia="仿宋_GB2312"/>
          <w:sz w:val="32"/>
          <w:szCs w:val="32"/>
          <w:lang w:val="zh-CN"/>
        </w:rPr>
        <w:t>2023年财政拨款收、支总计421.54万元。与2022年相比，财政拨款收、支总计各增加</w:t>
      </w:r>
      <w:bookmarkStart w:id="32" w:name="OLE_LINK7"/>
      <w:bookmarkStart w:id="33" w:name="OLE_LINK8"/>
      <w:r>
        <w:rPr>
          <w:rFonts w:hint="eastAsia" w:eastAsia="仿宋_GB2312"/>
          <w:sz w:val="32"/>
          <w:szCs w:val="32"/>
          <w:lang w:val="zh-CN"/>
        </w:rPr>
        <w:t>232.56</w:t>
      </w:r>
      <w:bookmarkEnd w:id="32"/>
      <w:bookmarkEnd w:id="33"/>
      <w:r>
        <w:rPr>
          <w:rFonts w:hint="eastAsia" w:eastAsia="仿宋_GB2312"/>
          <w:sz w:val="32"/>
          <w:szCs w:val="32"/>
          <w:lang w:val="zh-CN"/>
        </w:rPr>
        <w:t>万元，增长123.06%，</w:t>
      </w:r>
      <w:bookmarkStart w:id="34" w:name="OLE_LINK9"/>
      <w:bookmarkStart w:id="35" w:name="OLE_LINK10"/>
      <w:r>
        <w:rPr>
          <w:rFonts w:hint="eastAsia" w:eastAsia="仿宋_GB2312"/>
          <w:sz w:val="32"/>
          <w:szCs w:val="32"/>
          <w:lang w:val="zh-CN"/>
        </w:rPr>
        <w:t>主要变动原因是2023年人员调动及职务变动，财政下拨用</w:t>
      </w:r>
      <w:r>
        <w:rPr>
          <w:rFonts w:hint="eastAsia" w:ascii="仿宋_GB2312" w:hAnsi="仿宋" w:eastAsia="仿宋_GB2312"/>
          <w:sz w:val="32"/>
          <w:szCs w:val="32"/>
        </w:rPr>
        <w:t>于人员调动及职务的日常开支费用，同</w:t>
      </w:r>
      <w:r>
        <w:rPr>
          <w:rFonts w:hint="eastAsia" w:eastAsia="仿宋_GB2312"/>
          <w:sz w:val="32"/>
          <w:szCs w:val="32"/>
          <w:lang w:val="zh-CN"/>
        </w:rPr>
        <w:t>时2023年</w:t>
      </w:r>
      <w:r>
        <w:rPr>
          <w:rFonts w:hint="eastAsia" w:ascii="仿宋_GB2312" w:hAnsi="仿宋" w:eastAsia="仿宋_GB2312"/>
          <w:sz w:val="32"/>
          <w:szCs w:val="32"/>
        </w:rPr>
        <w:t>下达了集体土地征收智能信息管理系统建设专项、土地征收管理工作经费、集体土地征收智能信息管理系统建设等项目经费。</w:t>
      </w:r>
    </w:p>
    <w:bookmarkEnd w:id="34"/>
    <w:bookmarkEnd w:id="35"/>
    <w:p w14:paraId="6830C87A">
      <w:pPr>
        <w:pStyle w:val="6"/>
        <w:spacing w:before="93"/>
        <w:jc w:val="center"/>
      </w:pPr>
      <w:r>
        <w:drawing>
          <wp:inline distT="0" distB="0" distL="0" distR="0">
            <wp:extent cx="3781425" cy="2286000"/>
            <wp:effectExtent l="19050" t="0" r="9525" b="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8440F8">
      <w:pPr>
        <w:spacing w:line="600" w:lineRule="exact"/>
        <w:rPr>
          <w:rFonts w:ascii="仿宋" w:hAnsi="仿宋" w:eastAsia="仿宋"/>
          <w:sz w:val="32"/>
          <w:szCs w:val="32"/>
        </w:rPr>
      </w:pPr>
      <w:r>
        <w:rPr>
          <w:rFonts w:hint="eastAsia" w:ascii="仿宋" w:hAnsi="仿宋" w:eastAsia="仿宋"/>
          <w:sz w:val="32"/>
          <w:szCs w:val="32"/>
        </w:rPr>
        <w:t>（图4：财政拨款收、支决算总计变动情况）（柱状图）</w:t>
      </w:r>
    </w:p>
    <w:p w14:paraId="312EFB5B">
      <w:pPr>
        <w:spacing w:line="600" w:lineRule="exact"/>
        <w:ind w:firstLine="640" w:firstLineChars="200"/>
        <w:outlineLvl w:val="1"/>
        <w:rPr>
          <w:rStyle w:val="31"/>
          <w:rFonts w:ascii="黑体" w:hAnsi="黑体" w:eastAsia="黑体"/>
          <w:b w:val="0"/>
        </w:rPr>
      </w:pPr>
      <w:bookmarkStart w:id="36" w:name="_Toc15377209"/>
      <w:bookmarkStart w:id="37"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6"/>
      <w:bookmarkEnd w:id="37"/>
    </w:p>
    <w:p w14:paraId="64603AFE">
      <w:pPr>
        <w:spacing w:line="600" w:lineRule="exact"/>
        <w:ind w:firstLine="643" w:firstLineChars="200"/>
        <w:outlineLvl w:val="2"/>
        <w:rPr>
          <w:rFonts w:ascii="楷体_GB2312" w:hAnsi="楷体_GB2312" w:eastAsia="楷体_GB2312" w:cs="楷体_GB2312"/>
          <w:b/>
          <w:sz w:val="32"/>
          <w:szCs w:val="32"/>
        </w:rPr>
      </w:pPr>
      <w:bookmarkStart w:id="38" w:name="_Toc15377210"/>
      <w:r>
        <w:rPr>
          <w:rFonts w:hint="eastAsia" w:ascii="楷体_GB2312" w:hAnsi="楷体_GB2312" w:eastAsia="楷体_GB2312" w:cs="楷体_GB2312"/>
          <w:b/>
          <w:sz w:val="32"/>
          <w:szCs w:val="32"/>
        </w:rPr>
        <w:t>（一）一般公共预算财政拨款支出决算总体情况</w:t>
      </w:r>
      <w:bookmarkEnd w:id="38"/>
    </w:p>
    <w:p w14:paraId="493C5A6E">
      <w:pPr>
        <w:snapToGrid w:val="0"/>
        <w:spacing w:line="520" w:lineRule="exact"/>
        <w:ind w:firstLine="640" w:firstLineChars="200"/>
        <w:rPr>
          <w:rFonts w:eastAsia="仿宋_GB2312"/>
          <w:sz w:val="32"/>
          <w:szCs w:val="32"/>
          <w:lang w:val="zh-CN"/>
        </w:rPr>
      </w:pPr>
      <w:r>
        <w:rPr>
          <w:rFonts w:hint="eastAsia" w:eastAsia="仿宋_GB2312"/>
          <w:sz w:val="32"/>
          <w:szCs w:val="32"/>
          <w:lang w:val="zh-CN"/>
        </w:rPr>
        <w:t>2023年一般公共预算财政拨款支出421.54万元，占本年支出合计的100%。与2022年相比，一般公共预算财政拨款支出增加232.56万元，增长123.06%。</w:t>
      </w:r>
      <w:bookmarkStart w:id="39" w:name="OLE_LINK18"/>
      <w:bookmarkStart w:id="40" w:name="OLE_LINK17"/>
      <w:r>
        <w:rPr>
          <w:rFonts w:hint="eastAsia" w:eastAsia="仿宋_GB2312"/>
          <w:sz w:val="32"/>
          <w:szCs w:val="32"/>
          <w:lang w:val="zh-CN"/>
        </w:rPr>
        <w:t>主要变动原因是2023年人员调动及职务变动，财政下拨用于人员调动及职务的日常开支费用，同时2023年下达了集体土地征收智能信息管理系统建设专项、土地征收管理工作经费、集体土地征收智能信息管理系统建设等项目经费。</w:t>
      </w:r>
    </w:p>
    <w:bookmarkEnd w:id="39"/>
    <w:bookmarkEnd w:id="40"/>
    <w:p w14:paraId="1BD257EC">
      <w:pPr>
        <w:spacing w:line="600" w:lineRule="exact"/>
        <w:ind w:firstLine="640"/>
      </w:pPr>
    </w:p>
    <w:p w14:paraId="7F79CB7F">
      <w:pPr>
        <w:pStyle w:val="6"/>
        <w:spacing w:before="93"/>
        <w:jc w:val="center"/>
      </w:pPr>
      <w:r>
        <w:drawing>
          <wp:inline distT="0" distB="0" distL="0" distR="0">
            <wp:extent cx="3933825" cy="2486025"/>
            <wp:effectExtent l="19050" t="0" r="9525"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F15D26">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5B9EE7E9">
      <w:pPr>
        <w:spacing w:line="600" w:lineRule="exact"/>
        <w:ind w:firstLine="643" w:firstLineChars="200"/>
        <w:outlineLvl w:val="2"/>
        <w:rPr>
          <w:rFonts w:ascii="楷体_GB2312" w:hAnsi="楷体_GB2312" w:eastAsia="楷体_GB2312" w:cs="楷体_GB2312"/>
          <w:b/>
          <w:sz w:val="32"/>
          <w:szCs w:val="32"/>
        </w:rPr>
      </w:pPr>
      <w:bookmarkStart w:id="41" w:name="_Toc15377211"/>
      <w:r>
        <w:rPr>
          <w:rFonts w:hint="eastAsia" w:ascii="楷体_GB2312" w:hAnsi="楷体_GB2312" w:eastAsia="楷体_GB2312" w:cs="楷体_GB2312"/>
          <w:b/>
          <w:sz w:val="32"/>
          <w:szCs w:val="32"/>
        </w:rPr>
        <w:t>（二）一般公共预算财政拨款支出决算结构情况</w:t>
      </w:r>
      <w:bookmarkEnd w:id="41"/>
    </w:p>
    <w:p w14:paraId="1BB875A1">
      <w:pPr>
        <w:keepNext/>
        <w:keepLines/>
        <w:spacing w:line="576" w:lineRule="exact"/>
        <w:ind w:firstLine="640"/>
        <w:rPr>
          <w:rFonts w:ascii="仿宋_GB2312" w:eastAsia="仿宋_GB2312" w:cs="仿宋_GB2312"/>
          <w:color w:val="000000"/>
          <w:sz w:val="32"/>
          <w:szCs w:val="32"/>
          <w:lang w:val="zh-CN"/>
        </w:rPr>
      </w:pPr>
      <w:r>
        <w:rPr>
          <w:rFonts w:hint="eastAsia" w:eastAsia="仿宋_GB2312"/>
          <w:sz w:val="32"/>
          <w:szCs w:val="32"/>
          <w:lang w:val="zh-CN"/>
        </w:rPr>
        <w:t>2023年一般公共预算财政拨款支出421.54万元，主要用于以下方面:社会保障和就业支出24.06万元，占</w:t>
      </w:r>
      <w:bookmarkStart w:id="42" w:name="OLE_LINK12"/>
      <w:bookmarkStart w:id="43" w:name="OLE_LINK11"/>
      <w:r>
        <w:rPr>
          <w:rFonts w:hint="eastAsia" w:eastAsia="仿宋_GB2312"/>
          <w:sz w:val="32"/>
          <w:szCs w:val="32"/>
          <w:lang w:val="zh-CN"/>
        </w:rPr>
        <w:t>5.71</w:t>
      </w:r>
      <w:bookmarkEnd w:id="42"/>
      <w:bookmarkEnd w:id="43"/>
      <w:r>
        <w:rPr>
          <w:rFonts w:hint="eastAsia" w:eastAsia="仿宋_GB2312"/>
          <w:sz w:val="32"/>
          <w:szCs w:val="32"/>
          <w:lang w:val="zh-CN"/>
        </w:rPr>
        <w:t>%；卫生健康支出16.42万元，占</w:t>
      </w:r>
      <w:bookmarkStart w:id="44" w:name="OLE_LINK13"/>
      <w:bookmarkStart w:id="45" w:name="OLE_LINK14"/>
      <w:r>
        <w:rPr>
          <w:rFonts w:hint="eastAsia" w:eastAsia="仿宋_GB2312"/>
          <w:sz w:val="32"/>
          <w:szCs w:val="32"/>
          <w:lang w:val="zh-CN"/>
        </w:rPr>
        <w:t>3.89</w:t>
      </w:r>
      <w:bookmarkEnd w:id="44"/>
      <w:bookmarkEnd w:id="45"/>
      <w:r>
        <w:rPr>
          <w:rFonts w:hint="eastAsia" w:eastAsia="仿宋_GB2312"/>
          <w:sz w:val="32"/>
          <w:szCs w:val="32"/>
          <w:lang w:val="zh-CN"/>
        </w:rPr>
        <w:t>%；自然资源海洋气象等支出366.24万元，占</w:t>
      </w:r>
      <w:bookmarkStart w:id="46" w:name="OLE_LINK16"/>
      <w:bookmarkStart w:id="47" w:name="OLE_LINK15"/>
      <w:r>
        <w:rPr>
          <w:rFonts w:hint="eastAsia" w:eastAsia="仿宋_GB2312"/>
          <w:sz w:val="32"/>
          <w:szCs w:val="32"/>
          <w:lang w:val="zh-CN"/>
        </w:rPr>
        <w:t>86.88%</w:t>
      </w:r>
      <w:bookmarkEnd w:id="46"/>
      <w:bookmarkEnd w:id="47"/>
      <w:r>
        <w:rPr>
          <w:rFonts w:hint="eastAsia" w:eastAsia="仿宋_GB2312"/>
          <w:sz w:val="32"/>
          <w:szCs w:val="32"/>
          <w:lang w:val="zh-CN"/>
        </w:rPr>
        <w:t>；住房保障支出14.82万元，占3.52%。</w:t>
      </w:r>
      <w:r>
        <w:rPr>
          <w:rFonts w:ascii="仿宋_GB2312" w:eastAsia="仿宋_GB2312" w:cs="仿宋_GB2312"/>
          <w:color w:val="000000"/>
          <w:sz w:val="32"/>
          <w:szCs w:val="32"/>
          <w:lang w:val="zh-CN"/>
        </w:rPr>
        <w:t xml:space="preserve"> </w:t>
      </w:r>
    </w:p>
    <w:p w14:paraId="20EA56DA">
      <w:pPr>
        <w:pStyle w:val="6"/>
        <w:spacing w:before="93"/>
        <w:jc w:val="center"/>
      </w:pPr>
      <w:r>
        <w:drawing>
          <wp:inline distT="0" distB="0" distL="0" distR="0">
            <wp:extent cx="4572000" cy="2743200"/>
            <wp:effectExtent l="19050" t="0" r="19050" b="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230639">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2020B34E">
      <w:pPr>
        <w:spacing w:line="600" w:lineRule="exact"/>
        <w:ind w:firstLine="643" w:firstLineChars="200"/>
        <w:outlineLvl w:val="2"/>
        <w:rPr>
          <w:rFonts w:ascii="楷体_GB2312" w:hAnsi="楷体_GB2312" w:eastAsia="楷体_GB2312" w:cs="楷体_GB2312"/>
          <w:b/>
          <w:sz w:val="32"/>
          <w:szCs w:val="32"/>
        </w:rPr>
      </w:pPr>
      <w:bookmarkStart w:id="48" w:name="_Toc15377212"/>
      <w:r>
        <w:rPr>
          <w:rFonts w:hint="eastAsia" w:ascii="楷体_GB2312" w:hAnsi="楷体_GB2312" w:eastAsia="楷体_GB2312" w:cs="楷体_GB2312"/>
          <w:b/>
          <w:sz w:val="32"/>
          <w:szCs w:val="32"/>
        </w:rPr>
        <w:t>（三）一般公共预算财政拨款支出决算具体情况</w:t>
      </w:r>
      <w:bookmarkEnd w:id="48"/>
    </w:p>
    <w:p w14:paraId="3D3B7A94">
      <w:pPr>
        <w:spacing w:line="600" w:lineRule="exact"/>
        <w:ind w:firstLine="643" w:firstLineChars="200"/>
        <w:outlineLvl w:val="2"/>
        <w:rPr>
          <w:rFonts w:eastAsia="仿宋"/>
          <w:sz w:val="32"/>
          <w:szCs w:val="32"/>
        </w:rPr>
      </w:pPr>
      <w:bookmarkStart w:id="49" w:name="_Toc15377444"/>
      <w:bookmarkStart w:id="50" w:name="_Toc15377213"/>
      <w:bookmarkStart w:id="51" w:name="_Toc15378460"/>
      <w:r>
        <w:rPr>
          <w:rFonts w:eastAsia="仿宋_GB2312"/>
          <w:b/>
          <w:bCs/>
          <w:color w:val="000000"/>
          <w:sz w:val="32"/>
          <w:szCs w:val="32"/>
          <w:lang w:val="zh-CN"/>
        </w:rPr>
        <w:t>2023年一般公共预算支出决算数为421.54万元</w:t>
      </w:r>
      <w:r>
        <w:rPr>
          <w:rFonts w:eastAsia="仿宋_GB2312"/>
          <w:color w:val="000000"/>
          <w:sz w:val="32"/>
          <w:szCs w:val="32"/>
          <w:lang w:val="zh-CN"/>
        </w:rPr>
        <w:t>，</w:t>
      </w:r>
      <w:r>
        <w:rPr>
          <w:rFonts w:eastAsia="仿宋_GB2312"/>
          <w:b/>
          <w:bCs/>
          <w:color w:val="000000"/>
          <w:sz w:val="32"/>
          <w:szCs w:val="32"/>
          <w:lang w:val="zh-CN"/>
        </w:rPr>
        <w:t>完成预算100%，</w:t>
      </w:r>
      <w:r>
        <w:rPr>
          <w:rStyle w:val="19"/>
          <w:rFonts w:eastAsia="仿宋"/>
          <w:bCs/>
          <w:sz w:val="32"/>
          <w:szCs w:val="32"/>
        </w:rPr>
        <w:t>其中：</w:t>
      </w:r>
      <w:bookmarkEnd w:id="49"/>
      <w:bookmarkEnd w:id="50"/>
      <w:bookmarkEnd w:id="51"/>
    </w:p>
    <w:p w14:paraId="71A60153">
      <w:pPr>
        <w:spacing w:line="600" w:lineRule="exact"/>
        <w:ind w:firstLine="643"/>
        <w:rPr>
          <w:rStyle w:val="19"/>
          <w:rFonts w:eastAsia="仿宋_GB2312"/>
          <w:b w:val="0"/>
          <w:bCs/>
          <w:sz w:val="32"/>
          <w:szCs w:val="32"/>
        </w:rPr>
      </w:pPr>
      <w:r>
        <w:rPr>
          <w:rStyle w:val="19"/>
          <w:rFonts w:eastAsia="仿宋_GB2312"/>
          <w:b w:val="0"/>
          <w:bCs/>
          <w:sz w:val="32"/>
          <w:szCs w:val="32"/>
        </w:rPr>
        <w:t>1.社会保障和就业（类）：</w:t>
      </w:r>
    </w:p>
    <w:p w14:paraId="111E4AD2">
      <w:pPr>
        <w:spacing w:line="600" w:lineRule="exact"/>
        <w:ind w:firstLine="643"/>
        <w:rPr>
          <w:rStyle w:val="19"/>
          <w:rFonts w:eastAsia="仿宋_GB2312"/>
          <w:bCs/>
          <w:sz w:val="32"/>
          <w:szCs w:val="32"/>
        </w:rPr>
      </w:pPr>
      <w:r>
        <w:rPr>
          <w:rStyle w:val="19"/>
          <w:rFonts w:eastAsia="仿宋_GB2312"/>
          <w:b w:val="0"/>
          <w:bCs/>
          <w:sz w:val="32"/>
          <w:szCs w:val="32"/>
        </w:rPr>
        <w:t>（1）行政事业单位养老（款）支出</w:t>
      </w:r>
      <w:r>
        <w:rPr>
          <w:rFonts w:eastAsia="仿宋_GB2312"/>
          <w:sz w:val="32"/>
          <w:szCs w:val="32"/>
        </w:rPr>
        <w:t>机关事业单位基本养老保险（项）支出决算为</w:t>
      </w:r>
      <w:r>
        <w:rPr>
          <w:rFonts w:eastAsia="仿宋_GB2312"/>
          <w:color w:val="000000"/>
          <w:sz w:val="32"/>
          <w:szCs w:val="32"/>
        </w:rPr>
        <w:t>24.06</w:t>
      </w:r>
      <w:r>
        <w:rPr>
          <w:rFonts w:eastAsia="仿宋_GB2312"/>
          <w:sz w:val="32"/>
          <w:szCs w:val="32"/>
        </w:rPr>
        <w:t>万元，完成预算</w:t>
      </w:r>
      <w:r>
        <w:rPr>
          <w:rFonts w:eastAsia="仿宋_GB2312"/>
          <w:color w:val="000000"/>
          <w:sz w:val="32"/>
          <w:szCs w:val="32"/>
        </w:rPr>
        <w:t>100%</w:t>
      </w:r>
      <w:r>
        <w:rPr>
          <w:rFonts w:eastAsia="仿宋_GB2312"/>
          <w:sz w:val="32"/>
          <w:szCs w:val="32"/>
        </w:rPr>
        <w:t>，决算数</w:t>
      </w:r>
      <w:r>
        <w:rPr>
          <w:rStyle w:val="19"/>
          <w:rFonts w:eastAsia="仿宋_GB2312"/>
          <w:b w:val="0"/>
          <w:bCs/>
          <w:sz w:val="32"/>
          <w:szCs w:val="32"/>
        </w:rPr>
        <w:t>等于预算数；</w:t>
      </w:r>
    </w:p>
    <w:p w14:paraId="613D2311">
      <w:pPr>
        <w:spacing w:line="600" w:lineRule="exact"/>
        <w:ind w:firstLine="640" w:firstLineChars="200"/>
        <w:rPr>
          <w:rStyle w:val="19"/>
          <w:rFonts w:eastAsia="仿宋_GB2312"/>
          <w:b w:val="0"/>
          <w:bCs/>
          <w:sz w:val="32"/>
          <w:szCs w:val="32"/>
        </w:rPr>
      </w:pPr>
      <w:r>
        <w:rPr>
          <w:rStyle w:val="19"/>
          <w:rFonts w:eastAsia="仿宋_GB2312"/>
          <w:b w:val="0"/>
          <w:bCs/>
          <w:sz w:val="32"/>
          <w:szCs w:val="32"/>
        </w:rPr>
        <w:t>2.</w:t>
      </w:r>
      <w:r>
        <w:rPr>
          <w:rFonts w:eastAsia="仿宋_GB2312"/>
          <w:bCs/>
          <w:sz w:val="32"/>
          <w:szCs w:val="32"/>
        </w:rPr>
        <w:t>卫生健康</w:t>
      </w:r>
      <w:r>
        <w:rPr>
          <w:rStyle w:val="19"/>
          <w:rFonts w:eastAsia="仿宋_GB2312"/>
          <w:b w:val="0"/>
          <w:bCs/>
          <w:sz w:val="32"/>
          <w:szCs w:val="32"/>
        </w:rPr>
        <w:t>（类）行政事业单位医疗（款）：</w:t>
      </w:r>
    </w:p>
    <w:p w14:paraId="1D8FB805">
      <w:pPr>
        <w:spacing w:line="600" w:lineRule="exact"/>
        <w:ind w:firstLine="640" w:firstLineChars="200"/>
        <w:rPr>
          <w:rStyle w:val="19"/>
          <w:rFonts w:eastAsia="仿宋_GB2312"/>
          <w:b w:val="0"/>
          <w:bCs/>
          <w:sz w:val="32"/>
          <w:szCs w:val="32"/>
        </w:rPr>
      </w:pPr>
      <w:r>
        <w:rPr>
          <w:rStyle w:val="19"/>
          <w:rFonts w:eastAsia="仿宋_GB2312"/>
          <w:b w:val="0"/>
          <w:bCs/>
          <w:sz w:val="32"/>
          <w:szCs w:val="32"/>
        </w:rPr>
        <w:t>（1）事业单位医疗（项）支出决算为9.43万元，完成预算100%，决算数等于预算数；</w:t>
      </w:r>
    </w:p>
    <w:p w14:paraId="32C15336">
      <w:pPr>
        <w:spacing w:line="600" w:lineRule="exact"/>
        <w:ind w:firstLine="640" w:firstLineChars="200"/>
        <w:rPr>
          <w:rFonts w:eastAsia="仿宋_GB2312"/>
          <w:b/>
          <w:bCs/>
          <w:sz w:val="32"/>
          <w:szCs w:val="32"/>
        </w:rPr>
      </w:pPr>
      <w:r>
        <w:rPr>
          <w:rStyle w:val="19"/>
          <w:rFonts w:eastAsia="仿宋_GB2312"/>
          <w:b w:val="0"/>
          <w:bCs/>
          <w:sz w:val="32"/>
          <w:szCs w:val="32"/>
        </w:rPr>
        <w:t>（2）公务员医疗补助（项）支出决算为6.99万元，决算数等于预算数。</w:t>
      </w:r>
    </w:p>
    <w:p w14:paraId="2724A36F">
      <w:pPr>
        <w:spacing w:line="600" w:lineRule="exact"/>
        <w:ind w:firstLine="640" w:firstLineChars="200"/>
        <w:rPr>
          <w:rStyle w:val="19"/>
          <w:rFonts w:eastAsia="仿宋_GB2312"/>
          <w:bCs/>
          <w:sz w:val="32"/>
          <w:szCs w:val="32"/>
        </w:rPr>
      </w:pPr>
      <w:r>
        <w:rPr>
          <w:rFonts w:eastAsia="仿宋_GB2312"/>
          <w:sz w:val="32"/>
          <w:szCs w:val="32"/>
        </w:rPr>
        <w:t>3、自然资源海洋气候气象等支出</w:t>
      </w:r>
      <w:r>
        <w:rPr>
          <w:rStyle w:val="19"/>
          <w:rFonts w:eastAsia="仿宋_GB2312"/>
          <w:b w:val="0"/>
          <w:bCs/>
          <w:sz w:val="32"/>
          <w:szCs w:val="32"/>
        </w:rPr>
        <w:t>（类）自然资源事务（款）：</w:t>
      </w:r>
    </w:p>
    <w:p w14:paraId="44FFEC39">
      <w:pPr>
        <w:spacing w:line="600" w:lineRule="exact"/>
        <w:ind w:firstLine="640" w:firstLineChars="200"/>
        <w:rPr>
          <w:rStyle w:val="19"/>
          <w:rFonts w:eastAsia="仿宋_GB2312"/>
          <w:b w:val="0"/>
          <w:bCs/>
          <w:sz w:val="32"/>
          <w:szCs w:val="32"/>
        </w:rPr>
      </w:pPr>
      <w:r>
        <w:rPr>
          <w:rStyle w:val="19"/>
          <w:rFonts w:eastAsia="仿宋_GB2312"/>
          <w:b w:val="0"/>
          <w:bCs/>
          <w:sz w:val="32"/>
          <w:szCs w:val="32"/>
        </w:rPr>
        <w:t>（1）土地资源储备（项）支出决算为170.18万元，决算数等于预算数；</w:t>
      </w:r>
    </w:p>
    <w:p w14:paraId="7014FB55">
      <w:pPr>
        <w:spacing w:line="600" w:lineRule="exact"/>
        <w:ind w:firstLine="640" w:firstLineChars="200"/>
        <w:rPr>
          <w:rStyle w:val="19"/>
          <w:rFonts w:eastAsia="仿宋_GB2312"/>
          <w:b w:val="0"/>
          <w:bCs/>
          <w:sz w:val="32"/>
          <w:szCs w:val="32"/>
        </w:rPr>
      </w:pPr>
      <w:r>
        <w:rPr>
          <w:rStyle w:val="19"/>
          <w:rFonts w:eastAsia="仿宋_GB2312"/>
          <w:b w:val="0"/>
          <w:bCs/>
          <w:sz w:val="32"/>
          <w:szCs w:val="32"/>
        </w:rPr>
        <w:t>（2）事业运行（项）支出决算为194.96万元，决算数等于预算数；</w:t>
      </w:r>
    </w:p>
    <w:p w14:paraId="5E829531">
      <w:pPr>
        <w:spacing w:line="600" w:lineRule="exact"/>
        <w:ind w:firstLine="640" w:firstLineChars="200"/>
        <w:rPr>
          <w:rStyle w:val="19"/>
          <w:rFonts w:eastAsia="仿宋_GB2312"/>
          <w:b w:val="0"/>
          <w:bCs/>
          <w:sz w:val="32"/>
          <w:szCs w:val="32"/>
        </w:rPr>
      </w:pPr>
      <w:r>
        <w:rPr>
          <w:rStyle w:val="19"/>
          <w:rFonts w:eastAsia="仿宋_GB2312"/>
          <w:b w:val="0"/>
          <w:bCs/>
          <w:sz w:val="32"/>
          <w:szCs w:val="32"/>
        </w:rPr>
        <w:t>（3）其他自然资源事务（项）支出决算为1.1万元，决算数等于预算数。</w:t>
      </w:r>
    </w:p>
    <w:p w14:paraId="49D096DC">
      <w:pPr>
        <w:spacing w:line="600" w:lineRule="exact"/>
        <w:ind w:firstLine="640" w:firstLineChars="200"/>
        <w:rPr>
          <w:rFonts w:eastAsia="仿宋_GB2312"/>
          <w:b/>
          <w:sz w:val="32"/>
          <w:szCs w:val="32"/>
        </w:rPr>
      </w:pPr>
      <w:r>
        <w:rPr>
          <w:rFonts w:eastAsia="仿宋_GB2312"/>
          <w:sz w:val="32"/>
          <w:szCs w:val="32"/>
        </w:rPr>
        <w:t>4．住房保障支出（类）住房改革支出（款）</w:t>
      </w:r>
      <w:r>
        <w:rPr>
          <w:rFonts w:eastAsia="仿宋_GB2312"/>
          <w:color w:val="000000"/>
          <w:sz w:val="32"/>
          <w:szCs w:val="32"/>
        </w:rPr>
        <w:t>住房公积金</w:t>
      </w:r>
      <w:r>
        <w:rPr>
          <w:rFonts w:eastAsia="仿宋_GB2312"/>
          <w:sz w:val="32"/>
          <w:szCs w:val="32"/>
        </w:rPr>
        <w:t>支出决算为14.83万元，完成预算</w:t>
      </w:r>
      <w:r>
        <w:rPr>
          <w:rFonts w:eastAsia="仿宋_GB2312"/>
          <w:color w:val="000000"/>
          <w:sz w:val="32"/>
          <w:szCs w:val="32"/>
        </w:rPr>
        <w:t>100%</w:t>
      </w:r>
      <w:r>
        <w:rPr>
          <w:rFonts w:eastAsia="仿宋_GB2312"/>
          <w:sz w:val="32"/>
          <w:szCs w:val="32"/>
        </w:rPr>
        <w:t>，决算数</w:t>
      </w:r>
      <w:r>
        <w:rPr>
          <w:rStyle w:val="19"/>
          <w:rFonts w:eastAsia="仿宋_GB2312"/>
          <w:b w:val="0"/>
          <w:bCs/>
          <w:sz w:val="32"/>
          <w:szCs w:val="32"/>
        </w:rPr>
        <w:t>等于预算数</w:t>
      </w:r>
      <w:r>
        <w:rPr>
          <w:rFonts w:eastAsia="仿宋_GB2312"/>
          <w:b/>
          <w:sz w:val="32"/>
          <w:szCs w:val="32"/>
        </w:rPr>
        <w:t>。</w:t>
      </w:r>
    </w:p>
    <w:p w14:paraId="03E93F67">
      <w:pPr>
        <w:tabs>
          <w:tab w:val="right" w:pos="8306"/>
        </w:tabs>
        <w:spacing w:line="600" w:lineRule="exact"/>
        <w:ind w:firstLine="640"/>
        <w:outlineLvl w:val="1"/>
        <w:rPr>
          <w:rStyle w:val="31"/>
        </w:rPr>
      </w:pPr>
      <w:bookmarkStart w:id="52" w:name="_Toc15377214"/>
      <w:bookmarkStart w:id="5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52"/>
      <w:bookmarkEnd w:id="53"/>
      <w:r>
        <w:rPr>
          <w:rStyle w:val="31"/>
          <w:rFonts w:ascii="黑体" w:hAnsi="黑体" w:eastAsia="黑体"/>
          <w:b w:val="0"/>
        </w:rPr>
        <w:tab/>
      </w:r>
    </w:p>
    <w:p w14:paraId="101CC991">
      <w:pPr>
        <w:spacing w:line="576" w:lineRule="exact"/>
        <w:ind w:firstLine="640"/>
        <w:rPr>
          <w:rFonts w:eastAsia="仿宋_GB2312"/>
          <w:color w:val="000000"/>
          <w:sz w:val="32"/>
          <w:szCs w:val="32"/>
          <w:lang w:val="zh-CN"/>
        </w:rPr>
      </w:pPr>
      <w:r>
        <w:rPr>
          <w:rFonts w:eastAsia="仿宋_GB2312"/>
          <w:color w:val="000000"/>
          <w:sz w:val="32"/>
          <w:szCs w:val="32"/>
          <w:lang w:val="zh-CN"/>
        </w:rPr>
        <w:t>2023年一般公共预算财政拨款基本支出250.27万元，其中：</w:t>
      </w:r>
    </w:p>
    <w:p w14:paraId="57ABD60A">
      <w:pPr>
        <w:spacing w:line="576" w:lineRule="exact"/>
        <w:ind w:firstLine="643"/>
        <w:rPr>
          <w:rFonts w:eastAsia="仿宋_GB2312"/>
          <w:color w:val="000000"/>
          <w:sz w:val="32"/>
          <w:szCs w:val="32"/>
          <w:lang w:val="zh-CN"/>
        </w:rPr>
      </w:pPr>
      <w:r>
        <w:rPr>
          <w:rFonts w:eastAsia="仿宋_GB2312"/>
          <w:b/>
          <w:bCs/>
          <w:color w:val="000000"/>
          <w:sz w:val="32"/>
          <w:szCs w:val="32"/>
          <w:lang w:val="zh-CN"/>
        </w:rPr>
        <w:t>人员经费</w:t>
      </w:r>
      <w:r>
        <w:rPr>
          <w:rFonts w:eastAsia="仿宋_GB2312"/>
          <w:color w:val="000000"/>
          <w:sz w:val="32"/>
          <w:szCs w:val="32"/>
          <w:lang w:val="zh-CN"/>
        </w:rPr>
        <w:t>236.24万元，主要包括：</w:t>
      </w:r>
      <w:r>
        <w:rPr>
          <w:rFonts w:eastAsia="仿宋"/>
          <w:sz w:val="32"/>
          <w:szCs w:val="32"/>
        </w:rPr>
        <w:t>基本工资、津贴补贴、绩效工资、机关事业单位基本养老保险缴费、职工基本医疗保险缴费、公务员医疗补助缴费、其他社会保障缴费、住房公积金、其他工资福利支出。</w:t>
      </w:r>
    </w:p>
    <w:p w14:paraId="41D78966">
      <w:pPr>
        <w:spacing w:line="576" w:lineRule="exact"/>
        <w:ind w:firstLine="643"/>
        <w:rPr>
          <w:rFonts w:eastAsia="仿宋_GB2312"/>
          <w:color w:val="000000"/>
          <w:sz w:val="32"/>
          <w:szCs w:val="32"/>
          <w:lang w:val="zh-CN"/>
        </w:rPr>
      </w:pPr>
      <w:r>
        <w:rPr>
          <w:rFonts w:eastAsia="仿宋_GB2312"/>
          <w:b/>
          <w:bCs/>
          <w:color w:val="000000"/>
          <w:sz w:val="32"/>
          <w:szCs w:val="32"/>
          <w:lang w:val="zh-CN"/>
        </w:rPr>
        <w:t>公用经费</w:t>
      </w:r>
      <w:r>
        <w:rPr>
          <w:rFonts w:eastAsia="仿宋_GB2312"/>
          <w:color w:val="000000"/>
          <w:sz w:val="32"/>
          <w:szCs w:val="32"/>
          <w:lang w:val="zh-CN"/>
        </w:rPr>
        <w:t>14.03万元，主要包括：</w:t>
      </w:r>
      <w:r>
        <w:rPr>
          <w:rFonts w:eastAsia="仿宋"/>
          <w:sz w:val="32"/>
          <w:szCs w:val="32"/>
        </w:rPr>
        <w:t>办公费、水费、电费、邮电费、差旅费、培训费、劳务费、福利费、其他商品和服务支出</w:t>
      </w:r>
      <w:r>
        <w:rPr>
          <w:rFonts w:eastAsia="仿宋_GB2312"/>
          <w:color w:val="000000"/>
          <w:sz w:val="32"/>
          <w:szCs w:val="32"/>
          <w:lang w:val="zh-CN"/>
        </w:rPr>
        <w:t>。</w:t>
      </w:r>
    </w:p>
    <w:p w14:paraId="4668385E">
      <w:pPr>
        <w:spacing w:line="600" w:lineRule="exact"/>
        <w:ind w:firstLine="640"/>
        <w:outlineLvl w:val="1"/>
        <w:rPr>
          <w:rStyle w:val="31"/>
          <w:rFonts w:ascii="黑体" w:hAnsi="黑体" w:eastAsia="黑体"/>
          <w:b w:val="0"/>
        </w:rPr>
      </w:pPr>
      <w:bookmarkStart w:id="54" w:name="_Toc15377215"/>
      <w:bookmarkStart w:id="55" w:name="_Toc15396609"/>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54"/>
      <w:bookmarkEnd w:id="55"/>
    </w:p>
    <w:p w14:paraId="2B2C9A9B">
      <w:pPr>
        <w:spacing w:line="600" w:lineRule="exact"/>
        <w:ind w:firstLine="643" w:firstLineChars="200"/>
        <w:outlineLvl w:val="2"/>
        <w:rPr>
          <w:rFonts w:ascii="楷体_GB2312" w:hAnsi="楷体_GB2312" w:eastAsia="楷体_GB2312" w:cs="楷体_GB2312"/>
          <w:b/>
          <w:sz w:val="32"/>
          <w:szCs w:val="32"/>
        </w:rPr>
      </w:pPr>
      <w:bookmarkStart w:id="56" w:name="_Toc15377216"/>
      <w:r>
        <w:rPr>
          <w:rFonts w:hint="eastAsia" w:ascii="楷体_GB2312" w:hAnsi="楷体_GB2312" w:eastAsia="楷体_GB2312" w:cs="楷体_GB2312"/>
          <w:b/>
          <w:sz w:val="32"/>
          <w:szCs w:val="32"/>
        </w:rPr>
        <w:t>（一）“三公”经费财政拨款支出决算总体情况说明</w:t>
      </w:r>
      <w:bookmarkEnd w:id="56"/>
    </w:p>
    <w:p w14:paraId="55F20849">
      <w:pPr>
        <w:spacing w:line="600" w:lineRule="exact"/>
        <w:ind w:firstLine="640"/>
        <w:rPr>
          <w:rFonts w:eastAsia="仿宋"/>
          <w:b/>
          <w:sz w:val="32"/>
          <w:szCs w:val="32"/>
        </w:rPr>
      </w:pPr>
      <w:r>
        <w:rPr>
          <w:rFonts w:eastAsia="仿宋_GB2312"/>
          <w:color w:val="000000"/>
          <w:sz w:val="32"/>
          <w:szCs w:val="32"/>
          <w:lang w:val="zh-CN"/>
        </w:rPr>
        <w:t>2023年“三公”经费财政拨款支出决算为0万元，</w:t>
      </w:r>
      <w:r>
        <w:rPr>
          <w:rFonts w:eastAsia="仿宋"/>
          <w:sz w:val="32"/>
          <w:szCs w:val="32"/>
        </w:rPr>
        <w:t>决算数与预算数持平、与上年决算数持平</w:t>
      </w:r>
      <w:r>
        <w:rPr>
          <w:rFonts w:eastAsia="仿宋"/>
          <w:b/>
          <w:sz w:val="32"/>
          <w:szCs w:val="32"/>
        </w:rPr>
        <w:t>。</w:t>
      </w:r>
    </w:p>
    <w:p w14:paraId="30B61566">
      <w:pPr>
        <w:spacing w:line="600" w:lineRule="exact"/>
        <w:ind w:firstLine="643" w:firstLineChars="200"/>
        <w:outlineLvl w:val="2"/>
        <w:rPr>
          <w:rFonts w:eastAsia="楷体_GB2312"/>
          <w:b/>
          <w:sz w:val="32"/>
          <w:szCs w:val="32"/>
        </w:rPr>
      </w:pPr>
      <w:bookmarkStart w:id="57" w:name="_Toc15377217"/>
      <w:r>
        <w:rPr>
          <w:rFonts w:eastAsia="楷体_GB2312"/>
          <w:b/>
          <w:sz w:val="32"/>
          <w:szCs w:val="32"/>
        </w:rPr>
        <w:t>（二）“三公”经费财政拨款支出决算具体情况说明</w:t>
      </w:r>
      <w:bookmarkEnd w:id="57"/>
    </w:p>
    <w:p w14:paraId="018FF19A">
      <w:pPr>
        <w:spacing w:line="600" w:lineRule="exact"/>
        <w:ind w:firstLine="640"/>
        <w:rPr>
          <w:rFonts w:eastAsia="仿宋"/>
          <w:color w:val="FF0000"/>
          <w:sz w:val="32"/>
          <w:szCs w:val="32"/>
        </w:rPr>
      </w:pPr>
      <w:r>
        <w:rPr>
          <w:rFonts w:eastAsia="仿宋"/>
          <w:sz w:val="32"/>
          <w:szCs w:val="32"/>
        </w:rPr>
        <w:t>2023年</w:t>
      </w:r>
      <w:bookmarkStart w:id="58" w:name="_Toc15377218"/>
      <w:bookmarkStart w:id="59" w:name="_Toc15396610"/>
      <w:r>
        <w:rPr>
          <w:rFonts w:eastAsia="仿宋"/>
          <w:sz w:val="32"/>
          <w:szCs w:val="32"/>
        </w:rPr>
        <w:t xml:space="preserve"> “三公”经费财政拨款支出决算中，因公出国（境）费支出决算0万元，占0%；公务用车购置及运行维护费支出决算0万元，占0%；公务接待费支出决算0万元，占0%。</w:t>
      </w:r>
    </w:p>
    <w:p w14:paraId="4CEEC9C3">
      <w:pPr>
        <w:spacing w:line="600" w:lineRule="exact"/>
        <w:ind w:firstLine="640"/>
        <w:rPr>
          <w:rFonts w:ascii="仿宋_GB2312" w:eastAsia="仿宋_GB2312"/>
          <w:b/>
          <w:sz w:val="32"/>
          <w:szCs w:val="32"/>
        </w:rPr>
      </w:pPr>
      <w:r>
        <w:rPr>
          <w:rFonts w:eastAsia="仿宋_GB2312"/>
          <w:b/>
          <w:sz w:val="32"/>
          <w:szCs w:val="32"/>
        </w:rPr>
        <w:t>1.因公出国（境）经费支出</w:t>
      </w:r>
      <w:r>
        <w:rPr>
          <w:rFonts w:eastAsia="仿宋_GB2312"/>
          <w:sz w:val="32"/>
          <w:szCs w:val="32"/>
        </w:rPr>
        <w:t>0万元，</w:t>
      </w:r>
      <w:r>
        <w:rPr>
          <w:rStyle w:val="19"/>
          <w:rFonts w:eastAsia="仿宋"/>
          <w:bCs/>
          <w:sz w:val="32"/>
          <w:szCs w:val="32"/>
        </w:rPr>
        <w:t>完成预算0%。</w:t>
      </w:r>
      <w:r>
        <w:rPr>
          <w:rFonts w:eastAsia="仿宋_GB2312"/>
          <w:sz w:val="32"/>
          <w:szCs w:val="32"/>
        </w:rPr>
        <w:t>全年安排因公出国（境）团组0次，出国（境）0人。因公出国（境）支出决算比20</w:t>
      </w:r>
      <w:r>
        <w:rPr>
          <w:rFonts w:hint="eastAsia" w:eastAsia="仿宋_GB2312"/>
          <w:sz w:val="32"/>
          <w:szCs w:val="32"/>
          <w:lang w:val="en-US" w:eastAsia="zh-CN"/>
        </w:rPr>
        <w:t>22</w:t>
      </w:r>
      <w:r>
        <w:rPr>
          <w:rFonts w:eastAsia="仿宋_GB2312"/>
          <w:sz w:val="32"/>
          <w:szCs w:val="32"/>
        </w:rPr>
        <w:t>年无增长或下降。主要原因是202</w:t>
      </w:r>
      <w:r>
        <w:rPr>
          <w:rFonts w:hint="eastAsia" w:eastAsia="仿宋_GB2312"/>
          <w:sz w:val="32"/>
          <w:szCs w:val="32"/>
          <w:lang w:val="en-US" w:eastAsia="zh-CN"/>
        </w:rPr>
        <w:t>3</w:t>
      </w:r>
      <w:r>
        <w:rPr>
          <w:rFonts w:eastAsia="仿宋_GB2312"/>
          <w:sz w:val="32"/>
          <w:szCs w:val="32"/>
        </w:rPr>
        <w:t>年我单位预算不涉及因公出国（境）经费，未产生此类款项</w:t>
      </w:r>
      <w:r>
        <w:rPr>
          <w:rFonts w:hint="eastAsia" w:ascii="仿宋_GB2312" w:eastAsia="仿宋_GB2312"/>
          <w:sz w:val="32"/>
          <w:szCs w:val="32"/>
        </w:rPr>
        <w:t>支出，因公出国（境）经费</w:t>
      </w:r>
      <w:r>
        <w:rPr>
          <w:rFonts w:eastAsia="仿宋_GB2312"/>
          <w:sz w:val="32"/>
          <w:szCs w:val="32"/>
        </w:rPr>
        <w:t>决算数为0</w:t>
      </w:r>
      <w:r>
        <w:rPr>
          <w:rFonts w:hint="eastAsia" w:ascii="仿宋_GB2312" w:eastAsia="仿宋_GB2312"/>
          <w:sz w:val="32"/>
          <w:szCs w:val="32"/>
        </w:rPr>
        <w:t>。</w:t>
      </w:r>
    </w:p>
    <w:p w14:paraId="74F1BD22">
      <w:pPr>
        <w:spacing w:line="600" w:lineRule="exact"/>
        <w:ind w:firstLine="640"/>
        <w:rPr>
          <w:rFonts w:eastAsia="仿宋_GB2312"/>
          <w:sz w:val="32"/>
          <w:szCs w:val="32"/>
        </w:rPr>
      </w:pPr>
      <w:r>
        <w:rPr>
          <w:rFonts w:eastAsia="仿宋_GB2312"/>
          <w:b/>
          <w:sz w:val="32"/>
          <w:szCs w:val="32"/>
        </w:rPr>
        <w:t>2.公务用车购置及运行维护费支出</w:t>
      </w:r>
      <w:r>
        <w:rPr>
          <w:rFonts w:eastAsia="仿宋_GB2312"/>
          <w:sz w:val="32"/>
          <w:szCs w:val="32"/>
        </w:rPr>
        <w:t>0万元,</w:t>
      </w:r>
      <w:r>
        <w:rPr>
          <w:rStyle w:val="19"/>
          <w:rFonts w:eastAsia="仿宋"/>
          <w:bCs/>
          <w:sz w:val="32"/>
          <w:szCs w:val="32"/>
        </w:rPr>
        <w:t>完成预算0%。</w:t>
      </w:r>
      <w:r>
        <w:rPr>
          <w:rFonts w:eastAsia="仿宋_GB2312"/>
          <w:sz w:val="32"/>
          <w:szCs w:val="32"/>
        </w:rPr>
        <w:t>公务用车购置及运行维护费支出决算比2022年无增长或下降。主要原因是2023年我单位预算不涉及公务用车购置及运行维护费，未产生此类款项支出，公务用车购置及运行维护费决算数为0。</w:t>
      </w:r>
    </w:p>
    <w:p w14:paraId="2B1C7F16">
      <w:pPr>
        <w:spacing w:line="600" w:lineRule="exact"/>
        <w:ind w:firstLine="640" w:firstLineChars="20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0万元。全年按规定更新购置公务用车0辆，其中：轿车0辆、金额0万元，越野车0辆、金额0万元，载客汽车0辆、金额0万元。截至2023年12月底，单位共有公务用车0辆，其中：轿车0辆、越野车0辆、载客汽车0辆。</w:t>
      </w:r>
    </w:p>
    <w:p w14:paraId="2EA9B958">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0万元。</w:t>
      </w:r>
    </w:p>
    <w:p w14:paraId="0631AA56">
      <w:pPr>
        <w:spacing w:line="600" w:lineRule="exact"/>
        <w:ind w:firstLine="640"/>
        <w:rPr>
          <w:rFonts w:eastAsia="仿宋_GB2312"/>
          <w:sz w:val="32"/>
          <w:szCs w:val="32"/>
        </w:rPr>
      </w:pPr>
      <w:r>
        <w:rPr>
          <w:rFonts w:eastAsia="仿宋_GB2312"/>
          <w:b/>
          <w:sz w:val="32"/>
          <w:szCs w:val="32"/>
        </w:rPr>
        <w:t>3.公务接待费支出</w:t>
      </w:r>
      <w:r>
        <w:rPr>
          <w:rFonts w:eastAsia="仿宋_GB2312"/>
          <w:sz w:val="32"/>
          <w:szCs w:val="32"/>
        </w:rPr>
        <w:t>0万元，</w:t>
      </w:r>
      <w:r>
        <w:rPr>
          <w:rStyle w:val="19"/>
          <w:rFonts w:eastAsia="仿宋"/>
          <w:bCs/>
          <w:sz w:val="32"/>
          <w:szCs w:val="32"/>
        </w:rPr>
        <w:t>完成预算0%。</w:t>
      </w:r>
      <w:r>
        <w:rPr>
          <w:rFonts w:eastAsia="仿宋_GB2312"/>
          <w:sz w:val="32"/>
          <w:szCs w:val="32"/>
        </w:rPr>
        <w:t>公务接待费支出决算比2022年无增长或下降。主要原因是2023年我单位预算不涉及</w:t>
      </w:r>
      <w:r>
        <w:rPr>
          <w:rFonts w:eastAsia="仿宋_GB2312"/>
          <w:b/>
          <w:sz w:val="32"/>
          <w:szCs w:val="32"/>
        </w:rPr>
        <w:t>公务接待费</w:t>
      </w:r>
      <w:r>
        <w:rPr>
          <w:rFonts w:eastAsia="仿宋_GB2312"/>
          <w:sz w:val="32"/>
          <w:szCs w:val="32"/>
        </w:rPr>
        <w:t>，未产生此类款项支出，</w:t>
      </w:r>
      <w:r>
        <w:rPr>
          <w:rFonts w:eastAsia="仿宋_GB2312"/>
          <w:b/>
          <w:sz w:val="32"/>
          <w:szCs w:val="32"/>
        </w:rPr>
        <w:t>公务接待费</w:t>
      </w:r>
      <w:r>
        <w:rPr>
          <w:rFonts w:eastAsia="仿宋_GB2312"/>
          <w:sz w:val="32"/>
          <w:szCs w:val="32"/>
        </w:rPr>
        <w:t>决算数为0。其中：</w:t>
      </w:r>
    </w:p>
    <w:p w14:paraId="1745F586">
      <w:pPr>
        <w:spacing w:line="600" w:lineRule="exact"/>
        <w:ind w:firstLine="640"/>
        <w:rPr>
          <w:rFonts w:eastAsia="仿宋_GB2312"/>
          <w:sz w:val="32"/>
          <w:szCs w:val="32"/>
        </w:rPr>
      </w:pPr>
      <w:r>
        <w:rPr>
          <w:rFonts w:eastAsia="仿宋"/>
          <w:b/>
          <w:sz w:val="32"/>
          <w:szCs w:val="32"/>
        </w:rPr>
        <w:t>国内公务接待支出</w:t>
      </w:r>
      <w:r>
        <w:rPr>
          <w:rFonts w:eastAsia="仿宋"/>
          <w:sz w:val="32"/>
          <w:szCs w:val="32"/>
        </w:rPr>
        <w:t>0</w:t>
      </w:r>
      <w:r>
        <w:rPr>
          <w:rFonts w:eastAsia="仿宋_GB2312"/>
          <w:sz w:val="32"/>
          <w:szCs w:val="32"/>
        </w:rPr>
        <w:t>万元，国内公务接待0批次，0人次（不包括陪同人员），共计支出0万元。</w:t>
      </w:r>
    </w:p>
    <w:p w14:paraId="6D02B012">
      <w:pPr>
        <w:spacing w:line="600" w:lineRule="exact"/>
        <w:ind w:firstLine="643" w:firstLineChars="200"/>
        <w:rPr>
          <w:rFonts w:eastAsia="仿宋_GB2312"/>
          <w:sz w:val="32"/>
          <w:szCs w:val="32"/>
        </w:rPr>
      </w:pPr>
      <w:r>
        <w:rPr>
          <w:rFonts w:eastAsia="仿宋"/>
          <w:b/>
          <w:sz w:val="32"/>
          <w:szCs w:val="32"/>
        </w:rPr>
        <w:t>外事接待支出</w:t>
      </w:r>
      <w:r>
        <w:rPr>
          <w:rFonts w:eastAsia="仿宋"/>
          <w:sz w:val="32"/>
          <w:szCs w:val="32"/>
        </w:rPr>
        <w:t>0</w:t>
      </w:r>
      <w:r>
        <w:rPr>
          <w:rFonts w:eastAsia="仿宋_GB2312"/>
          <w:sz w:val="32"/>
          <w:szCs w:val="32"/>
        </w:rPr>
        <w:t>万元，外事接待0批次，0人，共计支出0万元。</w:t>
      </w:r>
    </w:p>
    <w:p w14:paraId="635B9FBF">
      <w:pPr>
        <w:spacing w:line="600" w:lineRule="exact"/>
        <w:ind w:firstLine="640"/>
        <w:outlineLvl w:val="1"/>
        <w:rPr>
          <w:rStyle w:val="31"/>
          <w:rFonts w:ascii="Times New Roman" w:hAnsi="Times New Roman" w:eastAsia="黑体" w:cs="Times New Roman"/>
        </w:rPr>
      </w:pPr>
      <w:r>
        <w:rPr>
          <w:rFonts w:eastAsia="黑体"/>
          <w:sz w:val="32"/>
          <w:szCs w:val="32"/>
        </w:rPr>
        <w:t>八、</w:t>
      </w:r>
      <w:r>
        <w:rPr>
          <w:rStyle w:val="31"/>
          <w:rFonts w:ascii="Times New Roman" w:hAnsi="Times New Roman" w:eastAsia="黑体" w:cs="Times New Roman"/>
          <w:b w:val="0"/>
        </w:rPr>
        <w:t>政府性基金预算支出决算情况说明</w:t>
      </w:r>
      <w:bookmarkEnd w:id="58"/>
      <w:bookmarkEnd w:id="59"/>
    </w:p>
    <w:p w14:paraId="55EEF534">
      <w:pPr>
        <w:spacing w:line="600" w:lineRule="exact"/>
        <w:ind w:firstLine="640"/>
        <w:rPr>
          <w:rFonts w:eastAsia="仿宋_GB2312"/>
          <w:sz w:val="32"/>
          <w:szCs w:val="32"/>
        </w:rPr>
      </w:pPr>
      <w:r>
        <w:rPr>
          <w:rFonts w:eastAsia="仿宋_GB2312"/>
          <w:sz w:val="32"/>
          <w:szCs w:val="32"/>
        </w:rPr>
        <w:t>2023年政府性基金预算财政拨款支出0万元。</w:t>
      </w:r>
    </w:p>
    <w:p w14:paraId="4C3E3DBF">
      <w:pPr>
        <w:numPr>
          <w:ilvl w:val="0"/>
          <w:numId w:val="2"/>
        </w:numPr>
        <w:spacing w:line="600" w:lineRule="exact"/>
        <w:ind w:firstLine="640"/>
        <w:outlineLvl w:val="1"/>
        <w:rPr>
          <w:rStyle w:val="31"/>
          <w:rFonts w:ascii="Times New Roman" w:hAnsi="Times New Roman" w:eastAsia="黑体" w:cs="Times New Roman"/>
          <w:b w:val="0"/>
        </w:rPr>
      </w:pPr>
      <w:bookmarkStart w:id="60" w:name="_Toc15396611"/>
      <w:bookmarkStart w:id="61" w:name="_Toc15377219"/>
      <w:r>
        <w:rPr>
          <w:rStyle w:val="31"/>
          <w:rFonts w:ascii="Times New Roman" w:hAnsi="Times New Roman" w:eastAsia="黑体" w:cs="Times New Roman"/>
          <w:b w:val="0"/>
        </w:rPr>
        <w:t>国有资本经营预算支出决算情况说明</w:t>
      </w:r>
      <w:bookmarkEnd w:id="60"/>
      <w:bookmarkEnd w:id="61"/>
    </w:p>
    <w:p w14:paraId="4E725E66">
      <w:pPr>
        <w:spacing w:line="600" w:lineRule="exact"/>
        <w:ind w:firstLine="640"/>
        <w:rPr>
          <w:rFonts w:eastAsia="仿宋_GB2312"/>
          <w:sz w:val="32"/>
          <w:szCs w:val="32"/>
        </w:rPr>
      </w:pPr>
      <w:r>
        <w:rPr>
          <w:rFonts w:eastAsia="仿宋_GB2312"/>
          <w:sz w:val="32"/>
          <w:szCs w:val="32"/>
        </w:rPr>
        <w:t>2023年国有资本经营预算财政拨款支出0万元。</w:t>
      </w:r>
    </w:p>
    <w:p w14:paraId="1F87D200">
      <w:pPr>
        <w:numPr>
          <w:ilvl w:val="0"/>
          <w:numId w:val="2"/>
        </w:numPr>
        <w:spacing w:line="600" w:lineRule="exact"/>
        <w:ind w:firstLine="640"/>
        <w:outlineLvl w:val="1"/>
        <w:rPr>
          <w:rStyle w:val="31"/>
          <w:rFonts w:ascii="Times New Roman" w:hAnsi="Times New Roman" w:eastAsia="黑体" w:cs="Times New Roman"/>
          <w:b w:val="0"/>
        </w:rPr>
      </w:pPr>
      <w:bookmarkStart w:id="62" w:name="_Toc15396612"/>
      <w:bookmarkStart w:id="63" w:name="_Toc15377221"/>
      <w:r>
        <w:rPr>
          <w:rStyle w:val="31"/>
          <w:rFonts w:ascii="Times New Roman" w:hAnsi="Times New Roman" w:eastAsia="黑体" w:cs="Times New Roman"/>
          <w:b w:val="0"/>
        </w:rPr>
        <w:t>其他重要事项的情况说明</w:t>
      </w:r>
      <w:bookmarkEnd w:id="62"/>
      <w:bookmarkEnd w:id="63"/>
    </w:p>
    <w:p w14:paraId="09A4A8F6">
      <w:pPr>
        <w:spacing w:line="600" w:lineRule="exact"/>
        <w:ind w:firstLine="643" w:firstLineChars="200"/>
        <w:outlineLvl w:val="2"/>
        <w:rPr>
          <w:rFonts w:eastAsia="楷体_GB2312"/>
          <w:b/>
          <w:sz w:val="32"/>
          <w:szCs w:val="32"/>
        </w:rPr>
      </w:pPr>
      <w:bookmarkStart w:id="64" w:name="_Toc15377222"/>
      <w:r>
        <w:rPr>
          <w:rFonts w:eastAsia="楷体_GB2312"/>
          <w:b/>
          <w:sz w:val="32"/>
          <w:szCs w:val="32"/>
        </w:rPr>
        <w:t>（一）机关运行经费支出情况</w:t>
      </w:r>
      <w:bookmarkEnd w:id="64"/>
    </w:p>
    <w:p w14:paraId="292328C7">
      <w:pPr>
        <w:snapToGrid w:val="0"/>
        <w:spacing w:line="520" w:lineRule="exact"/>
        <w:ind w:firstLine="640" w:firstLineChars="200"/>
        <w:rPr>
          <w:rFonts w:eastAsia="仿宋_GB2312"/>
          <w:sz w:val="32"/>
          <w:szCs w:val="32"/>
        </w:rPr>
      </w:pPr>
      <w:r>
        <w:rPr>
          <w:rFonts w:eastAsia="仿宋_GB2312"/>
          <w:sz w:val="32"/>
          <w:szCs w:val="32"/>
        </w:rPr>
        <w:t>2023年，县集体土地征收补偿安置中心机关运行经费支出</w:t>
      </w:r>
      <w:r>
        <w:rPr>
          <w:rFonts w:eastAsia="仿宋_GB2312"/>
          <w:color w:val="000000"/>
          <w:sz w:val="32"/>
          <w:szCs w:val="32"/>
          <w:lang w:val="zh-CN"/>
        </w:rPr>
        <w:t>14.03</w:t>
      </w:r>
      <w:r>
        <w:rPr>
          <w:rFonts w:eastAsia="仿宋_GB2312"/>
          <w:sz w:val="32"/>
          <w:szCs w:val="32"/>
        </w:rPr>
        <w:t>万元，比2022年增加</w:t>
      </w:r>
      <w:r>
        <w:rPr>
          <w:rFonts w:eastAsia="仿宋_GB2312"/>
          <w:color w:val="000000"/>
          <w:sz w:val="32"/>
          <w:szCs w:val="32"/>
          <w:lang w:val="zh-CN"/>
        </w:rPr>
        <w:t>5.3</w:t>
      </w:r>
      <w:r>
        <w:rPr>
          <w:rFonts w:eastAsia="仿宋_GB2312"/>
          <w:sz w:val="32"/>
          <w:szCs w:val="32"/>
        </w:rPr>
        <w:t>万元，增长</w:t>
      </w:r>
      <w:r>
        <w:rPr>
          <w:rFonts w:eastAsia="仿宋_GB2312"/>
          <w:color w:val="000000"/>
          <w:sz w:val="32"/>
          <w:szCs w:val="32"/>
          <w:lang w:val="zh-CN"/>
        </w:rPr>
        <w:t>60.71%。</w:t>
      </w:r>
      <w:bookmarkStart w:id="65" w:name="_Toc15377223"/>
      <w:r>
        <w:rPr>
          <w:rFonts w:eastAsia="仿宋_GB2312"/>
          <w:color w:val="000000"/>
          <w:sz w:val="32"/>
          <w:szCs w:val="32"/>
          <w:lang w:val="zh-CN"/>
        </w:rPr>
        <w:t>主要变动原因是</w:t>
      </w:r>
      <w:r>
        <w:rPr>
          <w:rFonts w:eastAsia="仿宋_GB2312"/>
          <w:sz w:val="32"/>
          <w:szCs w:val="32"/>
        </w:rPr>
        <w:t>2023年人员调动及职务变动，财政下拨用于人员调动及职务的日常开支费用。</w:t>
      </w:r>
    </w:p>
    <w:p w14:paraId="208B416E">
      <w:pPr>
        <w:spacing w:line="600" w:lineRule="exact"/>
        <w:ind w:firstLine="643" w:firstLineChars="200"/>
        <w:outlineLvl w:val="2"/>
        <w:rPr>
          <w:rFonts w:eastAsia="楷体_GB2312"/>
          <w:b/>
          <w:sz w:val="32"/>
          <w:szCs w:val="32"/>
        </w:rPr>
      </w:pPr>
      <w:r>
        <w:rPr>
          <w:rFonts w:eastAsia="楷体_GB2312"/>
          <w:b/>
          <w:sz w:val="32"/>
          <w:szCs w:val="32"/>
        </w:rPr>
        <w:t>（二）政府采购支出情况</w:t>
      </w:r>
      <w:bookmarkEnd w:id="65"/>
    </w:p>
    <w:p w14:paraId="2FDFC683">
      <w:pPr>
        <w:spacing w:line="600" w:lineRule="exact"/>
        <w:ind w:firstLine="640" w:firstLineChars="200"/>
        <w:rPr>
          <w:rFonts w:eastAsia="仿宋_GB2312"/>
          <w:sz w:val="32"/>
          <w:szCs w:val="32"/>
        </w:rPr>
      </w:pPr>
      <w:r>
        <w:rPr>
          <w:rFonts w:eastAsia="仿宋_GB2312"/>
          <w:sz w:val="32"/>
          <w:szCs w:val="32"/>
        </w:rPr>
        <w:t>2023年，我单位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5FAAB27E">
      <w:pPr>
        <w:spacing w:line="600" w:lineRule="exact"/>
        <w:ind w:firstLine="643" w:firstLineChars="200"/>
        <w:outlineLvl w:val="2"/>
        <w:rPr>
          <w:rFonts w:eastAsia="楷体_GB2312"/>
          <w:b/>
          <w:sz w:val="32"/>
          <w:szCs w:val="32"/>
        </w:rPr>
      </w:pPr>
      <w:bookmarkStart w:id="66" w:name="_Toc15377224"/>
      <w:r>
        <w:rPr>
          <w:rFonts w:eastAsia="楷体_GB2312"/>
          <w:b/>
          <w:sz w:val="32"/>
          <w:szCs w:val="32"/>
        </w:rPr>
        <w:t>（三）国有资产占有使用情况</w:t>
      </w:r>
      <w:bookmarkEnd w:id="66"/>
    </w:p>
    <w:p w14:paraId="384C26AC">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截至2023年12月31日，我单位共有车辆0辆，其中：主要领导干部用车0辆、机要通信用车0辆、应急保障用车0辆、其他用车0辆，单价100万元以上专用设备0台（套）。</w:t>
      </w:r>
    </w:p>
    <w:p w14:paraId="7362601E">
      <w:pPr>
        <w:spacing w:line="600" w:lineRule="exact"/>
        <w:ind w:firstLine="643" w:firstLineChars="200"/>
        <w:outlineLvl w:val="2"/>
        <w:rPr>
          <w:rFonts w:eastAsia="楷体_GB2312"/>
          <w:b/>
          <w:sz w:val="32"/>
          <w:szCs w:val="32"/>
        </w:rPr>
      </w:pPr>
      <w:r>
        <w:rPr>
          <w:rFonts w:eastAsia="楷体_GB2312"/>
          <w:b/>
          <w:sz w:val="32"/>
          <w:szCs w:val="32"/>
        </w:rPr>
        <w:t>（四）预算绩效管理情况</w:t>
      </w:r>
    </w:p>
    <w:p w14:paraId="26D88C06">
      <w:pPr>
        <w:widowControl/>
        <w:ind w:firstLine="640" w:firstLineChars="200"/>
        <w:jc w:val="left"/>
        <w:rPr>
          <w:rFonts w:eastAsia="仿宋_GB2312"/>
          <w:sz w:val="32"/>
          <w:szCs w:val="32"/>
        </w:rPr>
      </w:pPr>
      <w:r>
        <w:rPr>
          <w:rFonts w:eastAsia="仿宋_GB2312"/>
          <w:sz w:val="32"/>
          <w:szCs w:val="32"/>
        </w:rPr>
        <w:t>根据预算绩效管理要求，本部门在2023年度预算编制阶段，组织对米易县集体土地征收智能信息管理系统建设专项、土地征收项目管理工作经费等20个项目开展了预算事前绩效评估，对20个项目编制了绩效目标，预算执行过程中，选20个项目开展绩效监控。</w:t>
      </w:r>
    </w:p>
    <w:p w14:paraId="26938A3A">
      <w:pPr>
        <w:widowControl/>
        <w:ind w:firstLine="640" w:firstLineChars="200"/>
        <w:jc w:val="left"/>
        <w:rPr>
          <w:rFonts w:eastAsia="仿宋_GB2312"/>
          <w:sz w:val="32"/>
          <w:szCs w:val="32"/>
        </w:rPr>
      </w:pPr>
      <w:r>
        <w:rPr>
          <w:rFonts w:eastAsia="仿宋_GB2312"/>
          <w:sz w:val="32"/>
          <w:szCs w:val="32"/>
        </w:rPr>
        <w:t>组织对2023年</w:t>
      </w:r>
      <w:r>
        <w:rPr>
          <w:rFonts w:eastAsia="仿宋_GB2312"/>
          <w:sz w:val="32"/>
        </w:rPr>
        <w:t>工资性支出、基本公用支出、</w:t>
      </w:r>
      <w:r>
        <w:rPr>
          <w:rFonts w:eastAsia="仿宋_GB2312"/>
          <w:sz w:val="32"/>
          <w:szCs w:val="32"/>
          <w:lang w:val="zh-CN"/>
        </w:rPr>
        <w:t>土地征收项目管理工作经费、米易县集体土地征收智能管理信息系统建设专项、援藏援彝等其他项目、米易县集体土地征收智能管理信息系统建设、米易县集体土地征收智能信息系统维护费</w:t>
      </w:r>
      <w:r>
        <w:rPr>
          <w:rFonts w:eastAsia="仿宋_GB2312"/>
          <w:sz w:val="32"/>
          <w:szCs w:val="32"/>
        </w:rPr>
        <w:t>开展绩效自评，形成米易县集体土地征收补偿安置中心部门整体（含部门预算项目）绩效自评报告，米易县集体土地征收补偿安置中心部门整体（含部门预算项目）绩效自评得分为95分，《2023年米易县集体土地征收补偿安置中心部门预算绩效评价报告》见附件（第四部分）。</w:t>
      </w:r>
    </w:p>
    <w:p w14:paraId="35AEC287">
      <w:pPr>
        <w:widowControl/>
        <w:ind w:firstLine="643" w:firstLineChars="200"/>
        <w:jc w:val="left"/>
        <w:rPr>
          <w:rFonts w:eastAsia="仿宋_GB2312"/>
          <w:b/>
          <w:sz w:val="32"/>
          <w:szCs w:val="32"/>
        </w:rPr>
      </w:pPr>
      <w:r>
        <w:rPr>
          <w:rFonts w:eastAsia="仿宋_GB2312"/>
          <w:b/>
          <w:sz w:val="32"/>
          <w:szCs w:val="32"/>
        </w:rPr>
        <w:br w:type="page"/>
      </w:r>
    </w:p>
    <w:p w14:paraId="0CA9E63A">
      <w:pPr>
        <w:numPr>
          <w:ilvl w:val="0"/>
          <w:numId w:val="3"/>
        </w:numPr>
        <w:spacing w:line="600" w:lineRule="exact"/>
        <w:ind w:firstLine="660" w:firstLineChars="150"/>
        <w:jc w:val="center"/>
        <w:outlineLvl w:val="0"/>
        <w:rPr>
          <w:rStyle w:val="30"/>
          <w:rFonts w:ascii="黑体" w:hAnsi="黑体" w:eastAsia="黑体"/>
          <w:b w:val="0"/>
        </w:rPr>
      </w:pPr>
      <w:bookmarkStart w:id="67" w:name="_Toc15396613"/>
      <w:bookmarkStart w:id="68" w:name="_Toc15377225"/>
      <w:r>
        <w:rPr>
          <w:rFonts w:hint="eastAsia" w:ascii="黑体" w:hAnsi="黑体" w:eastAsia="黑体"/>
          <w:sz w:val="44"/>
          <w:szCs w:val="44"/>
        </w:rPr>
        <w:t>名</w:t>
      </w:r>
      <w:r>
        <w:rPr>
          <w:rStyle w:val="30"/>
          <w:rFonts w:hint="eastAsia" w:ascii="黑体" w:hAnsi="黑体" w:eastAsia="黑体"/>
          <w:b w:val="0"/>
        </w:rPr>
        <w:t>词解释</w:t>
      </w:r>
      <w:bookmarkEnd w:id="67"/>
      <w:bookmarkEnd w:id="68"/>
    </w:p>
    <w:p w14:paraId="5919E0BD">
      <w:pPr>
        <w:spacing w:line="600" w:lineRule="exact"/>
        <w:jc w:val="left"/>
        <w:rPr>
          <w:rFonts w:ascii="宋体"/>
          <w:b/>
          <w:sz w:val="44"/>
          <w:szCs w:val="44"/>
        </w:rPr>
      </w:pPr>
    </w:p>
    <w:p w14:paraId="42262336">
      <w:pPr>
        <w:pStyle w:val="2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14:paraId="604D7824">
      <w:pPr>
        <w:keepNext/>
        <w:keepLines/>
        <w:spacing w:line="576" w:lineRule="exact"/>
        <w:ind w:firstLine="640" w:firstLineChars="200"/>
        <w:rPr>
          <w:rFonts w:eastAsia="仿宋_GB2312"/>
          <w:color w:val="000000"/>
          <w:sz w:val="32"/>
        </w:rPr>
      </w:pPr>
      <w:r>
        <w:rPr>
          <w:rFonts w:eastAsia="仿宋_GB2312"/>
          <w:color w:val="000000"/>
          <w:sz w:val="32"/>
        </w:rPr>
        <w:t>2.社会保障和就业支出（类）行政事业单位养老支出（款）机关事业单位基本养老保险缴费支出（项）：指反映机关事业单位实施养老保险制度由单位缴纳的基本养老保险费支出。</w:t>
      </w:r>
    </w:p>
    <w:p w14:paraId="5AC7954A">
      <w:pPr>
        <w:keepNext/>
        <w:keepLines/>
        <w:spacing w:line="576" w:lineRule="exact"/>
        <w:ind w:firstLine="640" w:firstLineChars="200"/>
        <w:rPr>
          <w:rFonts w:eastAsia="仿宋_GB2312"/>
          <w:color w:val="000000"/>
          <w:sz w:val="32"/>
        </w:rPr>
      </w:pPr>
      <w:r>
        <w:rPr>
          <w:rFonts w:eastAsia="仿宋_GB2312"/>
          <w:color w:val="000000"/>
          <w:sz w:val="32"/>
        </w:rPr>
        <w:t>3.卫生健康支出（类）行政事业单位医疗（款）事业单位医疗支出（项）：指反映财政部门安排的事业单位基本医疗保险缴费经费。</w:t>
      </w:r>
    </w:p>
    <w:p w14:paraId="24582764">
      <w:pPr>
        <w:keepNext/>
        <w:keepLines/>
        <w:spacing w:line="576" w:lineRule="exact"/>
        <w:ind w:firstLine="640" w:firstLineChars="200"/>
        <w:rPr>
          <w:rFonts w:eastAsia="仿宋_GB2312"/>
          <w:color w:val="000000"/>
          <w:sz w:val="32"/>
        </w:rPr>
      </w:pPr>
      <w:r>
        <w:rPr>
          <w:rFonts w:eastAsia="仿宋_GB2312"/>
          <w:color w:val="000000"/>
          <w:sz w:val="32"/>
        </w:rPr>
        <w:t>4.卫生健康支出（类）行政事业单位医疗（款）公务员医疗补助支出（项）：指反映财政部门安排的公务员医疗补助经费。</w:t>
      </w:r>
    </w:p>
    <w:p w14:paraId="6918ECA8">
      <w:pPr>
        <w:pStyle w:val="28"/>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5.住房保障支出（类）住房改革支出（款）住房公积金（项）：指反映行政事业单位按人力资源社会保障部、财政部规定的基本工资和津贴补贴以及规定比例为职工缴纳的住房公积金。</w:t>
      </w:r>
    </w:p>
    <w:p w14:paraId="19779E67">
      <w:pPr>
        <w:spacing w:line="600" w:lineRule="exact"/>
        <w:ind w:firstLine="640" w:firstLineChars="200"/>
        <w:rPr>
          <w:rStyle w:val="19"/>
          <w:rFonts w:eastAsia="仿宋_GB2312"/>
          <w:bCs/>
          <w:sz w:val="32"/>
          <w:szCs w:val="32"/>
        </w:rPr>
      </w:pPr>
      <w:r>
        <w:rPr>
          <w:rFonts w:hint="eastAsia" w:eastAsia="仿宋_GB2312"/>
          <w:sz w:val="32"/>
          <w:szCs w:val="32"/>
        </w:rPr>
        <w:t>6.</w:t>
      </w:r>
      <w:r>
        <w:rPr>
          <w:rFonts w:eastAsia="仿宋_GB2312"/>
          <w:sz w:val="32"/>
          <w:szCs w:val="32"/>
        </w:rPr>
        <w:t>自然资源海洋气候气象等支出</w:t>
      </w:r>
      <w:r>
        <w:rPr>
          <w:rStyle w:val="19"/>
          <w:rFonts w:eastAsia="仿宋_GB2312"/>
          <w:b w:val="0"/>
          <w:bCs/>
          <w:sz w:val="32"/>
          <w:szCs w:val="32"/>
        </w:rPr>
        <w:t>（类）自然资源事务（款）土地资源储备支出（项）：指反映用于土地资源储备方面的支出。</w:t>
      </w:r>
    </w:p>
    <w:p w14:paraId="4A1BE67D">
      <w:pPr>
        <w:spacing w:line="600" w:lineRule="exact"/>
        <w:ind w:firstLine="640" w:firstLineChars="200"/>
        <w:rPr>
          <w:rStyle w:val="19"/>
          <w:rFonts w:eastAsia="仿宋_GB2312"/>
          <w:b w:val="0"/>
          <w:bCs/>
          <w:sz w:val="32"/>
          <w:szCs w:val="32"/>
        </w:rPr>
      </w:pPr>
      <w:r>
        <w:rPr>
          <w:rFonts w:hint="eastAsia" w:eastAsia="仿宋_GB2312"/>
          <w:sz w:val="32"/>
          <w:szCs w:val="32"/>
        </w:rPr>
        <w:t>7.</w:t>
      </w:r>
      <w:r>
        <w:rPr>
          <w:rFonts w:eastAsia="仿宋_GB2312"/>
          <w:sz w:val="32"/>
          <w:szCs w:val="32"/>
        </w:rPr>
        <w:t>自然资源海洋气候气象等支出</w:t>
      </w:r>
      <w:r>
        <w:rPr>
          <w:rStyle w:val="19"/>
          <w:rFonts w:eastAsia="仿宋_GB2312"/>
          <w:b w:val="0"/>
          <w:bCs/>
          <w:sz w:val="32"/>
          <w:szCs w:val="32"/>
        </w:rPr>
        <w:t>（类）自然资源事务（款）事业运行支出（项）：</w:t>
      </w:r>
      <w:r>
        <w:rPr>
          <w:rFonts w:eastAsia="仿宋_GB2312"/>
          <w:color w:val="000000"/>
          <w:sz w:val="32"/>
        </w:rPr>
        <w:t>指反映事业单位的基本支出，不包括行政单位（包括实行公务员管理的事业单位）后勤服务中心、医务室等附属事业单位。</w:t>
      </w:r>
    </w:p>
    <w:p w14:paraId="10D83934">
      <w:pPr>
        <w:spacing w:line="600" w:lineRule="exact"/>
        <w:ind w:firstLine="640" w:firstLineChars="200"/>
        <w:rPr>
          <w:rStyle w:val="19"/>
          <w:rFonts w:eastAsia="仿宋_GB2312"/>
          <w:b w:val="0"/>
          <w:bCs/>
          <w:sz w:val="32"/>
          <w:szCs w:val="32"/>
        </w:rPr>
      </w:pPr>
      <w:r>
        <w:rPr>
          <w:rStyle w:val="19"/>
          <w:rFonts w:hint="eastAsia" w:eastAsia="仿宋_GB2312"/>
          <w:b w:val="0"/>
          <w:bCs/>
          <w:sz w:val="32"/>
          <w:szCs w:val="32"/>
        </w:rPr>
        <w:t>8.</w:t>
      </w:r>
      <w:r>
        <w:rPr>
          <w:rFonts w:eastAsia="仿宋_GB2312"/>
          <w:sz w:val="32"/>
          <w:szCs w:val="32"/>
        </w:rPr>
        <w:t>自然资源海洋气候气象等支出</w:t>
      </w:r>
      <w:r>
        <w:rPr>
          <w:rStyle w:val="19"/>
          <w:rFonts w:eastAsia="仿宋_GB2312"/>
          <w:b w:val="0"/>
          <w:bCs/>
          <w:sz w:val="32"/>
          <w:szCs w:val="32"/>
        </w:rPr>
        <w:t>（类）自然资源事务（款）其他自然资源事务支出（项）：指反映</w:t>
      </w:r>
      <w:r>
        <w:rPr>
          <w:rFonts w:eastAsia="仿宋_GB2312"/>
          <w:color w:val="000000"/>
          <w:sz w:val="32"/>
          <w:szCs w:val="32"/>
        </w:rPr>
        <w:t>除上述项目以外其他用于自然资源事务方面的支出</w:t>
      </w:r>
    </w:p>
    <w:p w14:paraId="114E0230">
      <w:pPr>
        <w:ind w:firstLine="640" w:firstLineChars="200"/>
        <w:rPr>
          <w:rFonts w:eastAsia="仿宋_GB2312"/>
          <w:sz w:val="32"/>
          <w:szCs w:val="32"/>
        </w:rPr>
      </w:pPr>
      <w:r>
        <w:rPr>
          <w:rFonts w:eastAsia="仿宋_GB2312"/>
          <w:sz w:val="32"/>
          <w:szCs w:val="32"/>
        </w:rPr>
        <w:t>9.基本支出：指为保障机构正常运转、完成日常工作任务而发生的人员支出和公用支出。</w:t>
      </w:r>
    </w:p>
    <w:p w14:paraId="0013D7C3">
      <w:pPr>
        <w:ind w:firstLine="640" w:firstLineChars="200"/>
        <w:rPr>
          <w:rFonts w:eastAsia="仿宋_GB2312"/>
          <w:sz w:val="32"/>
          <w:szCs w:val="32"/>
        </w:rPr>
      </w:pPr>
      <w:r>
        <w:rPr>
          <w:rFonts w:eastAsia="仿宋_GB2312"/>
          <w:sz w:val="32"/>
          <w:szCs w:val="32"/>
        </w:rPr>
        <w:t xml:space="preserve">10.项目支出：指在基本支出之外为完成特定行政任务和事业发展目标所发生的支出。 </w:t>
      </w:r>
    </w:p>
    <w:p w14:paraId="1779463E">
      <w:pPr>
        <w:pStyle w:val="2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0ED1152">
      <w:pPr>
        <w:pStyle w:val="2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331E58">
      <w:pPr>
        <w:pStyle w:val="28"/>
        <w:spacing w:line="560" w:lineRule="exact"/>
        <w:ind w:firstLine="640" w:firstLineChars="200"/>
        <w:rPr>
          <w:rFonts w:ascii="Times New Roman" w:hAnsi="Times New Roman" w:eastAsia="仿宋_GB2312" w:cs="Times New Roman"/>
          <w:color w:val="auto"/>
          <w:sz w:val="32"/>
          <w:szCs w:val="32"/>
        </w:rPr>
      </w:pPr>
    </w:p>
    <w:p w14:paraId="68D93B53">
      <w:pPr>
        <w:spacing w:line="600" w:lineRule="exact"/>
        <w:jc w:val="center"/>
        <w:outlineLvl w:val="0"/>
        <w:rPr>
          <w:rStyle w:val="30"/>
          <w:rFonts w:ascii="黑体" w:hAnsi="黑体" w:eastAsia="黑体"/>
          <w:b w:val="0"/>
        </w:rPr>
      </w:pPr>
      <w:bookmarkStart w:id="69" w:name="_Toc15377226"/>
      <w:r>
        <w:rPr>
          <w:b/>
          <w:sz w:val="44"/>
          <w:szCs w:val="44"/>
        </w:rPr>
        <w:br w:type="page"/>
      </w:r>
      <w:bookmarkStart w:id="70" w:name="_Toc15396614"/>
      <w:r>
        <w:rPr>
          <w:rFonts w:hint="eastAsia" w:ascii="黑体" w:hAnsi="黑体" w:eastAsia="黑体"/>
          <w:sz w:val="44"/>
          <w:szCs w:val="44"/>
        </w:rPr>
        <w:t>第</w:t>
      </w:r>
      <w:r>
        <w:rPr>
          <w:rStyle w:val="30"/>
          <w:rFonts w:hint="eastAsia" w:ascii="黑体" w:hAnsi="黑体" w:eastAsia="黑体"/>
          <w:b w:val="0"/>
        </w:rPr>
        <w:t>四部分 附件</w:t>
      </w:r>
      <w:bookmarkEnd w:id="70"/>
    </w:p>
    <w:p w14:paraId="0F23C4C3">
      <w:pPr>
        <w:pStyle w:val="6"/>
        <w:spacing w:before="93"/>
      </w:pPr>
    </w:p>
    <w:p w14:paraId="4E55A66C">
      <w:pPr>
        <w:pStyle w:val="29"/>
        <w:spacing w:line="572" w:lineRule="exact"/>
        <w:ind w:left="420" w:firstLine="0" w:firstLineChars="0"/>
        <w:jc w:val="center"/>
        <w:rPr>
          <w:rFonts w:hint="eastAsia" w:ascii="方正小标宋简体" w:hAnsi="宋体" w:eastAsia="方正小标宋简体"/>
          <w:bCs/>
          <w:kern w:val="0"/>
          <w:sz w:val="40"/>
          <w:szCs w:val="44"/>
        </w:rPr>
      </w:pPr>
      <w:bookmarkStart w:id="71" w:name="OLE_LINK19"/>
      <w:bookmarkStart w:id="72" w:name="OLE_LINK20"/>
      <w:bookmarkStart w:id="73" w:name="OLE_LINK70"/>
      <w:bookmarkStart w:id="74" w:name="OLE_LINK71"/>
      <w:r>
        <w:rPr>
          <w:rFonts w:hint="eastAsia" w:ascii="方正小标宋简体" w:hAnsi="宋体" w:eastAsia="方正小标宋简体"/>
          <w:kern w:val="0"/>
          <w:sz w:val="40"/>
          <w:szCs w:val="44"/>
        </w:rPr>
        <w:t>2023年米易县集体土地征收补偿安置中心</w:t>
      </w:r>
      <w:r>
        <w:rPr>
          <w:rFonts w:hint="eastAsia" w:ascii="方正小标宋简体" w:hAnsi="宋体" w:eastAsia="方正小标宋简体"/>
          <w:bCs/>
          <w:kern w:val="0"/>
          <w:sz w:val="40"/>
          <w:szCs w:val="44"/>
        </w:rPr>
        <w:t>部门预算绩效评价报告</w:t>
      </w:r>
    </w:p>
    <w:p w14:paraId="085E8B88">
      <w:pPr>
        <w:pStyle w:val="29"/>
        <w:spacing w:line="572" w:lineRule="exact"/>
        <w:ind w:left="420" w:firstLine="0" w:firstLineChars="0"/>
        <w:jc w:val="center"/>
        <w:rPr>
          <w:rFonts w:ascii="方正小标宋简体" w:hAnsi="宋体" w:eastAsia="方正小标宋简体"/>
          <w:kern w:val="0"/>
          <w:sz w:val="40"/>
          <w:szCs w:val="44"/>
        </w:rPr>
      </w:pPr>
    </w:p>
    <w:p w14:paraId="6D090597">
      <w:pPr>
        <w:widowControl/>
        <w:adjustRightInd w:val="0"/>
        <w:snapToGrid w:val="0"/>
        <w:spacing w:line="580" w:lineRule="exact"/>
        <w:ind w:firstLine="640" w:firstLineChars="200"/>
        <w:jc w:val="left"/>
        <w:rPr>
          <w:rFonts w:eastAsia="黑体"/>
          <w:color w:val="000000"/>
          <w:kern w:val="0"/>
          <w:sz w:val="32"/>
          <w:szCs w:val="32"/>
          <w:shd w:val="clear" w:color="auto" w:fill="FFFFFF"/>
          <w:lang w:val="zh-CN"/>
        </w:rPr>
      </w:pPr>
      <w:r>
        <w:rPr>
          <w:rFonts w:hint="eastAsia" w:eastAsia="黑体"/>
          <w:color w:val="000000"/>
          <w:kern w:val="0"/>
          <w:sz w:val="32"/>
          <w:szCs w:val="32"/>
          <w:shd w:val="clear" w:color="auto" w:fill="FFFFFF"/>
        </w:rPr>
        <w:t>一、</w:t>
      </w:r>
      <w:r>
        <w:rPr>
          <w:rFonts w:hint="eastAsia" w:eastAsia="黑体"/>
          <w:color w:val="000000"/>
          <w:kern w:val="0"/>
          <w:sz w:val="32"/>
          <w:szCs w:val="32"/>
          <w:shd w:val="clear" w:color="auto" w:fill="FFFFFF"/>
          <w:lang w:val="zh-CN"/>
        </w:rPr>
        <w:t>部门概况</w:t>
      </w:r>
    </w:p>
    <w:p w14:paraId="6EA3448F">
      <w:pPr>
        <w:spacing w:line="600" w:lineRule="exact"/>
        <w:ind w:firstLine="643" w:firstLineChars="200"/>
        <w:outlineLvl w:val="2"/>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（一）机构组成。</w:t>
      </w:r>
    </w:p>
    <w:p w14:paraId="105A3AD2">
      <w:pPr>
        <w:widowControl/>
        <w:adjustRightInd w:val="0"/>
        <w:snapToGrid w:val="0"/>
        <w:spacing w:line="560"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根据米编发〔</w:t>
      </w:r>
      <w:r>
        <w:rPr>
          <w:rFonts w:eastAsia="仿宋_GB2312"/>
          <w:color w:val="000000"/>
          <w:kern w:val="0"/>
          <w:sz w:val="32"/>
          <w:szCs w:val="32"/>
          <w:shd w:val="clear" w:color="auto" w:fill="FFFFFF"/>
        </w:rPr>
        <w:t>2020</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30</w:t>
      </w:r>
      <w:r>
        <w:rPr>
          <w:rFonts w:hint="eastAsia" w:eastAsia="仿宋_GB2312"/>
          <w:color w:val="000000"/>
          <w:kern w:val="0"/>
          <w:sz w:val="32"/>
          <w:szCs w:val="32"/>
          <w:shd w:val="clear" w:color="auto" w:fill="FFFFFF"/>
        </w:rPr>
        <w:t>号文件规定</w:t>
      </w:r>
      <w:r>
        <w:rPr>
          <w:rFonts w:hint="eastAsia" w:eastAsia="仿宋_GB2312"/>
          <w:color w:val="000000"/>
          <w:kern w:val="0"/>
          <w:sz w:val="32"/>
          <w:szCs w:val="32"/>
          <w:shd w:val="clear" w:color="auto" w:fill="FFFFFF"/>
          <w:lang w:val="zh-CN"/>
        </w:rPr>
        <w:t>将县自然资源和规划局下属公益一类事业单位“米易县集体土地征收服务中心”更名为“米易县集体土地征收补偿安置中心”，</w:t>
      </w:r>
      <w:r>
        <w:rPr>
          <w:rFonts w:hint="eastAsia" w:eastAsia="仿宋_GB2312"/>
          <w:color w:val="000000"/>
          <w:kern w:val="0"/>
          <w:sz w:val="32"/>
          <w:szCs w:val="32"/>
          <w:shd w:val="clear" w:color="auto" w:fill="FFFFFF"/>
        </w:rPr>
        <w:t>为县政府直属事业单位。</w:t>
      </w:r>
      <w:r>
        <w:rPr>
          <w:rFonts w:eastAsia="仿宋_GB2312"/>
          <w:color w:val="000000"/>
          <w:kern w:val="0"/>
          <w:sz w:val="32"/>
          <w:szCs w:val="32"/>
          <w:shd w:val="clear" w:color="auto" w:fill="FFFFFF"/>
        </w:rPr>
        <w:t>2020</w:t>
      </w:r>
      <w:r>
        <w:rPr>
          <w:rFonts w:hint="eastAsia" w:eastAsia="仿宋_GB2312"/>
          <w:color w:val="000000"/>
          <w:kern w:val="0"/>
          <w:sz w:val="32"/>
          <w:szCs w:val="32"/>
          <w:shd w:val="clear" w:color="auto" w:fill="FFFFFF"/>
        </w:rPr>
        <w:t>年</w:t>
      </w:r>
      <w:r>
        <w:rPr>
          <w:rFonts w:eastAsia="仿宋_GB2312"/>
          <w:color w:val="000000"/>
          <w:kern w:val="0"/>
          <w:sz w:val="32"/>
          <w:szCs w:val="32"/>
          <w:shd w:val="clear" w:color="auto" w:fill="FFFFFF"/>
        </w:rPr>
        <w:t>10</w:t>
      </w:r>
      <w:r>
        <w:rPr>
          <w:rFonts w:hint="eastAsia" w:eastAsia="仿宋_GB2312"/>
          <w:color w:val="000000"/>
          <w:kern w:val="0"/>
          <w:sz w:val="32"/>
          <w:szCs w:val="32"/>
          <w:shd w:val="clear" w:color="auto" w:fill="FFFFFF"/>
        </w:rPr>
        <w:t>月</w:t>
      </w:r>
      <w:r>
        <w:rPr>
          <w:rFonts w:eastAsia="仿宋_GB2312"/>
          <w:color w:val="000000"/>
          <w:kern w:val="0"/>
          <w:sz w:val="32"/>
          <w:szCs w:val="32"/>
          <w:shd w:val="clear" w:color="auto" w:fill="FFFFFF"/>
        </w:rPr>
        <w:t>12</w:t>
      </w:r>
      <w:r>
        <w:rPr>
          <w:rFonts w:hint="eastAsia" w:eastAsia="仿宋_GB2312"/>
          <w:color w:val="000000"/>
          <w:kern w:val="0"/>
          <w:sz w:val="32"/>
          <w:szCs w:val="32"/>
          <w:shd w:val="clear" w:color="auto" w:fill="FFFFFF"/>
        </w:rPr>
        <w:t>日，米易县集体土地征收补偿安置中心筹备组成立。</w:t>
      </w:r>
      <w:r>
        <w:rPr>
          <w:rFonts w:eastAsia="仿宋_GB2312"/>
          <w:color w:val="000000"/>
          <w:kern w:val="0"/>
          <w:sz w:val="32"/>
          <w:szCs w:val="32"/>
          <w:shd w:val="clear" w:color="auto" w:fill="FFFFFF"/>
        </w:rPr>
        <w:t>2021</w:t>
      </w:r>
      <w:r>
        <w:rPr>
          <w:rFonts w:hint="eastAsia" w:eastAsia="仿宋_GB2312"/>
          <w:color w:val="000000"/>
          <w:kern w:val="0"/>
          <w:sz w:val="32"/>
          <w:szCs w:val="32"/>
          <w:shd w:val="clear" w:color="auto" w:fill="FFFFFF"/>
        </w:rPr>
        <w:t>年</w:t>
      </w:r>
      <w:r>
        <w:rPr>
          <w:rFonts w:eastAsia="仿宋_GB2312"/>
          <w:color w:val="000000"/>
          <w:kern w:val="0"/>
          <w:sz w:val="32"/>
          <w:szCs w:val="32"/>
          <w:shd w:val="clear" w:color="auto" w:fill="FFFFFF"/>
        </w:rPr>
        <w:t>12</w:t>
      </w:r>
      <w:r>
        <w:rPr>
          <w:rFonts w:hint="eastAsia" w:eastAsia="仿宋_GB2312"/>
          <w:color w:val="000000"/>
          <w:kern w:val="0"/>
          <w:sz w:val="32"/>
          <w:szCs w:val="32"/>
          <w:shd w:val="clear" w:color="auto" w:fill="FFFFFF"/>
        </w:rPr>
        <w:t>月</w:t>
      </w:r>
      <w:r>
        <w:rPr>
          <w:rFonts w:eastAsia="仿宋_GB2312"/>
          <w:color w:val="000000"/>
          <w:kern w:val="0"/>
          <w:sz w:val="32"/>
          <w:szCs w:val="32"/>
          <w:shd w:val="clear" w:color="auto" w:fill="FFFFFF"/>
        </w:rPr>
        <w:t>30</w:t>
      </w:r>
      <w:r>
        <w:rPr>
          <w:rFonts w:hint="eastAsia" w:eastAsia="仿宋_GB2312"/>
          <w:color w:val="000000"/>
          <w:kern w:val="0"/>
          <w:sz w:val="32"/>
          <w:szCs w:val="32"/>
          <w:shd w:val="clear" w:color="auto" w:fill="FFFFFF"/>
        </w:rPr>
        <w:t>日，米易县集体土地征收补偿安置中心正式挂牌成立。</w:t>
      </w:r>
    </w:p>
    <w:p w14:paraId="2DBEB154">
      <w:pPr>
        <w:spacing w:line="600" w:lineRule="exact"/>
        <w:ind w:firstLine="643" w:firstLineChars="200"/>
        <w:outlineLvl w:val="2"/>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（二）机构职能。</w:t>
      </w:r>
    </w:p>
    <w:p w14:paraId="211FBA22">
      <w:pPr>
        <w:widowControl/>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负责全县集体土地征收实施工作和征补安置资金预算、存储、审核、拨付等服务工作；健全征管系统和工作台账，负责档案管理服务；牵头负责全县重点工程建设项目的统征协调工作，协助市征收部门开展跨县建设项目的统征协调工作；受县委、县政府及行业主管部门委托，牵头负责征拆工作中重点、难点问题的统筹协调；研究中央、省、市征地拆迁、补偿安置相关政策，提出制定我县有关征地拆迁、补偿安置政策的意见、建议；完成县委、县政府交办的其他相关工作。</w:t>
      </w:r>
    </w:p>
    <w:p w14:paraId="2DB89676">
      <w:pPr>
        <w:spacing w:line="600" w:lineRule="exact"/>
        <w:ind w:firstLine="643" w:firstLineChars="200"/>
        <w:outlineLvl w:val="2"/>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（三）人员概况。</w:t>
      </w:r>
    </w:p>
    <w:p w14:paraId="7D11C5B9">
      <w:pPr>
        <w:widowControl/>
        <w:adjustRightInd w:val="0"/>
        <w:snapToGrid w:val="0"/>
        <w:spacing w:line="560"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我单位</w:t>
      </w:r>
      <w:r>
        <w:rPr>
          <w:rFonts w:eastAsia="仿宋_GB2312"/>
          <w:color w:val="000000"/>
          <w:kern w:val="0"/>
          <w:sz w:val="32"/>
          <w:szCs w:val="32"/>
          <w:shd w:val="clear" w:color="auto" w:fill="FFFFFF"/>
        </w:rPr>
        <w:t>2023</w:t>
      </w:r>
      <w:r>
        <w:rPr>
          <w:rFonts w:hint="eastAsia" w:eastAsia="仿宋_GB2312"/>
          <w:color w:val="000000"/>
          <w:kern w:val="0"/>
          <w:sz w:val="32"/>
          <w:szCs w:val="32"/>
          <w:shd w:val="clear" w:color="auto" w:fill="FFFFFF"/>
        </w:rPr>
        <w:t>年年末实有在职人数</w:t>
      </w:r>
      <w:r>
        <w:rPr>
          <w:rFonts w:eastAsia="仿宋_GB2312"/>
          <w:color w:val="000000"/>
          <w:kern w:val="0"/>
          <w:sz w:val="32"/>
          <w:szCs w:val="32"/>
          <w:shd w:val="clear" w:color="auto" w:fill="FFFFFF"/>
        </w:rPr>
        <w:t>12</w:t>
      </w:r>
      <w:r>
        <w:rPr>
          <w:rFonts w:hint="eastAsia" w:eastAsia="仿宋_GB2312"/>
          <w:color w:val="000000"/>
          <w:kern w:val="0"/>
          <w:sz w:val="32"/>
          <w:szCs w:val="32"/>
          <w:shd w:val="clear" w:color="auto" w:fill="FFFFFF"/>
        </w:rPr>
        <w:t>人，同上年相比，年末人数持平。</w:t>
      </w:r>
    </w:p>
    <w:p w14:paraId="4F109C57">
      <w:pPr>
        <w:widowControl/>
        <w:adjustRightInd w:val="0"/>
        <w:snapToGrid w:val="0"/>
        <w:spacing w:line="580" w:lineRule="exact"/>
        <w:ind w:firstLine="640" w:firstLineChars="200"/>
        <w:jc w:val="left"/>
        <w:rPr>
          <w:rFonts w:eastAsia="黑体"/>
          <w:color w:val="000000"/>
          <w:kern w:val="0"/>
          <w:sz w:val="32"/>
          <w:szCs w:val="32"/>
          <w:shd w:val="clear" w:color="auto" w:fill="FFFFFF"/>
        </w:rPr>
      </w:pPr>
      <w:r>
        <w:rPr>
          <w:rFonts w:hint="eastAsia" w:eastAsia="黑体"/>
          <w:color w:val="000000"/>
          <w:kern w:val="0"/>
          <w:sz w:val="32"/>
          <w:szCs w:val="32"/>
          <w:shd w:val="clear" w:color="auto" w:fill="FFFFFF"/>
        </w:rPr>
        <w:t>二、部门财政资金收支情况</w:t>
      </w:r>
    </w:p>
    <w:p w14:paraId="5A3602E6">
      <w:pPr>
        <w:widowControl/>
        <w:adjustRightInd w:val="0"/>
        <w:snapToGrid w:val="0"/>
        <w:spacing w:line="580" w:lineRule="exact"/>
        <w:ind w:firstLine="643" w:firstLineChars="200"/>
        <w:jc w:val="left"/>
        <w:rPr>
          <w:rFonts w:eastAsia="仿宋_GB2312"/>
          <w:color w:val="000000"/>
          <w:kern w:val="0"/>
          <w:sz w:val="32"/>
          <w:szCs w:val="32"/>
          <w:shd w:val="clear" w:color="auto" w:fill="FFFFFF"/>
          <w:lang w:val="zh-CN"/>
        </w:rPr>
      </w:pPr>
      <w:r>
        <w:rPr>
          <w:rFonts w:hint="eastAsia" w:ascii="楷体_GB2312" w:hAnsi="楷体_GB2312" w:eastAsia="楷体_GB2312" w:cs="楷体_GB2312"/>
          <w:b/>
          <w:sz w:val="32"/>
          <w:szCs w:val="32"/>
          <w:lang w:val="zh-CN"/>
        </w:rPr>
        <w:t>（一）部门财政资金收入情况。</w:t>
      </w:r>
    </w:p>
    <w:p w14:paraId="580CDC5D">
      <w:pPr>
        <w:widowControl/>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我单位</w:t>
      </w:r>
      <w:r>
        <w:rPr>
          <w:rFonts w:eastAsia="仿宋_GB2312"/>
          <w:color w:val="000000"/>
          <w:kern w:val="0"/>
          <w:sz w:val="32"/>
          <w:szCs w:val="32"/>
          <w:shd w:val="clear" w:color="auto" w:fill="FFFFFF"/>
        </w:rPr>
        <w:t>2023</w:t>
      </w:r>
      <w:r>
        <w:rPr>
          <w:rFonts w:hint="eastAsia" w:eastAsia="仿宋_GB2312"/>
          <w:color w:val="000000"/>
          <w:kern w:val="0"/>
          <w:sz w:val="32"/>
          <w:szCs w:val="32"/>
          <w:shd w:val="clear" w:color="auto" w:fill="FFFFFF"/>
        </w:rPr>
        <w:t>年初预算</w:t>
      </w:r>
      <w:r>
        <w:rPr>
          <w:rFonts w:eastAsia="仿宋_GB2312"/>
          <w:color w:val="000000"/>
          <w:kern w:val="0"/>
          <w:sz w:val="32"/>
          <w:szCs w:val="32"/>
          <w:shd w:val="clear" w:color="auto" w:fill="FFFFFF"/>
        </w:rPr>
        <w:t>360.78</w:t>
      </w:r>
      <w:r>
        <w:rPr>
          <w:rFonts w:hint="eastAsia" w:eastAsia="仿宋_GB2312"/>
          <w:color w:val="000000"/>
          <w:kern w:val="0"/>
          <w:sz w:val="32"/>
          <w:szCs w:val="32"/>
          <w:shd w:val="clear" w:color="auto" w:fill="FFFFFF"/>
        </w:rPr>
        <w:t>万元，其中：工资福利支出</w:t>
      </w:r>
      <w:r>
        <w:rPr>
          <w:rFonts w:eastAsia="仿宋_GB2312"/>
          <w:color w:val="000000"/>
          <w:kern w:val="0"/>
          <w:sz w:val="32"/>
          <w:szCs w:val="32"/>
          <w:shd w:val="clear" w:color="auto" w:fill="FFFFFF"/>
        </w:rPr>
        <w:t>179.21</w:t>
      </w:r>
      <w:r>
        <w:rPr>
          <w:rFonts w:hint="eastAsia" w:eastAsia="仿宋_GB2312"/>
          <w:color w:val="000000"/>
          <w:kern w:val="0"/>
          <w:sz w:val="32"/>
          <w:szCs w:val="32"/>
          <w:shd w:val="clear" w:color="auto" w:fill="FFFFFF"/>
        </w:rPr>
        <w:t>万元，主要包括：基本工资</w:t>
      </w:r>
      <w:r>
        <w:rPr>
          <w:rFonts w:eastAsia="仿宋_GB2312"/>
          <w:color w:val="000000"/>
          <w:kern w:val="0"/>
          <w:sz w:val="32"/>
          <w:szCs w:val="32"/>
          <w:shd w:val="clear" w:color="auto" w:fill="FFFFFF"/>
        </w:rPr>
        <w:t>46.34</w:t>
      </w:r>
      <w:r>
        <w:rPr>
          <w:rFonts w:hint="eastAsia" w:eastAsia="仿宋_GB2312"/>
          <w:color w:val="000000"/>
          <w:kern w:val="0"/>
          <w:sz w:val="32"/>
          <w:szCs w:val="32"/>
          <w:shd w:val="clear" w:color="auto" w:fill="FFFFFF"/>
        </w:rPr>
        <w:t>万元、津贴补贴</w:t>
      </w:r>
      <w:r>
        <w:rPr>
          <w:rFonts w:eastAsia="仿宋_GB2312"/>
          <w:color w:val="000000"/>
          <w:kern w:val="0"/>
          <w:sz w:val="32"/>
          <w:szCs w:val="32"/>
          <w:shd w:val="clear" w:color="auto" w:fill="FFFFFF"/>
        </w:rPr>
        <w:t>6.11</w:t>
      </w:r>
      <w:r>
        <w:rPr>
          <w:rFonts w:hint="eastAsia" w:eastAsia="仿宋_GB2312"/>
          <w:color w:val="000000"/>
          <w:kern w:val="0"/>
          <w:sz w:val="32"/>
          <w:szCs w:val="32"/>
          <w:shd w:val="clear" w:color="auto" w:fill="FFFFFF"/>
        </w:rPr>
        <w:t>万元、绩效工资</w:t>
      </w:r>
      <w:r>
        <w:rPr>
          <w:rFonts w:eastAsia="仿宋_GB2312"/>
          <w:color w:val="000000"/>
          <w:kern w:val="0"/>
          <w:sz w:val="32"/>
          <w:szCs w:val="32"/>
          <w:shd w:val="clear" w:color="auto" w:fill="FFFFFF"/>
        </w:rPr>
        <w:t>70.51</w:t>
      </w:r>
      <w:r>
        <w:rPr>
          <w:rFonts w:hint="eastAsia" w:eastAsia="仿宋_GB2312"/>
          <w:color w:val="000000"/>
          <w:kern w:val="0"/>
          <w:sz w:val="32"/>
          <w:szCs w:val="32"/>
          <w:shd w:val="clear" w:color="auto" w:fill="FFFFFF"/>
        </w:rPr>
        <w:t>万元、机关事业单位基本养老保险缴费</w:t>
      </w:r>
      <w:r>
        <w:rPr>
          <w:rFonts w:eastAsia="仿宋_GB2312"/>
          <w:color w:val="000000"/>
          <w:kern w:val="0"/>
          <w:sz w:val="32"/>
          <w:szCs w:val="32"/>
          <w:shd w:val="clear" w:color="auto" w:fill="FFFFFF"/>
        </w:rPr>
        <w:t>17.4</w:t>
      </w:r>
      <w:r>
        <w:rPr>
          <w:rFonts w:hint="eastAsia" w:eastAsia="仿宋_GB2312"/>
          <w:color w:val="000000"/>
          <w:kern w:val="0"/>
          <w:sz w:val="32"/>
          <w:szCs w:val="32"/>
          <w:shd w:val="clear" w:color="auto" w:fill="FFFFFF"/>
        </w:rPr>
        <w:t>万元；职工基本医疗保险缴费</w:t>
      </w:r>
      <w:r>
        <w:rPr>
          <w:rFonts w:eastAsia="仿宋_GB2312"/>
          <w:color w:val="000000"/>
          <w:kern w:val="0"/>
          <w:sz w:val="32"/>
          <w:szCs w:val="32"/>
          <w:shd w:val="clear" w:color="auto" w:fill="FFFFFF"/>
        </w:rPr>
        <w:t>9.48</w:t>
      </w:r>
      <w:r>
        <w:rPr>
          <w:rFonts w:hint="eastAsia" w:eastAsia="仿宋_GB2312"/>
          <w:color w:val="000000"/>
          <w:kern w:val="0"/>
          <w:sz w:val="32"/>
          <w:szCs w:val="32"/>
          <w:shd w:val="clear" w:color="auto" w:fill="FFFFFF"/>
        </w:rPr>
        <w:t>万元、其他社会保障缴费</w:t>
      </w:r>
      <w:r>
        <w:rPr>
          <w:rFonts w:eastAsia="仿宋_GB2312"/>
          <w:color w:val="000000"/>
          <w:kern w:val="0"/>
          <w:sz w:val="32"/>
          <w:szCs w:val="32"/>
          <w:shd w:val="clear" w:color="auto" w:fill="FFFFFF"/>
        </w:rPr>
        <w:t>1.72</w:t>
      </w:r>
      <w:r>
        <w:rPr>
          <w:rFonts w:hint="eastAsia" w:eastAsia="仿宋_GB2312"/>
          <w:color w:val="000000"/>
          <w:kern w:val="0"/>
          <w:sz w:val="32"/>
          <w:szCs w:val="32"/>
          <w:shd w:val="clear" w:color="auto" w:fill="FFFFFF"/>
        </w:rPr>
        <w:t>万元、住房公积金</w:t>
      </w:r>
      <w:r>
        <w:rPr>
          <w:rFonts w:eastAsia="仿宋_GB2312"/>
          <w:color w:val="000000"/>
          <w:kern w:val="0"/>
          <w:sz w:val="32"/>
          <w:szCs w:val="32"/>
          <w:shd w:val="clear" w:color="auto" w:fill="FFFFFF"/>
        </w:rPr>
        <w:t>14.85</w:t>
      </w:r>
      <w:r>
        <w:rPr>
          <w:rFonts w:hint="eastAsia" w:eastAsia="仿宋_GB2312"/>
          <w:color w:val="000000"/>
          <w:kern w:val="0"/>
          <w:sz w:val="32"/>
          <w:szCs w:val="32"/>
          <w:shd w:val="clear" w:color="auto" w:fill="FFFFFF"/>
        </w:rPr>
        <w:t>万元、公务员医疗补助缴费</w:t>
      </w:r>
      <w:r>
        <w:rPr>
          <w:rFonts w:eastAsia="仿宋_GB2312"/>
          <w:color w:val="000000"/>
          <w:kern w:val="0"/>
          <w:sz w:val="32"/>
          <w:szCs w:val="32"/>
          <w:shd w:val="clear" w:color="auto" w:fill="FFFFFF"/>
        </w:rPr>
        <w:t>5.87</w:t>
      </w:r>
      <w:r>
        <w:rPr>
          <w:rFonts w:hint="eastAsia" w:eastAsia="仿宋_GB2312"/>
          <w:color w:val="000000"/>
          <w:kern w:val="0"/>
          <w:sz w:val="32"/>
          <w:szCs w:val="32"/>
          <w:shd w:val="clear" w:color="auto" w:fill="FFFFFF"/>
        </w:rPr>
        <w:t>万元；公用经费预算</w:t>
      </w:r>
      <w:r>
        <w:rPr>
          <w:rFonts w:eastAsia="仿宋_GB2312"/>
          <w:color w:val="000000"/>
          <w:kern w:val="0"/>
          <w:sz w:val="32"/>
          <w:szCs w:val="32"/>
          <w:shd w:val="clear" w:color="auto" w:fill="FFFFFF"/>
        </w:rPr>
        <w:t>14.04</w:t>
      </w:r>
      <w:r>
        <w:rPr>
          <w:rFonts w:hint="eastAsia" w:eastAsia="仿宋_GB2312"/>
          <w:color w:val="000000"/>
          <w:kern w:val="0"/>
          <w:sz w:val="32"/>
          <w:szCs w:val="32"/>
          <w:shd w:val="clear" w:color="auto" w:fill="FFFFFF"/>
        </w:rPr>
        <w:t>万元，主要包括：办公费</w:t>
      </w:r>
      <w:r>
        <w:rPr>
          <w:rFonts w:eastAsia="仿宋_GB2312"/>
          <w:color w:val="000000"/>
          <w:kern w:val="0"/>
          <w:sz w:val="32"/>
          <w:szCs w:val="32"/>
          <w:shd w:val="clear" w:color="auto" w:fill="FFFFFF"/>
        </w:rPr>
        <w:t>1.71</w:t>
      </w:r>
      <w:r>
        <w:rPr>
          <w:rFonts w:hint="eastAsia" w:eastAsia="仿宋_GB2312"/>
          <w:color w:val="000000"/>
          <w:kern w:val="0"/>
          <w:sz w:val="32"/>
          <w:szCs w:val="32"/>
          <w:shd w:val="clear" w:color="auto" w:fill="FFFFFF"/>
        </w:rPr>
        <w:t>万元、邮电费</w:t>
      </w:r>
      <w:r>
        <w:rPr>
          <w:rFonts w:eastAsia="仿宋_GB2312"/>
          <w:color w:val="000000"/>
          <w:kern w:val="0"/>
          <w:sz w:val="32"/>
          <w:szCs w:val="32"/>
          <w:shd w:val="clear" w:color="auto" w:fill="FFFFFF"/>
        </w:rPr>
        <w:t>4.2</w:t>
      </w:r>
      <w:r>
        <w:rPr>
          <w:rFonts w:hint="eastAsia" w:eastAsia="仿宋_GB2312"/>
          <w:color w:val="000000"/>
          <w:kern w:val="0"/>
          <w:sz w:val="32"/>
          <w:szCs w:val="32"/>
          <w:shd w:val="clear" w:color="auto" w:fill="FFFFFF"/>
        </w:rPr>
        <w:t>万元、差旅费</w:t>
      </w:r>
      <w:r>
        <w:rPr>
          <w:rFonts w:eastAsia="仿宋_GB2312"/>
          <w:color w:val="000000"/>
          <w:kern w:val="0"/>
          <w:sz w:val="32"/>
          <w:szCs w:val="32"/>
          <w:shd w:val="clear" w:color="auto" w:fill="FFFFFF"/>
        </w:rPr>
        <w:t>3.7</w:t>
      </w:r>
      <w:r>
        <w:rPr>
          <w:rFonts w:hint="eastAsia" w:eastAsia="仿宋_GB2312"/>
          <w:color w:val="000000"/>
          <w:kern w:val="0"/>
          <w:sz w:val="32"/>
          <w:szCs w:val="32"/>
          <w:shd w:val="clear" w:color="auto" w:fill="FFFFFF"/>
        </w:rPr>
        <w:t>万元、公务接待费</w:t>
      </w:r>
      <w:r>
        <w:rPr>
          <w:rFonts w:eastAsia="仿宋_GB2312"/>
          <w:color w:val="000000"/>
          <w:kern w:val="0"/>
          <w:sz w:val="32"/>
          <w:szCs w:val="32"/>
          <w:shd w:val="clear" w:color="auto" w:fill="FFFFFF"/>
        </w:rPr>
        <w:t>0</w:t>
      </w:r>
      <w:r>
        <w:rPr>
          <w:rFonts w:hint="eastAsia" w:eastAsia="仿宋_GB2312"/>
          <w:color w:val="000000"/>
          <w:kern w:val="0"/>
          <w:sz w:val="32"/>
          <w:szCs w:val="32"/>
          <w:shd w:val="clear" w:color="auto" w:fill="FFFFFF"/>
        </w:rPr>
        <w:t>万元、劳务费</w:t>
      </w:r>
      <w:r>
        <w:rPr>
          <w:rFonts w:eastAsia="仿宋_GB2312"/>
          <w:color w:val="000000"/>
          <w:kern w:val="0"/>
          <w:sz w:val="32"/>
          <w:szCs w:val="32"/>
          <w:shd w:val="clear" w:color="auto" w:fill="FFFFFF"/>
        </w:rPr>
        <w:t>0.73</w:t>
      </w:r>
      <w:r>
        <w:rPr>
          <w:rFonts w:hint="eastAsia" w:eastAsia="仿宋_GB2312"/>
          <w:color w:val="000000"/>
          <w:kern w:val="0"/>
          <w:sz w:val="32"/>
          <w:szCs w:val="32"/>
          <w:shd w:val="clear" w:color="auto" w:fill="FFFFFF"/>
        </w:rPr>
        <w:t>万元、福利费</w:t>
      </w:r>
      <w:r>
        <w:rPr>
          <w:rFonts w:eastAsia="仿宋_GB2312"/>
          <w:color w:val="000000"/>
          <w:kern w:val="0"/>
          <w:sz w:val="32"/>
          <w:szCs w:val="32"/>
          <w:shd w:val="clear" w:color="auto" w:fill="FFFFFF"/>
        </w:rPr>
        <w:t>1.39</w:t>
      </w:r>
      <w:r>
        <w:rPr>
          <w:rFonts w:hint="eastAsia" w:eastAsia="仿宋_GB2312"/>
          <w:color w:val="000000"/>
          <w:kern w:val="0"/>
          <w:sz w:val="32"/>
          <w:szCs w:val="32"/>
          <w:shd w:val="clear" w:color="auto" w:fill="FFFFFF"/>
        </w:rPr>
        <w:t>万元、电费</w:t>
      </w:r>
      <w:r>
        <w:rPr>
          <w:rFonts w:eastAsia="仿宋_GB2312"/>
          <w:color w:val="000000"/>
          <w:kern w:val="0"/>
          <w:sz w:val="32"/>
          <w:szCs w:val="32"/>
          <w:shd w:val="clear" w:color="auto" w:fill="FFFFFF"/>
        </w:rPr>
        <w:t>0.96</w:t>
      </w:r>
      <w:r>
        <w:rPr>
          <w:rFonts w:hint="eastAsia" w:eastAsia="仿宋_GB2312"/>
          <w:color w:val="000000"/>
          <w:kern w:val="0"/>
          <w:sz w:val="32"/>
          <w:szCs w:val="32"/>
          <w:shd w:val="clear" w:color="auto" w:fill="FFFFFF"/>
        </w:rPr>
        <w:t>万元、水费</w:t>
      </w:r>
      <w:r>
        <w:rPr>
          <w:rFonts w:eastAsia="仿宋_GB2312"/>
          <w:color w:val="000000"/>
          <w:kern w:val="0"/>
          <w:sz w:val="32"/>
          <w:szCs w:val="32"/>
          <w:shd w:val="clear" w:color="auto" w:fill="FFFFFF"/>
        </w:rPr>
        <w:t>0.03</w:t>
      </w:r>
      <w:r>
        <w:rPr>
          <w:rFonts w:hint="eastAsia" w:eastAsia="仿宋_GB2312"/>
          <w:color w:val="000000"/>
          <w:kern w:val="0"/>
          <w:sz w:val="32"/>
          <w:szCs w:val="32"/>
          <w:shd w:val="clear" w:color="auto" w:fill="FFFFFF"/>
        </w:rPr>
        <w:t>万元、其他商品和服务支出</w:t>
      </w:r>
      <w:r>
        <w:rPr>
          <w:rFonts w:eastAsia="仿宋_GB2312"/>
          <w:color w:val="000000"/>
          <w:kern w:val="0"/>
          <w:sz w:val="32"/>
          <w:szCs w:val="32"/>
          <w:shd w:val="clear" w:color="auto" w:fill="FFFFFF"/>
        </w:rPr>
        <w:t>1.32</w:t>
      </w:r>
      <w:r>
        <w:rPr>
          <w:rFonts w:hint="eastAsia" w:eastAsia="仿宋_GB2312"/>
          <w:color w:val="000000"/>
          <w:kern w:val="0"/>
          <w:sz w:val="32"/>
          <w:szCs w:val="32"/>
          <w:shd w:val="clear" w:color="auto" w:fill="FFFFFF"/>
        </w:rPr>
        <w:t>万元；对个人和家庭的补助支出</w:t>
      </w:r>
      <w:r>
        <w:rPr>
          <w:rFonts w:eastAsia="仿宋_GB2312"/>
          <w:color w:val="000000"/>
          <w:kern w:val="0"/>
          <w:sz w:val="32"/>
          <w:szCs w:val="32"/>
          <w:shd w:val="clear" w:color="auto" w:fill="FFFFFF"/>
        </w:rPr>
        <w:t>0.79</w:t>
      </w:r>
      <w:r>
        <w:rPr>
          <w:rFonts w:hint="eastAsia" w:eastAsia="仿宋_GB2312"/>
          <w:color w:val="000000"/>
          <w:kern w:val="0"/>
          <w:sz w:val="32"/>
          <w:szCs w:val="32"/>
          <w:shd w:val="clear" w:color="auto" w:fill="FFFFFF"/>
        </w:rPr>
        <w:t>万元；特定项目支出</w:t>
      </w:r>
      <w:r>
        <w:rPr>
          <w:rFonts w:eastAsia="仿宋_GB2312"/>
          <w:color w:val="000000"/>
          <w:kern w:val="0"/>
          <w:sz w:val="32"/>
          <w:szCs w:val="32"/>
          <w:shd w:val="clear" w:color="auto" w:fill="FFFFFF"/>
        </w:rPr>
        <w:t>6.73</w:t>
      </w:r>
      <w:r>
        <w:rPr>
          <w:rFonts w:hint="eastAsia" w:eastAsia="仿宋_GB2312"/>
          <w:color w:val="000000"/>
          <w:kern w:val="0"/>
          <w:sz w:val="32"/>
          <w:szCs w:val="32"/>
          <w:shd w:val="clear" w:color="auto" w:fill="FFFFFF"/>
        </w:rPr>
        <w:t>万元；</w:t>
      </w:r>
      <w:r>
        <w:rPr>
          <w:rFonts w:eastAsia="仿宋_GB2312"/>
          <w:color w:val="000000"/>
          <w:kern w:val="0"/>
          <w:sz w:val="32"/>
          <w:szCs w:val="32"/>
          <w:shd w:val="clear" w:color="auto" w:fill="FFFFFF"/>
        </w:rPr>
        <w:t>2022</w:t>
      </w:r>
      <w:r>
        <w:rPr>
          <w:rFonts w:hint="eastAsia" w:eastAsia="仿宋_GB2312"/>
          <w:color w:val="000000"/>
          <w:kern w:val="0"/>
          <w:sz w:val="32"/>
          <w:szCs w:val="32"/>
          <w:shd w:val="clear" w:color="auto" w:fill="FFFFFF"/>
        </w:rPr>
        <w:t>年项目结转结余资金</w:t>
      </w:r>
      <w:r>
        <w:rPr>
          <w:rFonts w:eastAsia="仿宋_GB2312"/>
          <w:color w:val="000000"/>
          <w:kern w:val="0"/>
          <w:sz w:val="32"/>
          <w:szCs w:val="32"/>
          <w:shd w:val="clear" w:color="auto" w:fill="FFFFFF"/>
        </w:rPr>
        <w:t>160</w:t>
      </w:r>
      <w:r>
        <w:rPr>
          <w:rFonts w:hint="eastAsia" w:eastAsia="仿宋_GB2312"/>
          <w:color w:val="000000"/>
          <w:kern w:val="0"/>
          <w:sz w:val="32"/>
          <w:szCs w:val="32"/>
          <w:shd w:val="clear" w:color="auto" w:fill="FFFFFF"/>
        </w:rPr>
        <w:t>万元。特定项目经费追加</w:t>
      </w:r>
      <w:r>
        <w:rPr>
          <w:rFonts w:eastAsia="仿宋_GB2312"/>
          <w:color w:val="000000"/>
          <w:kern w:val="0"/>
          <w:sz w:val="32"/>
          <w:szCs w:val="32"/>
          <w:shd w:val="clear" w:color="auto" w:fill="FFFFFF"/>
        </w:rPr>
        <w:t>11.93</w:t>
      </w:r>
      <w:r>
        <w:rPr>
          <w:rFonts w:hint="eastAsia" w:eastAsia="仿宋_GB2312"/>
          <w:color w:val="000000"/>
          <w:kern w:val="0"/>
          <w:sz w:val="32"/>
          <w:szCs w:val="32"/>
          <w:shd w:val="clear" w:color="auto" w:fill="FFFFFF"/>
        </w:rPr>
        <w:t>万元，</w:t>
      </w:r>
      <w:r>
        <w:rPr>
          <w:rFonts w:eastAsia="仿宋_GB2312"/>
          <w:color w:val="000000"/>
          <w:kern w:val="0"/>
          <w:sz w:val="32"/>
          <w:szCs w:val="32"/>
          <w:shd w:val="clear" w:color="auto" w:fill="FFFFFF"/>
        </w:rPr>
        <w:t>2022</w:t>
      </w:r>
      <w:r>
        <w:rPr>
          <w:rFonts w:hint="eastAsia" w:eastAsia="仿宋_GB2312"/>
          <w:color w:val="000000"/>
          <w:kern w:val="0"/>
          <w:sz w:val="32"/>
          <w:szCs w:val="32"/>
          <w:shd w:val="clear" w:color="auto" w:fill="FFFFFF"/>
        </w:rPr>
        <w:t>年项目结转结余资金追减</w:t>
      </w:r>
      <w:r>
        <w:rPr>
          <w:rFonts w:eastAsia="仿宋_GB2312"/>
          <w:color w:val="000000"/>
          <w:kern w:val="0"/>
          <w:sz w:val="32"/>
          <w:szCs w:val="32"/>
          <w:shd w:val="clear" w:color="auto" w:fill="FFFFFF"/>
        </w:rPr>
        <w:t>8.47</w:t>
      </w:r>
      <w:r>
        <w:rPr>
          <w:rFonts w:hint="eastAsia" w:eastAsia="仿宋_GB2312"/>
          <w:color w:val="000000"/>
          <w:kern w:val="0"/>
          <w:sz w:val="32"/>
          <w:szCs w:val="32"/>
          <w:shd w:val="clear" w:color="auto" w:fill="FFFFFF"/>
        </w:rPr>
        <w:t>万元，人员经费因人员调出追减</w:t>
      </w:r>
      <w:r>
        <w:rPr>
          <w:rFonts w:eastAsia="仿宋_GB2312"/>
          <w:color w:val="000000"/>
          <w:kern w:val="0"/>
          <w:sz w:val="32"/>
          <w:szCs w:val="32"/>
          <w:shd w:val="clear" w:color="auto" w:fill="FFFFFF"/>
        </w:rPr>
        <w:t>5.94</w:t>
      </w:r>
      <w:r>
        <w:rPr>
          <w:rFonts w:hint="eastAsia" w:eastAsia="仿宋_GB2312"/>
          <w:color w:val="000000"/>
          <w:kern w:val="0"/>
          <w:sz w:val="32"/>
          <w:szCs w:val="32"/>
          <w:shd w:val="clear" w:color="auto" w:fill="FFFFFF"/>
        </w:rPr>
        <w:t>万元，人员经费因人员调入追加</w:t>
      </w:r>
      <w:r>
        <w:rPr>
          <w:rFonts w:eastAsia="仿宋_GB2312"/>
          <w:color w:val="000000"/>
          <w:kern w:val="0"/>
          <w:sz w:val="32"/>
          <w:szCs w:val="32"/>
          <w:shd w:val="clear" w:color="auto" w:fill="FFFFFF"/>
        </w:rPr>
        <w:t>8.76</w:t>
      </w:r>
      <w:r>
        <w:rPr>
          <w:rFonts w:hint="eastAsia" w:eastAsia="仿宋_GB2312"/>
          <w:color w:val="000000"/>
          <w:kern w:val="0"/>
          <w:sz w:val="32"/>
          <w:szCs w:val="32"/>
          <w:shd w:val="clear" w:color="auto" w:fill="FFFFFF"/>
        </w:rPr>
        <w:t>万元、其他原因追加</w:t>
      </w:r>
      <w:r>
        <w:rPr>
          <w:rFonts w:eastAsia="仿宋_GB2312"/>
          <w:color w:val="000000"/>
          <w:kern w:val="0"/>
          <w:sz w:val="32"/>
          <w:szCs w:val="32"/>
          <w:shd w:val="clear" w:color="auto" w:fill="FFFFFF"/>
        </w:rPr>
        <w:t>54.2</w:t>
      </w:r>
      <w:r>
        <w:rPr>
          <w:rFonts w:hint="eastAsia" w:eastAsia="仿宋_GB2312"/>
          <w:color w:val="000000"/>
          <w:kern w:val="0"/>
          <w:sz w:val="32"/>
          <w:szCs w:val="32"/>
          <w:shd w:val="clear" w:color="auto" w:fill="FFFFFF"/>
        </w:rPr>
        <w:t>万元，对个人和家庭的补助支出追加</w:t>
      </w:r>
      <w:r>
        <w:rPr>
          <w:rFonts w:eastAsia="仿宋_GB2312"/>
          <w:color w:val="000000"/>
          <w:kern w:val="0"/>
          <w:sz w:val="32"/>
          <w:szCs w:val="32"/>
          <w:shd w:val="clear" w:color="auto" w:fill="FFFFFF"/>
        </w:rPr>
        <w:t>0.31</w:t>
      </w:r>
      <w:r>
        <w:rPr>
          <w:rFonts w:hint="eastAsia" w:eastAsia="仿宋_GB2312"/>
          <w:color w:val="000000"/>
          <w:kern w:val="0"/>
          <w:sz w:val="32"/>
          <w:szCs w:val="32"/>
          <w:shd w:val="clear" w:color="auto" w:fill="FFFFFF"/>
        </w:rPr>
        <w:t>万元。本年财政资金收入按支出进度确定，</w:t>
      </w:r>
      <w:r>
        <w:rPr>
          <w:rFonts w:eastAsia="仿宋_GB2312"/>
          <w:color w:val="000000"/>
          <w:kern w:val="0"/>
          <w:sz w:val="32"/>
          <w:szCs w:val="32"/>
          <w:shd w:val="clear" w:color="auto" w:fill="FFFFFF"/>
        </w:rPr>
        <w:t>2023</w:t>
      </w:r>
      <w:r>
        <w:rPr>
          <w:rFonts w:hint="eastAsia" w:eastAsia="仿宋_GB2312"/>
          <w:color w:val="000000"/>
          <w:kern w:val="0"/>
          <w:sz w:val="32"/>
          <w:szCs w:val="32"/>
          <w:shd w:val="clear" w:color="auto" w:fill="FFFFFF"/>
        </w:rPr>
        <w:t>年财政安排本单位一般公共预算财政拨款收入</w:t>
      </w:r>
      <w:r>
        <w:rPr>
          <w:rFonts w:eastAsia="仿宋_GB2312"/>
          <w:color w:val="000000"/>
          <w:kern w:val="0"/>
          <w:sz w:val="32"/>
          <w:szCs w:val="32"/>
          <w:shd w:val="clear" w:color="auto" w:fill="FFFFFF"/>
        </w:rPr>
        <w:t>421.54</w:t>
      </w:r>
      <w:r>
        <w:rPr>
          <w:rFonts w:hint="eastAsia" w:eastAsia="仿宋_GB2312"/>
          <w:color w:val="000000"/>
          <w:kern w:val="0"/>
          <w:sz w:val="32"/>
          <w:szCs w:val="32"/>
          <w:shd w:val="clear" w:color="auto" w:fill="FFFFFF"/>
        </w:rPr>
        <w:t>万元。</w:t>
      </w:r>
    </w:p>
    <w:p w14:paraId="3F79E74D">
      <w:pPr>
        <w:spacing w:line="600" w:lineRule="exact"/>
        <w:ind w:firstLine="643" w:firstLineChars="200"/>
        <w:outlineLvl w:val="2"/>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（二）部门财政资金支出情况。</w:t>
      </w:r>
    </w:p>
    <w:p w14:paraId="1360A2A2">
      <w:pPr>
        <w:widowControl/>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单位年初预算360.78万元，特定项目经费追加</w:t>
      </w:r>
      <w:r>
        <w:rPr>
          <w:rFonts w:eastAsia="仿宋_GB2312"/>
          <w:color w:val="000000"/>
          <w:kern w:val="0"/>
          <w:sz w:val="32"/>
          <w:szCs w:val="32"/>
          <w:shd w:val="clear" w:color="auto" w:fill="FFFFFF"/>
          <w:lang w:val="zh-CN"/>
        </w:rPr>
        <w:t>11.92</w:t>
      </w:r>
      <w:r>
        <w:rPr>
          <w:rFonts w:hint="eastAsia" w:eastAsia="仿宋_GB2312"/>
          <w:color w:val="000000"/>
          <w:kern w:val="0"/>
          <w:sz w:val="32"/>
          <w:szCs w:val="32"/>
          <w:shd w:val="clear" w:color="auto" w:fill="FFFFFF"/>
          <w:lang w:val="zh-CN"/>
        </w:rPr>
        <w:t>万元，</w:t>
      </w:r>
      <w:r>
        <w:rPr>
          <w:rFonts w:eastAsia="仿宋_GB2312"/>
          <w:color w:val="000000"/>
          <w:kern w:val="0"/>
          <w:sz w:val="32"/>
          <w:szCs w:val="32"/>
          <w:shd w:val="clear" w:color="auto" w:fill="FFFFFF"/>
          <w:lang w:val="zh-CN"/>
        </w:rPr>
        <w:t>2022</w:t>
      </w:r>
      <w:r>
        <w:rPr>
          <w:rFonts w:hint="eastAsia" w:eastAsia="仿宋_GB2312"/>
          <w:color w:val="000000"/>
          <w:kern w:val="0"/>
          <w:sz w:val="32"/>
          <w:szCs w:val="32"/>
          <w:shd w:val="clear" w:color="auto" w:fill="FFFFFF"/>
          <w:lang w:val="zh-CN"/>
        </w:rPr>
        <w:t>年项目结转结余资金追减</w:t>
      </w:r>
      <w:r>
        <w:rPr>
          <w:rFonts w:eastAsia="仿宋_GB2312"/>
          <w:color w:val="000000"/>
          <w:kern w:val="0"/>
          <w:sz w:val="32"/>
          <w:szCs w:val="32"/>
          <w:shd w:val="clear" w:color="auto" w:fill="FFFFFF"/>
          <w:lang w:val="zh-CN"/>
        </w:rPr>
        <w:t>8.47</w:t>
      </w:r>
      <w:r>
        <w:rPr>
          <w:rFonts w:hint="eastAsia" w:eastAsia="仿宋_GB2312"/>
          <w:color w:val="000000"/>
          <w:kern w:val="0"/>
          <w:sz w:val="32"/>
          <w:szCs w:val="32"/>
          <w:shd w:val="clear" w:color="auto" w:fill="FFFFFF"/>
          <w:lang w:val="zh-CN"/>
        </w:rPr>
        <w:t>万元，人员经费因人员调出追减</w:t>
      </w:r>
      <w:r>
        <w:rPr>
          <w:rFonts w:eastAsia="仿宋_GB2312"/>
          <w:color w:val="000000"/>
          <w:kern w:val="0"/>
          <w:sz w:val="32"/>
          <w:szCs w:val="32"/>
          <w:shd w:val="clear" w:color="auto" w:fill="FFFFFF"/>
          <w:lang w:val="zh-CN"/>
        </w:rPr>
        <w:t>5.94</w:t>
      </w:r>
      <w:r>
        <w:rPr>
          <w:rFonts w:hint="eastAsia" w:eastAsia="仿宋_GB2312"/>
          <w:color w:val="000000"/>
          <w:kern w:val="0"/>
          <w:sz w:val="32"/>
          <w:szCs w:val="32"/>
          <w:shd w:val="clear" w:color="auto" w:fill="FFFFFF"/>
          <w:lang w:val="zh-CN"/>
        </w:rPr>
        <w:t>万元，人员经费因人员调入追加</w:t>
      </w:r>
      <w:r>
        <w:rPr>
          <w:rFonts w:eastAsia="仿宋_GB2312"/>
          <w:color w:val="000000"/>
          <w:kern w:val="0"/>
          <w:sz w:val="32"/>
          <w:szCs w:val="32"/>
          <w:shd w:val="clear" w:color="auto" w:fill="FFFFFF"/>
          <w:lang w:val="zh-CN"/>
        </w:rPr>
        <w:t>8.76</w:t>
      </w:r>
      <w:r>
        <w:rPr>
          <w:rFonts w:hint="eastAsia" w:eastAsia="仿宋_GB2312"/>
          <w:color w:val="000000"/>
          <w:kern w:val="0"/>
          <w:sz w:val="32"/>
          <w:szCs w:val="32"/>
          <w:shd w:val="clear" w:color="auto" w:fill="FFFFFF"/>
          <w:lang w:val="zh-CN"/>
        </w:rPr>
        <w:t>万元，其他原因追加</w:t>
      </w:r>
      <w:r>
        <w:rPr>
          <w:rFonts w:eastAsia="仿宋_GB2312"/>
          <w:color w:val="000000"/>
          <w:kern w:val="0"/>
          <w:sz w:val="32"/>
          <w:szCs w:val="32"/>
          <w:shd w:val="clear" w:color="auto" w:fill="FFFFFF"/>
          <w:lang w:val="zh-CN"/>
        </w:rPr>
        <w:t>54.20</w:t>
      </w:r>
      <w:r>
        <w:rPr>
          <w:rFonts w:hint="eastAsia" w:eastAsia="仿宋_GB2312"/>
          <w:color w:val="000000"/>
          <w:kern w:val="0"/>
          <w:sz w:val="32"/>
          <w:szCs w:val="32"/>
          <w:shd w:val="clear" w:color="auto" w:fill="FFFFFF"/>
          <w:lang w:val="zh-CN"/>
        </w:rPr>
        <w:t>万元，</w:t>
      </w:r>
      <w:r>
        <w:rPr>
          <w:rFonts w:hint="eastAsia" w:eastAsia="仿宋_GB2312"/>
          <w:color w:val="000000"/>
          <w:kern w:val="0"/>
          <w:sz w:val="32"/>
          <w:szCs w:val="32"/>
          <w:shd w:val="clear" w:color="auto" w:fill="FFFFFF"/>
        </w:rPr>
        <w:t>对个人和家庭的补助支出追加</w:t>
      </w:r>
      <w:r>
        <w:rPr>
          <w:rFonts w:eastAsia="仿宋_GB2312"/>
          <w:color w:val="000000"/>
          <w:kern w:val="0"/>
          <w:sz w:val="32"/>
          <w:szCs w:val="32"/>
          <w:shd w:val="clear" w:color="auto" w:fill="FFFFFF"/>
        </w:rPr>
        <w:t>0.30</w:t>
      </w:r>
      <w:r>
        <w:rPr>
          <w:rFonts w:hint="eastAsia" w:eastAsia="仿宋_GB2312"/>
          <w:color w:val="000000"/>
          <w:kern w:val="0"/>
          <w:sz w:val="32"/>
          <w:szCs w:val="32"/>
          <w:shd w:val="clear" w:color="auto" w:fill="FFFFFF"/>
        </w:rPr>
        <w:t>万元</w:t>
      </w:r>
      <w:r>
        <w:rPr>
          <w:rFonts w:hint="eastAsia" w:eastAsia="仿宋_GB2312"/>
          <w:color w:val="000000"/>
          <w:kern w:val="0"/>
          <w:sz w:val="32"/>
          <w:szCs w:val="32"/>
          <w:shd w:val="clear" w:color="auto" w:fill="FFFFFF"/>
          <w:lang w:val="zh-CN"/>
        </w:rPr>
        <w:t>。本年财政资金支出根据预算按进度执行，</w:t>
      </w:r>
      <w:r>
        <w:rPr>
          <w:rFonts w:eastAsia="仿宋_GB2312"/>
          <w:color w:val="000000"/>
          <w:kern w:val="0"/>
          <w:sz w:val="32"/>
          <w:szCs w:val="32"/>
          <w:shd w:val="clear" w:color="auto" w:fill="FFFFFF"/>
          <w:lang w:val="zh-CN"/>
        </w:rPr>
        <w:t>2023</w:t>
      </w:r>
      <w:r>
        <w:rPr>
          <w:rFonts w:hint="eastAsia" w:eastAsia="仿宋_GB2312"/>
          <w:color w:val="000000"/>
          <w:kern w:val="0"/>
          <w:sz w:val="32"/>
          <w:szCs w:val="32"/>
          <w:shd w:val="clear" w:color="auto" w:fill="FFFFFF"/>
          <w:lang w:val="zh-CN"/>
        </w:rPr>
        <w:t>年财政安排本单位一般公共预算财政拨款支出421.54万元，其中人员经费236.24万元，公用经费14.03万元、项目支出171.27万元。</w:t>
      </w:r>
    </w:p>
    <w:p w14:paraId="5B48CA2E">
      <w:pPr>
        <w:widowControl/>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人员经费</w:t>
      </w:r>
      <w:r>
        <w:rPr>
          <w:rFonts w:eastAsia="仿宋_GB2312"/>
          <w:color w:val="000000"/>
          <w:kern w:val="0"/>
          <w:sz w:val="32"/>
          <w:szCs w:val="32"/>
          <w:shd w:val="clear" w:color="auto" w:fill="FFFFFF"/>
          <w:lang w:val="zh-CN"/>
        </w:rPr>
        <w:t>236.24</w:t>
      </w:r>
      <w:r>
        <w:rPr>
          <w:rFonts w:hint="eastAsia" w:eastAsia="仿宋_GB2312"/>
          <w:color w:val="000000"/>
          <w:kern w:val="0"/>
          <w:sz w:val="32"/>
          <w:szCs w:val="32"/>
          <w:shd w:val="clear" w:color="auto" w:fill="FFFFFF"/>
          <w:lang w:val="zh-CN"/>
        </w:rPr>
        <w:t>万元，主要包括：基本工资</w:t>
      </w:r>
      <w:r>
        <w:rPr>
          <w:rFonts w:eastAsia="仿宋_GB2312"/>
          <w:color w:val="000000"/>
          <w:kern w:val="0"/>
          <w:sz w:val="32"/>
          <w:szCs w:val="32"/>
          <w:shd w:val="clear" w:color="auto" w:fill="FFFFFF"/>
          <w:lang w:val="zh-CN"/>
        </w:rPr>
        <w:t>48.11</w:t>
      </w:r>
      <w:r>
        <w:rPr>
          <w:rFonts w:hint="eastAsia" w:eastAsia="仿宋_GB2312"/>
          <w:color w:val="000000"/>
          <w:kern w:val="0"/>
          <w:sz w:val="32"/>
          <w:szCs w:val="32"/>
          <w:shd w:val="clear" w:color="auto" w:fill="FFFFFF"/>
          <w:lang w:val="zh-CN"/>
        </w:rPr>
        <w:t>万元、津贴补贴</w:t>
      </w:r>
      <w:r>
        <w:rPr>
          <w:rFonts w:eastAsia="仿宋_GB2312"/>
          <w:color w:val="000000"/>
          <w:kern w:val="0"/>
          <w:sz w:val="32"/>
          <w:szCs w:val="32"/>
          <w:shd w:val="clear" w:color="auto" w:fill="FFFFFF"/>
          <w:lang w:val="zh-CN"/>
        </w:rPr>
        <w:t>7.37</w:t>
      </w:r>
      <w:r>
        <w:rPr>
          <w:rFonts w:hint="eastAsia" w:eastAsia="仿宋_GB2312"/>
          <w:color w:val="000000"/>
          <w:kern w:val="0"/>
          <w:sz w:val="32"/>
          <w:szCs w:val="32"/>
          <w:shd w:val="clear" w:color="auto" w:fill="FFFFFF"/>
          <w:lang w:val="zh-CN"/>
        </w:rPr>
        <w:t>万元、绩效工资</w:t>
      </w:r>
      <w:r>
        <w:rPr>
          <w:rFonts w:eastAsia="仿宋_GB2312"/>
          <w:color w:val="000000"/>
          <w:kern w:val="0"/>
          <w:sz w:val="32"/>
          <w:szCs w:val="32"/>
          <w:shd w:val="clear" w:color="auto" w:fill="FFFFFF"/>
          <w:lang w:val="zh-CN"/>
        </w:rPr>
        <w:t>118.1</w:t>
      </w:r>
      <w:r>
        <w:rPr>
          <w:rFonts w:hint="eastAsia" w:eastAsia="仿宋_GB2312"/>
          <w:color w:val="000000"/>
          <w:kern w:val="0"/>
          <w:sz w:val="32"/>
          <w:szCs w:val="32"/>
          <w:shd w:val="clear" w:color="auto" w:fill="FFFFFF"/>
          <w:lang w:val="zh-CN"/>
        </w:rPr>
        <w:t>万元、其他工资福利支出</w:t>
      </w:r>
      <w:r>
        <w:rPr>
          <w:rFonts w:eastAsia="仿宋_GB2312"/>
          <w:color w:val="000000"/>
          <w:kern w:val="0"/>
          <w:sz w:val="32"/>
          <w:szCs w:val="32"/>
          <w:shd w:val="clear" w:color="auto" w:fill="FFFFFF"/>
          <w:lang w:val="zh-CN"/>
        </w:rPr>
        <w:t>6.16</w:t>
      </w:r>
      <w:r>
        <w:rPr>
          <w:rFonts w:hint="eastAsia" w:eastAsia="仿宋_GB2312"/>
          <w:color w:val="000000"/>
          <w:kern w:val="0"/>
          <w:sz w:val="32"/>
          <w:szCs w:val="32"/>
          <w:shd w:val="clear" w:color="auto" w:fill="FFFFFF"/>
          <w:lang w:val="zh-CN"/>
        </w:rPr>
        <w:t>万元、机关事业单位基本</w:t>
      </w:r>
      <w:r>
        <w:rPr>
          <w:rFonts w:hint="eastAsia" w:eastAsia="仿宋_GB2312"/>
          <w:color w:val="000000"/>
          <w:kern w:val="0"/>
          <w:sz w:val="32"/>
          <w:szCs w:val="32"/>
          <w:shd w:val="clear" w:color="auto" w:fill="FFFFFF"/>
        </w:rPr>
        <w:t>养老保险</w:t>
      </w:r>
      <w:r>
        <w:rPr>
          <w:rFonts w:hint="eastAsia" w:eastAsia="仿宋_GB2312"/>
          <w:color w:val="000000"/>
          <w:kern w:val="0"/>
          <w:sz w:val="32"/>
          <w:szCs w:val="32"/>
          <w:shd w:val="clear" w:color="auto" w:fill="FFFFFF"/>
          <w:lang w:val="zh-CN"/>
        </w:rPr>
        <w:t>缴费</w:t>
      </w:r>
      <w:r>
        <w:rPr>
          <w:rFonts w:eastAsia="仿宋_GB2312"/>
          <w:color w:val="000000"/>
          <w:kern w:val="0"/>
          <w:sz w:val="32"/>
          <w:szCs w:val="32"/>
          <w:shd w:val="clear" w:color="auto" w:fill="FFFFFF"/>
          <w:lang w:val="zh-CN"/>
        </w:rPr>
        <w:t>24.06</w:t>
      </w:r>
      <w:r>
        <w:rPr>
          <w:rFonts w:hint="eastAsia" w:eastAsia="仿宋_GB2312"/>
          <w:color w:val="000000"/>
          <w:kern w:val="0"/>
          <w:sz w:val="32"/>
          <w:szCs w:val="32"/>
          <w:shd w:val="clear" w:color="auto" w:fill="FFFFFF"/>
          <w:lang w:val="zh-CN"/>
        </w:rPr>
        <w:t>万元、职工基本医疗保险缴费</w:t>
      </w:r>
      <w:r>
        <w:rPr>
          <w:rFonts w:eastAsia="仿宋_GB2312"/>
          <w:color w:val="000000"/>
          <w:kern w:val="0"/>
          <w:sz w:val="32"/>
          <w:szCs w:val="32"/>
          <w:shd w:val="clear" w:color="auto" w:fill="FFFFFF"/>
          <w:lang w:val="zh-CN"/>
        </w:rPr>
        <w:t>9.43</w:t>
      </w:r>
      <w:r>
        <w:rPr>
          <w:rFonts w:hint="eastAsia" w:eastAsia="仿宋_GB2312"/>
          <w:color w:val="000000"/>
          <w:kern w:val="0"/>
          <w:sz w:val="32"/>
          <w:szCs w:val="32"/>
          <w:shd w:val="clear" w:color="auto" w:fill="FFFFFF"/>
          <w:lang w:val="zh-CN"/>
        </w:rPr>
        <w:t>万元、公务员医疗补助缴费</w:t>
      </w:r>
      <w:r>
        <w:rPr>
          <w:rFonts w:eastAsia="仿宋_GB2312"/>
          <w:color w:val="000000"/>
          <w:kern w:val="0"/>
          <w:sz w:val="32"/>
          <w:szCs w:val="32"/>
          <w:shd w:val="clear" w:color="auto" w:fill="FFFFFF"/>
          <w:lang w:val="zh-CN"/>
        </w:rPr>
        <w:t>6.99</w:t>
      </w:r>
      <w:r>
        <w:rPr>
          <w:rFonts w:hint="eastAsia" w:eastAsia="仿宋_GB2312"/>
          <w:color w:val="000000"/>
          <w:kern w:val="0"/>
          <w:sz w:val="32"/>
          <w:szCs w:val="32"/>
          <w:shd w:val="clear" w:color="auto" w:fill="FFFFFF"/>
          <w:lang w:val="zh-CN"/>
        </w:rPr>
        <w:t>万元、其他社会保障缴费</w:t>
      </w:r>
      <w:r>
        <w:rPr>
          <w:rFonts w:eastAsia="仿宋_GB2312"/>
          <w:color w:val="000000"/>
          <w:kern w:val="0"/>
          <w:sz w:val="32"/>
          <w:szCs w:val="32"/>
          <w:shd w:val="clear" w:color="auto" w:fill="FFFFFF"/>
          <w:lang w:val="zh-CN"/>
        </w:rPr>
        <w:t>1.18</w:t>
      </w:r>
      <w:r>
        <w:rPr>
          <w:rFonts w:hint="eastAsia" w:eastAsia="仿宋_GB2312"/>
          <w:color w:val="000000"/>
          <w:kern w:val="0"/>
          <w:sz w:val="32"/>
          <w:szCs w:val="32"/>
          <w:shd w:val="clear" w:color="auto" w:fill="FFFFFF"/>
          <w:lang w:val="zh-CN"/>
        </w:rPr>
        <w:t>万元、住房公积金</w:t>
      </w:r>
      <w:r>
        <w:rPr>
          <w:rFonts w:eastAsia="仿宋_GB2312"/>
          <w:color w:val="000000"/>
          <w:kern w:val="0"/>
          <w:sz w:val="32"/>
          <w:szCs w:val="32"/>
          <w:shd w:val="clear" w:color="auto" w:fill="FFFFFF"/>
          <w:lang w:val="zh-CN"/>
        </w:rPr>
        <w:t>14.83</w:t>
      </w:r>
      <w:r>
        <w:rPr>
          <w:rFonts w:hint="eastAsia" w:eastAsia="仿宋_GB2312"/>
          <w:color w:val="000000"/>
          <w:kern w:val="0"/>
          <w:sz w:val="32"/>
          <w:szCs w:val="32"/>
          <w:shd w:val="clear" w:color="auto" w:fill="FFFFFF"/>
          <w:lang w:val="zh-CN"/>
        </w:rPr>
        <w:t>万元。</w:t>
      </w:r>
    </w:p>
    <w:p w14:paraId="3496FE19">
      <w:pPr>
        <w:widowControl/>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公用经费</w:t>
      </w:r>
      <w:r>
        <w:rPr>
          <w:rFonts w:eastAsia="仿宋_GB2312"/>
          <w:color w:val="000000"/>
          <w:kern w:val="0"/>
          <w:sz w:val="32"/>
          <w:szCs w:val="32"/>
          <w:shd w:val="clear" w:color="auto" w:fill="FFFFFF"/>
          <w:lang w:val="zh-CN"/>
        </w:rPr>
        <w:t>14.03</w:t>
      </w:r>
      <w:r>
        <w:rPr>
          <w:rFonts w:hint="eastAsia" w:eastAsia="仿宋_GB2312"/>
          <w:color w:val="000000"/>
          <w:kern w:val="0"/>
          <w:sz w:val="32"/>
          <w:szCs w:val="32"/>
          <w:shd w:val="clear" w:color="auto" w:fill="FFFFFF"/>
          <w:lang w:val="zh-CN"/>
        </w:rPr>
        <w:t>万元，主要包括：办公费</w:t>
      </w:r>
      <w:r>
        <w:rPr>
          <w:rFonts w:eastAsia="仿宋_GB2312"/>
          <w:color w:val="000000"/>
          <w:kern w:val="0"/>
          <w:sz w:val="32"/>
          <w:szCs w:val="32"/>
          <w:shd w:val="clear" w:color="auto" w:fill="FFFFFF"/>
          <w:lang w:val="zh-CN"/>
        </w:rPr>
        <w:t>1.99</w:t>
      </w:r>
      <w:r>
        <w:rPr>
          <w:rFonts w:hint="eastAsia" w:eastAsia="仿宋_GB2312"/>
          <w:color w:val="000000"/>
          <w:kern w:val="0"/>
          <w:sz w:val="32"/>
          <w:szCs w:val="32"/>
          <w:shd w:val="clear" w:color="auto" w:fill="FFFFFF"/>
          <w:lang w:val="zh-CN"/>
        </w:rPr>
        <w:t>万元、水费</w:t>
      </w:r>
      <w:r>
        <w:rPr>
          <w:rFonts w:eastAsia="仿宋_GB2312"/>
          <w:color w:val="000000"/>
          <w:kern w:val="0"/>
          <w:sz w:val="32"/>
          <w:szCs w:val="32"/>
          <w:shd w:val="clear" w:color="auto" w:fill="FFFFFF"/>
          <w:lang w:val="zh-CN"/>
        </w:rPr>
        <w:t>0.04</w:t>
      </w:r>
      <w:r>
        <w:rPr>
          <w:rFonts w:hint="eastAsia" w:eastAsia="仿宋_GB2312"/>
          <w:color w:val="000000"/>
          <w:kern w:val="0"/>
          <w:sz w:val="32"/>
          <w:szCs w:val="32"/>
          <w:shd w:val="clear" w:color="auto" w:fill="FFFFFF"/>
          <w:lang w:val="zh-CN"/>
        </w:rPr>
        <w:t>万元、电费</w:t>
      </w:r>
      <w:r>
        <w:rPr>
          <w:rFonts w:eastAsia="仿宋_GB2312"/>
          <w:color w:val="000000"/>
          <w:kern w:val="0"/>
          <w:sz w:val="32"/>
          <w:szCs w:val="32"/>
          <w:shd w:val="clear" w:color="auto" w:fill="FFFFFF"/>
          <w:lang w:val="zh-CN"/>
        </w:rPr>
        <w:t>0.72</w:t>
      </w:r>
      <w:r>
        <w:rPr>
          <w:rFonts w:hint="eastAsia" w:eastAsia="仿宋_GB2312"/>
          <w:color w:val="000000"/>
          <w:kern w:val="0"/>
          <w:sz w:val="32"/>
          <w:szCs w:val="32"/>
          <w:shd w:val="clear" w:color="auto" w:fill="FFFFFF"/>
          <w:lang w:val="zh-CN"/>
        </w:rPr>
        <w:t>万元、邮电费</w:t>
      </w:r>
      <w:r>
        <w:rPr>
          <w:rFonts w:eastAsia="仿宋_GB2312"/>
          <w:color w:val="000000"/>
          <w:kern w:val="0"/>
          <w:sz w:val="32"/>
          <w:szCs w:val="32"/>
          <w:shd w:val="clear" w:color="auto" w:fill="FFFFFF"/>
          <w:lang w:val="zh-CN"/>
        </w:rPr>
        <w:t>4.08</w:t>
      </w:r>
      <w:r>
        <w:rPr>
          <w:rFonts w:hint="eastAsia" w:eastAsia="仿宋_GB2312"/>
          <w:color w:val="000000"/>
          <w:kern w:val="0"/>
          <w:sz w:val="32"/>
          <w:szCs w:val="32"/>
          <w:shd w:val="clear" w:color="auto" w:fill="FFFFFF"/>
          <w:lang w:val="zh-CN"/>
        </w:rPr>
        <w:t>万元、差旅费</w:t>
      </w:r>
      <w:r>
        <w:rPr>
          <w:rFonts w:eastAsia="仿宋_GB2312"/>
          <w:color w:val="000000"/>
          <w:kern w:val="0"/>
          <w:sz w:val="32"/>
          <w:szCs w:val="32"/>
          <w:shd w:val="clear" w:color="auto" w:fill="FFFFFF"/>
          <w:lang w:val="zh-CN"/>
        </w:rPr>
        <w:t>0.73</w:t>
      </w:r>
      <w:r>
        <w:rPr>
          <w:rFonts w:hint="eastAsia" w:eastAsia="仿宋_GB2312"/>
          <w:color w:val="000000"/>
          <w:kern w:val="0"/>
          <w:sz w:val="32"/>
          <w:szCs w:val="32"/>
          <w:shd w:val="clear" w:color="auto" w:fill="FFFFFF"/>
          <w:lang w:val="zh-CN"/>
        </w:rPr>
        <w:t>万元、培训费</w:t>
      </w:r>
      <w:r>
        <w:rPr>
          <w:rFonts w:eastAsia="仿宋_GB2312"/>
          <w:color w:val="000000"/>
          <w:kern w:val="0"/>
          <w:sz w:val="32"/>
          <w:szCs w:val="32"/>
          <w:shd w:val="clear" w:color="auto" w:fill="FFFFFF"/>
          <w:lang w:val="zh-CN"/>
        </w:rPr>
        <w:t>0.07</w:t>
      </w:r>
      <w:r>
        <w:rPr>
          <w:rFonts w:hint="eastAsia" w:eastAsia="仿宋_GB2312"/>
          <w:color w:val="000000"/>
          <w:kern w:val="0"/>
          <w:sz w:val="32"/>
          <w:szCs w:val="32"/>
          <w:shd w:val="clear" w:color="auto" w:fill="FFFFFF"/>
          <w:lang w:val="zh-CN"/>
        </w:rPr>
        <w:t>万元、福利费</w:t>
      </w:r>
      <w:r>
        <w:rPr>
          <w:rFonts w:eastAsia="仿宋_GB2312"/>
          <w:color w:val="000000"/>
          <w:kern w:val="0"/>
          <w:sz w:val="32"/>
          <w:szCs w:val="32"/>
          <w:shd w:val="clear" w:color="auto" w:fill="FFFFFF"/>
          <w:lang w:val="zh-CN"/>
        </w:rPr>
        <w:t>1.39</w:t>
      </w:r>
      <w:r>
        <w:rPr>
          <w:rFonts w:hint="eastAsia" w:eastAsia="仿宋_GB2312"/>
          <w:color w:val="000000"/>
          <w:kern w:val="0"/>
          <w:sz w:val="32"/>
          <w:szCs w:val="32"/>
          <w:shd w:val="clear" w:color="auto" w:fill="FFFFFF"/>
          <w:lang w:val="zh-CN"/>
        </w:rPr>
        <w:t>万元、劳务费</w:t>
      </w:r>
      <w:r>
        <w:rPr>
          <w:rFonts w:eastAsia="仿宋_GB2312"/>
          <w:color w:val="000000"/>
          <w:kern w:val="0"/>
          <w:sz w:val="32"/>
          <w:szCs w:val="32"/>
          <w:shd w:val="clear" w:color="auto" w:fill="FFFFFF"/>
          <w:lang w:val="zh-CN"/>
        </w:rPr>
        <w:t>3.69</w:t>
      </w:r>
      <w:r>
        <w:rPr>
          <w:rFonts w:hint="eastAsia" w:eastAsia="仿宋_GB2312"/>
          <w:color w:val="000000"/>
          <w:kern w:val="0"/>
          <w:sz w:val="32"/>
          <w:szCs w:val="32"/>
          <w:shd w:val="clear" w:color="auto" w:fill="FFFFFF"/>
          <w:lang w:val="zh-CN"/>
        </w:rPr>
        <w:t>万元、其他商品和服务支出</w:t>
      </w:r>
      <w:r>
        <w:rPr>
          <w:rFonts w:eastAsia="仿宋_GB2312"/>
          <w:color w:val="000000"/>
          <w:kern w:val="0"/>
          <w:sz w:val="32"/>
          <w:szCs w:val="32"/>
          <w:shd w:val="clear" w:color="auto" w:fill="FFFFFF"/>
          <w:lang w:val="zh-CN"/>
        </w:rPr>
        <w:t>1.31</w:t>
      </w:r>
      <w:r>
        <w:rPr>
          <w:rFonts w:hint="eastAsia" w:eastAsia="仿宋_GB2312"/>
          <w:color w:val="000000"/>
          <w:kern w:val="0"/>
          <w:sz w:val="32"/>
          <w:szCs w:val="32"/>
          <w:shd w:val="clear" w:color="auto" w:fill="FFFFFF"/>
          <w:lang w:val="zh-CN"/>
        </w:rPr>
        <w:t>万元。</w:t>
      </w:r>
    </w:p>
    <w:p w14:paraId="6F1647DE">
      <w:pPr>
        <w:widowControl/>
        <w:adjustRightInd w:val="0"/>
        <w:snapToGrid w:val="0"/>
        <w:spacing w:line="560" w:lineRule="exact"/>
        <w:ind w:firstLine="640" w:firstLineChars="200"/>
        <w:rPr>
          <w:rFonts w:ascii="仿宋_GB2312"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项目支出</w:t>
      </w:r>
      <w:r>
        <w:rPr>
          <w:rFonts w:eastAsia="仿宋_GB2312"/>
          <w:color w:val="000000"/>
          <w:kern w:val="0"/>
          <w:sz w:val="32"/>
          <w:szCs w:val="32"/>
          <w:shd w:val="clear" w:color="auto" w:fill="FFFFFF"/>
          <w:lang w:val="zh-CN"/>
        </w:rPr>
        <w:t>171.27</w:t>
      </w:r>
      <w:r>
        <w:rPr>
          <w:rFonts w:hint="eastAsia" w:eastAsia="仿宋_GB2312"/>
          <w:color w:val="000000"/>
          <w:kern w:val="0"/>
          <w:sz w:val="32"/>
          <w:szCs w:val="32"/>
          <w:shd w:val="clear" w:color="auto" w:fill="FFFFFF"/>
          <w:lang w:val="zh-CN"/>
        </w:rPr>
        <w:t>万元，主要包括：</w:t>
      </w:r>
      <w:r>
        <w:rPr>
          <w:rFonts w:hint="eastAsia" w:ascii="仿宋" w:hAnsi="仿宋" w:eastAsia="仿宋"/>
          <w:color w:val="000000"/>
          <w:sz w:val="32"/>
          <w:szCs w:val="32"/>
        </w:rPr>
        <w:t>项目支出-据米财预</w:t>
      </w:r>
      <w:r>
        <w:rPr>
          <w:rFonts w:hint="eastAsia" w:eastAsia="仿宋_GB2312"/>
          <w:color w:val="000000"/>
          <w:kern w:val="0"/>
          <w:sz w:val="32"/>
          <w:szCs w:val="32"/>
          <w:shd w:val="clear" w:color="auto" w:fill="FFFFFF"/>
          <w:lang w:val="zh-CN"/>
        </w:rPr>
        <w:t>[2023]16号，下达土地征收项目管理工作经费0.29万元，项目支出-据</w:t>
      </w:r>
      <w:bookmarkStart w:id="75" w:name="OLE_LINK24"/>
      <w:bookmarkStart w:id="76" w:name="OLE_LINK23"/>
      <w:r>
        <w:rPr>
          <w:rFonts w:hint="eastAsia" w:eastAsia="仿宋_GB2312"/>
          <w:color w:val="000000"/>
          <w:kern w:val="0"/>
          <w:sz w:val="32"/>
          <w:szCs w:val="32"/>
          <w:shd w:val="clear" w:color="auto" w:fill="FFFFFF"/>
          <w:lang w:val="zh-CN"/>
        </w:rPr>
        <w:t>米财预[2023]16号</w:t>
      </w:r>
      <w:bookmarkEnd w:id="75"/>
      <w:bookmarkEnd w:id="76"/>
      <w:r>
        <w:rPr>
          <w:rFonts w:hint="eastAsia" w:eastAsia="仿宋_GB2312"/>
          <w:color w:val="000000"/>
          <w:kern w:val="0"/>
          <w:sz w:val="32"/>
          <w:szCs w:val="32"/>
          <w:shd w:val="clear" w:color="auto" w:fill="FFFFFF"/>
          <w:lang w:val="zh-CN"/>
        </w:rPr>
        <w:t>，下达米易县集体土地征收智能管理信息系统建设专项6.44万元，项目支出-据</w:t>
      </w:r>
      <w:bookmarkStart w:id="77" w:name="OLE_LINK25"/>
      <w:r>
        <w:rPr>
          <w:rFonts w:hint="eastAsia" w:eastAsia="仿宋_GB2312"/>
          <w:color w:val="000000"/>
          <w:kern w:val="0"/>
          <w:sz w:val="32"/>
          <w:szCs w:val="32"/>
          <w:shd w:val="clear" w:color="auto" w:fill="FFFFFF"/>
          <w:lang w:val="zh-CN"/>
        </w:rPr>
        <w:t>米财资农[2022]216号</w:t>
      </w:r>
      <w:bookmarkEnd w:id="77"/>
      <w:r>
        <w:rPr>
          <w:rFonts w:hint="eastAsia" w:eastAsia="仿宋_GB2312"/>
          <w:color w:val="000000"/>
          <w:kern w:val="0"/>
          <w:sz w:val="32"/>
          <w:szCs w:val="32"/>
          <w:shd w:val="clear" w:color="auto" w:fill="FFFFFF"/>
          <w:lang w:val="zh-CN"/>
        </w:rPr>
        <w:t>，下达米易县集体土地征收智能管理信息系统建设151.52万元，项目支出-据</w:t>
      </w:r>
      <w:bookmarkStart w:id="78" w:name="OLE_LINK26"/>
      <w:bookmarkStart w:id="79" w:name="OLE_LINK27"/>
      <w:r>
        <w:rPr>
          <w:rFonts w:hint="eastAsia" w:eastAsia="仿宋_GB2312"/>
          <w:color w:val="000000"/>
          <w:kern w:val="0"/>
          <w:sz w:val="32"/>
          <w:szCs w:val="32"/>
          <w:shd w:val="clear" w:color="auto" w:fill="FFFFFF"/>
          <w:lang w:val="zh-CN"/>
        </w:rPr>
        <w:t>米财资农[2023]266号</w:t>
      </w:r>
      <w:bookmarkEnd w:id="78"/>
      <w:bookmarkEnd w:id="79"/>
      <w:r>
        <w:rPr>
          <w:rFonts w:hint="eastAsia" w:eastAsia="仿宋_GB2312"/>
          <w:color w:val="000000"/>
          <w:kern w:val="0"/>
          <w:sz w:val="32"/>
          <w:szCs w:val="32"/>
          <w:shd w:val="clear" w:color="auto" w:fill="FFFFFF"/>
          <w:lang w:val="zh-CN"/>
        </w:rPr>
        <w:t>，下达</w:t>
      </w:r>
      <w:bookmarkStart w:id="80" w:name="OLE_LINK22"/>
      <w:bookmarkStart w:id="81" w:name="OLE_LINK21"/>
      <w:r>
        <w:rPr>
          <w:rFonts w:hint="eastAsia" w:eastAsia="仿宋_GB2312"/>
          <w:color w:val="000000"/>
          <w:kern w:val="0"/>
          <w:sz w:val="32"/>
          <w:szCs w:val="32"/>
          <w:shd w:val="clear" w:color="auto" w:fill="FFFFFF"/>
          <w:lang w:val="zh-CN"/>
        </w:rPr>
        <w:t>米易县集体土地征收智能信息系统维护费</w:t>
      </w:r>
      <w:bookmarkEnd w:id="80"/>
      <w:bookmarkEnd w:id="81"/>
      <w:r>
        <w:rPr>
          <w:rFonts w:hint="eastAsia" w:eastAsia="仿宋_GB2312"/>
          <w:color w:val="000000"/>
          <w:kern w:val="0"/>
          <w:sz w:val="32"/>
          <w:szCs w:val="32"/>
          <w:shd w:val="clear" w:color="auto" w:fill="FFFFFF"/>
          <w:lang w:val="zh-CN"/>
        </w:rPr>
        <w:t>11.92万元，项目支</w:t>
      </w:r>
      <w:r>
        <w:rPr>
          <w:rFonts w:hint="eastAsia" w:ascii="仿宋_GB2312" w:eastAsia="仿宋_GB2312"/>
          <w:color w:val="000000"/>
          <w:kern w:val="0"/>
          <w:sz w:val="32"/>
          <w:szCs w:val="32"/>
          <w:shd w:val="clear" w:color="auto" w:fill="FFFFFF"/>
          <w:lang w:val="zh-CN"/>
        </w:rPr>
        <w:t>出-据米财预[2023]16号，下达援藏援彝等其他项目0.79万元，项目支出-据</w:t>
      </w:r>
      <w:bookmarkStart w:id="82" w:name="OLE_LINK28"/>
      <w:r>
        <w:rPr>
          <w:rFonts w:hint="eastAsia" w:ascii="仿宋_GB2312" w:eastAsia="仿宋_GB2312"/>
          <w:color w:val="000000"/>
          <w:kern w:val="0"/>
          <w:sz w:val="32"/>
          <w:szCs w:val="32"/>
          <w:shd w:val="clear" w:color="auto" w:fill="FFFFFF"/>
          <w:lang w:val="zh-CN"/>
        </w:rPr>
        <w:t>米财资农[2023]218号</w:t>
      </w:r>
      <w:bookmarkEnd w:id="82"/>
      <w:r>
        <w:rPr>
          <w:rFonts w:hint="eastAsia" w:ascii="仿宋_GB2312" w:eastAsia="仿宋_GB2312"/>
          <w:color w:val="000000"/>
          <w:kern w:val="0"/>
          <w:sz w:val="32"/>
          <w:szCs w:val="32"/>
          <w:shd w:val="clear" w:color="auto" w:fill="FFFFFF"/>
          <w:lang w:val="zh-CN"/>
        </w:rPr>
        <w:t>，下达援藏援彝等其他项目0.31万元。</w:t>
      </w:r>
    </w:p>
    <w:p w14:paraId="5A39BF76">
      <w:pPr>
        <w:widowControl/>
        <w:adjustRightInd w:val="0"/>
        <w:snapToGrid w:val="0"/>
        <w:spacing w:line="578" w:lineRule="exact"/>
        <w:ind w:firstLine="643" w:firstLineChars="200"/>
        <w:contextualSpacing/>
        <w:jc w:val="left"/>
        <w:rPr>
          <w:rFonts w:ascii="仿宋_GB2312" w:eastAsia="仿宋_GB2312"/>
          <w:color w:val="000000"/>
          <w:kern w:val="0"/>
          <w:szCs w:val="32"/>
          <w:shd w:val="clear" w:color="auto" w:fill="FFFFFF"/>
          <w:lang w:val="zh-CN"/>
        </w:rPr>
      </w:pPr>
      <w:r>
        <w:rPr>
          <w:rFonts w:hint="eastAsia" w:ascii="仿宋_GB2312" w:eastAsia="仿宋_GB2312"/>
          <w:b/>
          <w:bCs/>
          <w:color w:val="000000"/>
          <w:kern w:val="0"/>
          <w:sz w:val="32"/>
          <w:szCs w:val="32"/>
          <w:shd w:val="clear" w:color="auto" w:fill="FFFFFF"/>
          <w:lang w:val="zh-CN"/>
        </w:rPr>
        <w:t>（三）结余分配和结转结余情况</w:t>
      </w:r>
      <w:r>
        <w:rPr>
          <w:rFonts w:hint="eastAsia" w:ascii="仿宋_GB2312" w:eastAsia="仿宋_GB2312"/>
          <w:bCs/>
          <w:color w:val="000000"/>
          <w:kern w:val="0"/>
          <w:sz w:val="32"/>
          <w:szCs w:val="32"/>
          <w:shd w:val="clear" w:color="auto" w:fill="FFFFFF"/>
          <w:lang w:val="zh-CN"/>
        </w:rPr>
        <w:t>。米易县集体土地征收补偿安置中心</w:t>
      </w:r>
      <w:r>
        <w:rPr>
          <w:rFonts w:hint="eastAsia" w:ascii="仿宋_GB2312" w:eastAsia="仿宋_GB2312"/>
          <w:sz w:val="32"/>
          <w:szCs w:val="32"/>
        </w:rPr>
        <w:t>2023年无结转结余资金。</w:t>
      </w:r>
    </w:p>
    <w:p w14:paraId="161850CA">
      <w:pPr>
        <w:widowControl/>
        <w:adjustRightInd w:val="0"/>
        <w:snapToGrid w:val="0"/>
        <w:spacing w:line="580" w:lineRule="exact"/>
        <w:ind w:firstLine="640" w:firstLineChars="200"/>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三、部门预算绩效管理情况</w:t>
      </w:r>
    </w:p>
    <w:p w14:paraId="547E773D">
      <w:pPr>
        <w:spacing w:line="600" w:lineRule="exact"/>
        <w:ind w:firstLine="643" w:firstLineChars="200"/>
        <w:outlineLvl w:val="2"/>
        <w:rPr>
          <w:rFonts w:ascii="仿宋_GB2312" w:hAnsi="楷体_GB2312" w:eastAsia="仿宋_GB2312" w:cs="楷体_GB2312"/>
          <w:b/>
          <w:sz w:val="32"/>
          <w:szCs w:val="32"/>
          <w:lang w:val="zh-CN"/>
        </w:rPr>
      </w:pPr>
      <w:r>
        <w:rPr>
          <w:rFonts w:hint="eastAsia" w:ascii="仿宋_GB2312" w:hAnsi="楷体_GB2312" w:eastAsia="仿宋_GB2312" w:cs="楷体_GB2312"/>
          <w:b/>
          <w:sz w:val="32"/>
          <w:szCs w:val="32"/>
          <w:lang w:val="zh-CN"/>
        </w:rPr>
        <w:t>（一）</w:t>
      </w:r>
      <w:r>
        <w:rPr>
          <w:rFonts w:hint="eastAsia" w:ascii="仿宋_GB2312" w:eastAsia="仿宋_GB2312"/>
          <w:b/>
          <w:bCs/>
          <w:color w:val="000000"/>
          <w:kern w:val="0"/>
          <w:sz w:val="32"/>
          <w:szCs w:val="32"/>
          <w:shd w:val="clear" w:color="auto" w:fill="FFFFFF"/>
          <w:lang w:val="zh-CN"/>
        </w:rPr>
        <w:t>部门预算总体绩效分析</w:t>
      </w:r>
      <w:r>
        <w:rPr>
          <w:rFonts w:hint="eastAsia" w:ascii="仿宋_GB2312" w:hAnsi="楷体_GB2312" w:eastAsia="仿宋_GB2312" w:cs="楷体_GB2312"/>
          <w:b/>
          <w:sz w:val="32"/>
          <w:szCs w:val="32"/>
          <w:lang w:val="zh-CN"/>
        </w:rPr>
        <w:t>。</w:t>
      </w:r>
    </w:p>
    <w:p w14:paraId="2F63D708">
      <w:pPr>
        <w:widowControl/>
        <w:ind w:firstLine="640" w:firstLineChars="200"/>
        <w:jc w:val="left"/>
        <w:rPr>
          <w:rFonts w:ascii="仿宋_GB2312" w:eastAsia="仿宋_GB2312"/>
          <w:sz w:val="32"/>
          <w:szCs w:val="32"/>
          <w:lang w:val="zh-CN"/>
        </w:rPr>
      </w:pPr>
      <w:bookmarkStart w:id="83" w:name="OLE_LINK45"/>
      <w:bookmarkStart w:id="84" w:name="OLE_LINK44"/>
      <w:r>
        <w:rPr>
          <w:rFonts w:hint="eastAsia" w:ascii="仿宋_GB2312" w:eastAsia="仿宋_GB2312"/>
          <w:sz w:val="32"/>
          <w:szCs w:val="32"/>
          <w:lang w:val="zh-CN"/>
        </w:rPr>
        <w:t>2023年，县集体土地</w:t>
      </w:r>
      <w:bookmarkEnd w:id="83"/>
      <w:bookmarkEnd w:id="84"/>
      <w:r>
        <w:rPr>
          <w:rFonts w:hint="eastAsia" w:ascii="仿宋_GB2312" w:eastAsia="仿宋_GB2312"/>
          <w:sz w:val="32"/>
          <w:szCs w:val="32"/>
          <w:lang w:val="zh-CN"/>
        </w:rPr>
        <w:t>征收安置补偿中心在县委、县政府的坚强领导下，在各部门、各乡镇的大力配合下，全面贯彻党的二十大精神，认真落实党的二十届二中全会、省委十二届三次全会、市委十一届六次全会、县委十五届四次全会暨县委经济工作会议部署和中央、省委、市委经济工作会议精神，统筹协调、强化举措、真抓实干，有序、有力、有效地开展征拆安补工作，为重点项目顺利推进和全年目标任务的完成打下了坚实基础。</w:t>
      </w:r>
    </w:p>
    <w:p w14:paraId="7BE1C8A2">
      <w:pPr>
        <w:widowControl/>
        <w:ind w:firstLine="640" w:firstLineChars="200"/>
        <w:jc w:val="left"/>
        <w:rPr>
          <w:rFonts w:ascii="仿宋_GB2312" w:eastAsia="仿宋_GB2312"/>
          <w:kern w:val="0"/>
          <w:sz w:val="32"/>
          <w:szCs w:val="32"/>
        </w:rPr>
      </w:pPr>
      <w:r>
        <w:rPr>
          <w:rFonts w:hint="eastAsia" w:ascii="仿宋_GB2312" w:hAnsi="楷体_GB2312" w:eastAsia="仿宋_GB2312" w:cs="楷体_GB2312"/>
          <w:kern w:val="0"/>
          <w:sz w:val="32"/>
          <w:szCs w:val="32"/>
          <w:shd w:val="clear" w:color="auto" w:fill="FFFFFF"/>
        </w:rPr>
        <w:t>1.</w:t>
      </w:r>
      <w:r>
        <w:rPr>
          <w:rFonts w:hint="eastAsia" w:ascii="仿宋_GB2312" w:hAnsi="楷体_GB2312" w:eastAsia="仿宋_GB2312" w:cs="楷体_GB2312"/>
          <w:kern w:val="0"/>
          <w:sz w:val="32"/>
          <w:szCs w:val="32"/>
          <w:shd w:val="clear" w:color="auto" w:fill="FFFFFF"/>
          <w:lang w:val="zh-CN"/>
        </w:rPr>
        <w:t>履职效能。</w:t>
      </w:r>
      <w:r>
        <w:rPr>
          <w:rFonts w:hint="eastAsia" w:ascii="仿宋_GB2312" w:eastAsia="仿宋_GB2312"/>
          <w:sz w:val="32"/>
          <w:szCs w:val="32"/>
          <w:lang w:val="zh-CN"/>
        </w:rPr>
        <w:t>一是</w:t>
      </w:r>
      <w:r>
        <w:rPr>
          <w:rFonts w:hint="eastAsia" w:ascii="仿宋_GB2312" w:hAnsi="宋体" w:eastAsia="仿宋_GB2312"/>
          <w:kern w:val="0"/>
          <w:sz w:val="32"/>
          <w:szCs w:val="32"/>
        </w:rPr>
        <w:t>加强规范，依法实施征收，</w:t>
      </w:r>
      <w:r>
        <w:rPr>
          <w:rFonts w:hint="eastAsia" w:ascii="仿宋_GB2312" w:hAnsi="宋体" w:eastAsia="仿宋_GB2312" w:cs="宋体"/>
          <w:kern w:val="0"/>
          <w:sz w:val="32"/>
          <w:szCs w:val="32"/>
        </w:rPr>
        <w:t>指导征地拆迁工作实施，确保新旧政策成功交替，平稳有序地推进全县征地拆迁工作；二是</w:t>
      </w:r>
      <w:r>
        <w:rPr>
          <w:rFonts w:hint="eastAsia" w:ascii="仿宋_GB2312" w:hAnsi="宋体" w:eastAsia="仿宋_GB2312"/>
          <w:kern w:val="0"/>
          <w:sz w:val="32"/>
          <w:szCs w:val="32"/>
        </w:rPr>
        <w:t>做好白马铁矿三期占地补偿工作，</w:t>
      </w:r>
      <w:r>
        <w:rPr>
          <w:rFonts w:hint="eastAsia" w:ascii="仿宋_GB2312" w:hAnsi="宋体" w:eastAsia="仿宋_GB2312" w:cs="宋体"/>
          <w:kern w:val="0"/>
          <w:sz w:val="32"/>
          <w:szCs w:val="32"/>
        </w:rPr>
        <w:t>指导征地拆迁工作实施，确保新旧政策成功交替，平稳有序地推进全县征地拆迁工作；三是</w:t>
      </w:r>
      <w:r>
        <w:rPr>
          <w:rFonts w:hint="eastAsia" w:ascii="仿宋_GB2312" w:hAnsi="宋体" w:eastAsia="仿宋_GB2312"/>
          <w:kern w:val="0"/>
          <w:sz w:val="32"/>
          <w:szCs w:val="32"/>
        </w:rPr>
        <w:t>开展了征收补偿安置工作信息化建设，推进征地拆迁补偿安置工作系统规范化、信息化，健全集体土地征收智能管理信息系统数据库，做到后期管理安全、快捷；四是保障单位日常工作运转，保障单位人员经费，保障单位日常运转。</w:t>
      </w:r>
    </w:p>
    <w:p w14:paraId="3022B63A">
      <w:pPr>
        <w:adjustRightInd w:val="0"/>
        <w:snapToGrid w:val="0"/>
        <w:spacing w:line="578" w:lineRule="exact"/>
        <w:ind w:firstLine="640" w:firstLineChars="200"/>
        <w:jc w:val="left"/>
        <w:rPr>
          <w:rFonts w:ascii="仿宋_GB2312" w:eastAsia="仿宋_GB2312"/>
          <w:kern w:val="0"/>
          <w:sz w:val="32"/>
          <w:szCs w:val="32"/>
          <w:shd w:val="clear" w:color="auto" w:fill="FFFFFF"/>
          <w:lang w:val="zh-CN"/>
        </w:rPr>
      </w:pPr>
      <w:r>
        <w:rPr>
          <w:rFonts w:hint="eastAsia" w:ascii="仿宋_GB2312" w:hAnsi="楷体_GB2312" w:eastAsia="仿宋_GB2312" w:cs="楷体_GB2312"/>
          <w:kern w:val="0"/>
          <w:sz w:val="32"/>
          <w:szCs w:val="32"/>
          <w:shd w:val="clear" w:color="auto" w:fill="FFFFFF"/>
        </w:rPr>
        <w:t>2.</w:t>
      </w:r>
      <w:r>
        <w:rPr>
          <w:rFonts w:hint="eastAsia" w:ascii="仿宋_GB2312" w:hAnsi="楷体_GB2312" w:eastAsia="仿宋_GB2312" w:cs="楷体_GB2312"/>
          <w:kern w:val="0"/>
          <w:sz w:val="32"/>
          <w:szCs w:val="32"/>
          <w:shd w:val="clear" w:color="auto" w:fill="FFFFFF"/>
          <w:lang w:val="zh-CN"/>
        </w:rPr>
        <w:t>预算管理。</w:t>
      </w:r>
      <w:bookmarkStart w:id="85" w:name="OLE_LINK52"/>
      <w:r>
        <w:rPr>
          <w:rFonts w:hint="eastAsia" w:ascii="仿宋_GB2312" w:eastAsia="仿宋_GB2312"/>
          <w:kern w:val="0"/>
          <w:sz w:val="32"/>
          <w:szCs w:val="32"/>
          <w:shd w:val="clear" w:color="auto" w:fill="FFFFFF"/>
          <w:lang w:val="zh-CN"/>
        </w:rPr>
        <w:t>我单位年初正式在编人员12人，根据财政局预算安排，</w:t>
      </w:r>
      <w:r>
        <w:rPr>
          <w:rFonts w:hint="eastAsia" w:ascii="仿宋_GB2312" w:eastAsia="仿宋_GB2312"/>
          <w:kern w:val="0"/>
          <w:sz w:val="32"/>
          <w:szCs w:val="32"/>
          <w:shd w:val="clear" w:color="auto" w:fill="FFFFFF"/>
        </w:rPr>
        <w:t>按</w:t>
      </w:r>
      <w:r>
        <w:rPr>
          <w:rFonts w:hint="eastAsia" w:ascii="仿宋_GB2312" w:eastAsia="仿宋_GB2312"/>
          <w:kern w:val="0"/>
          <w:sz w:val="32"/>
          <w:szCs w:val="32"/>
          <w:shd w:val="clear" w:color="auto" w:fill="FFFFFF"/>
          <w:lang w:val="zh-CN"/>
        </w:rPr>
        <w:t>12个正式在编人数预算本单位的日常公用经费和人员经费，确保单位日常工作的正常运行</w:t>
      </w:r>
      <w:bookmarkEnd w:id="85"/>
      <w:r>
        <w:rPr>
          <w:rFonts w:hint="eastAsia" w:ascii="仿宋_GB2312" w:eastAsia="仿宋_GB2312"/>
          <w:kern w:val="0"/>
          <w:sz w:val="32"/>
          <w:szCs w:val="32"/>
          <w:shd w:val="clear" w:color="auto" w:fill="FFFFFF"/>
          <w:lang w:val="zh-CN"/>
        </w:rPr>
        <w:t>，人员经费以人社局、组织部审核的后期调入人员和档案工资编制准确的职工工资和职工社会保险缴费，按月根据社会保险事业管理局的社会保险征集计划单转缴社会保险费，按月准时转发预算的职工工资。在工作中严格控制支出，节约开支，预算完成情况良好，及时做好预算调剂，</w:t>
      </w:r>
      <w:r>
        <w:rPr>
          <w:rFonts w:hint="eastAsia" w:ascii="仿宋_GB2312" w:eastAsia="仿宋_GB2312"/>
          <w:sz w:val="32"/>
          <w:szCs w:val="32"/>
          <w:lang w:val="zh-CN"/>
        </w:rPr>
        <w:t>预算年终无结余</w:t>
      </w:r>
      <w:r>
        <w:rPr>
          <w:rFonts w:hint="eastAsia" w:ascii="仿宋_GB2312" w:eastAsia="仿宋_GB2312"/>
          <w:kern w:val="0"/>
          <w:sz w:val="32"/>
          <w:szCs w:val="32"/>
          <w:shd w:val="clear" w:color="auto" w:fill="FFFFFF"/>
          <w:lang w:val="zh-CN"/>
        </w:rPr>
        <w:t>。</w:t>
      </w:r>
    </w:p>
    <w:p w14:paraId="5544F819">
      <w:pPr>
        <w:adjustRightInd w:val="0"/>
        <w:snapToGrid w:val="0"/>
        <w:spacing w:line="578" w:lineRule="exact"/>
        <w:ind w:firstLine="640" w:firstLineChars="200"/>
        <w:jc w:val="left"/>
        <w:rPr>
          <w:rFonts w:ascii="仿宋_GB2312" w:hAnsi="楷体_GB2312" w:eastAsia="仿宋_GB2312" w:cs="楷体_GB2312"/>
          <w:kern w:val="0"/>
          <w:sz w:val="32"/>
          <w:szCs w:val="32"/>
          <w:shd w:val="clear" w:color="auto" w:fill="FFFFFF"/>
          <w:lang w:val="zh-CN"/>
        </w:rPr>
      </w:pPr>
      <w:r>
        <w:rPr>
          <w:rFonts w:hint="eastAsia" w:ascii="仿宋_GB2312" w:hAnsi="楷体_GB2312" w:eastAsia="仿宋_GB2312" w:cs="楷体_GB2312"/>
          <w:kern w:val="0"/>
          <w:sz w:val="32"/>
          <w:szCs w:val="32"/>
          <w:shd w:val="clear" w:color="auto" w:fill="FFFFFF"/>
        </w:rPr>
        <w:t>3.</w:t>
      </w:r>
      <w:r>
        <w:rPr>
          <w:rFonts w:hint="eastAsia" w:ascii="仿宋_GB2312" w:hAnsi="楷体_GB2312" w:eastAsia="仿宋_GB2312" w:cs="楷体_GB2312"/>
          <w:kern w:val="0"/>
          <w:sz w:val="32"/>
          <w:szCs w:val="32"/>
          <w:shd w:val="clear" w:color="auto" w:fill="FFFFFF"/>
          <w:lang w:val="zh-CN"/>
        </w:rPr>
        <w:t>财务管理。根据预算管理一体化内控制度内部财务管理制度、会计核算制度等管理制度严格财务管理，相关管理制度是否合法、合规、完整并得到有效执行，确保了资金使用规范，无违规记录。</w:t>
      </w:r>
    </w:p>
    <w:p w14:paraId="3FF7F6A0">
      <w:pPr>
        <w:adjustRightInd w:val="0"/>
        <w:snapToGrid w:val="0"/>
        <w:spacing w:line="578" w:lineRule="exact"/>
        <w:ind w:firstLine="640" w:firstLineChars="200"/>
        <w:jc w:val="left"/>
        <w:rPr>
          <w:rFonts w:ascii="仿宋_GB2312" w:hAnsi="楷体_GB2312" w:eastAsia="仿宋_GB2312" w:cs="楷体_GB2312"/>
          <w:kern w:val="0"/>
          <w:sz w:val="32"/>
          <w:szCs w:val="32"/>
          <w:shd w:val="clear" w:color="auto" w:fill="FFFFFF"/>
          <w:lang w:val="zh-CN"/>
        </w:rPr>
      </w:pPr>
      <w:r>
        <w:rPr>
          <w:rFonts w:hint="eastAsia" w:ascii="仿宋_GB2312" w:hAnsi="楷体_GB2312" w:eastAsia="仿宋_GB2312" w:cs="楷体_GB2312"/>
          <w:kern w:val="0"/>
          <w:sz w:val="32"/>
          <w:szCs w:val="32"/>
          <w:shd w:val="clear" w:color="auto" w:fill="FFFFFF"/>
        </w:rPr>
        <w:t>4.</w:t>
      </w:r>
      <w:r>
        <w:rPr>
          <w:rFonts w:hint="eastAsia" w:ascii="仿宋_GB2312" w:hAnsi="楷体_GB2312" w:eastAsia="仿宋_GB2312" w:cs="楷体_GB2312"/>
          <w:kern w:val="0"/>
          <w:sz w:val="32"/>
          <w:szCs w:val="32"/>
          <w:shd w:val="clear" w:color="auto" w:fill="FFFFFF"/>
          <w:lang w:val="zh-CN"/>
        </w:rPr>
        <w:t>资产管理。建立了资产管理制度，定期进行了资产盘点和清理，资产利用率高，无闲置资产，总体执行较好。</w:t>
      </w:r>
    </w:p>
    <w:p w14:paraId="6E7F68B5">
      <w:pPr>
        <w:adjustRightInd w:val="0"/>
        <w:snapToGrid w:val="0"/>
        <w:spacing w:line="578" w:lineRule="exact"/>
        <w:ind w:firstLine="640" w:firstLineChars="200"/>
        <w:jc w:val="left"/>
        <w:rPr>
          <w:rFonts w:ascii="仿宋_GB2312" w:hAnsi="楷体_GB2312" w:eastAsia="仿宋_GB2312" w:cs="楷体_GB2312"/>
          <w:kern w:val="0"/>
          <w:sz w:val="32"/>
          <w:szCs w:val="32"/>
          <w:shd w:val="clear" w:color="auto" w:fill="FFFFFF"/>
          <w:lang w:val="zh-CN"/>
        </w:rPr>
      </w:pPr>
      <w:r>
        <w:rPr>
          <w:rFonts w:hint="eastAsia" w:ascii="仿宋_GB2312" w:hAnsi="楷体_GB2312" w:eastAsia="仿宋_GB2312" w:cs="楷体_GB2312"/>
          <w:kern w:val="0"/>
          <w:sz w:val="32"/>
          <w:szCs w:val="32"/>
          <w:shd w:val="clear" w:color="auto" w:fill="FFFFFF"/>
        </w:rPr>
        <w:t>5.</w:t>
      </w:r>
      <w:r>
        <w:rPr>
          <w:rFonts w:hint="eastAsia" w:ascii="仿宋_GB2312" w:hAnsi="楷体_GB2312" w:eastAsia="仿宋_GB2312" w:cs="楷体_GB2312"/>
          <w:kern w:val="0"/>
          <w:sz w:val="32"/>
          <w:szCs w:val="32"/>
          <w:shd w:val="clear" w:color="auto" w:fill="FFFFFF"/>
          <w:lang w:val="zh-CN"/>
        </w:rPr>
        <w:t>采购管理。</w:t>
      </w:r>
      <w:r>
        <w:rPr>
          <w:rFonts w:hint="eastAsia" w:ascii="仿宋_GB2312" w:eastAsia="仿宋_GB2312"/>
          <w:sz w:val="32"/>
          <w:szCs w:val="32"/>
          <w:lang w:val="zh-CN"/>
        </w:rPr>
        <w:t>“米易县集体土地征收智能信息系统建设”采购金额159.5万元，完成支付151.53万元，执行率95%。</w:t>
      </w:r>
    </w:p>
    <w:p w14:paraId="06E15BE4">
      <w:pPr>
        <w:widowControl/>
        <w:adjustRightInd w:val="0"/>
        <w:snapToGrid w:val="0"/>
        <w:spacing w:line="578" w:lineRule="exact"/>
        <w:ind w:firstLine="643" w:firstLineChars="200"/>
        <w:contextualSpacing/>
        <w:jc w:val="left"/>
        <w:rPr>
          <w:rFonts w:eastAsia="仿宋_GB2312"/>
          <w:sz w:val="32"/>
          <w:szCs w:val="32"/>
          <w:highlight w:val="yellow"/>
        </w:rPr>
      </w:pPr>
      <w:r>
        <w:rPr>
          <w:rFonts w:eastAsia="楷体_GB2312"/>
          <w:b/>
          <w:bCs/>
          <w:color w:val="000000"/>
          <w:kern w:val="0"/>
          <w:sz w:val="32"/>
          <w:szCs w:val="32"/>
          <w:shd w:val="clear" w:color="auto" w:fill="FFFFFF"/>
          <w:lang w:val="zh-CN"/>
        </w:rPr>
        <w:t>（二）部门预算项目绩效分析。</w:t>
      </w:r>
    </w:p>
    <w:p w14:paraId="34A090C9">
      <w:pPr>
        <w:widowControl/>
        <w:adjustRightInd w:val="0"/>
        <w:snapToGrid w:val="0"/>
        <w:spacing w:line="578" w:lineRule="exact"/>
        <w:ind w:firstLine="640" w:firstLineChars="200"/>
        <w:contextualSpacing/>
        <w:jc w:val="left"/>
        <w:rPr>
          <w:rFonts w:eastAsia="仿宋_GB2312"/>
          <w:sz w:val="32"/>
          <w:szCs w:val="32"/>
          <w:lang w:val="zh-CN"/>
        </w:rPr>
      </w:pPr>
      <w:r>
        <w:rPr>
          <w:rFonts w:eastAsia="仿宋_GB2312"/>
          <w:sz w:val="32"/>
          <w:szCs w:val="32"/>
        </w:rPr>
        <w:t>常年项目绩效分析。</w:t>
      </w:r>
      <w:r>
        <w:rPr>
          <w:rFonts w:eastAsia="仿宋_GB2312"/>
          <w:sz w:val="32"/>
          <w:szCs w:val="32"/>
          <w:lang w:val="zh-CN"/>
        </w:rPr>
        <w:t>该类项目总数</w:t>
      </w:r>
      <w:r>
        <w:rPr>
          <w:rFonts w:eastAsia="仿宋_GB2312"/>
          <w:sz w:val="32"/>
          <w:szCs w:val="32"/>
        </w:rPr>
        <w:t>19</w:t>
      </w:r>
      <w:r>
        <w:rPr>
          <w:rFonts w:eastAsia="仿宋_GB2312"/>
          <w:sz w:val="32"/>
          <w:szCs w:val="32"/>
          <w:lang w:val="zh-CN"/>
        </w:rPr>
        <w:t>个，涉及预算总金额</w:t>
      </w:r>
      <w:r>
        <w:rPr>
          <w:rFonts w:eastAsia="仿宋_GB2312"/>
          <w:sz w:val="32"/>
          <w:szCs w:val="32"/>
        </w:rPr>
        <w:t>270.01</w:t>
      </w:r>
      <w:r>
        <w:rPr>
          <w:rFonts w:eastAsia="仿宋_GB2312"/>
          <w:sz w:val="32"/>
          <w:szCs w:val="32"/>
          <w:lang w:val="zh-CN"/>
        </w:rPr>
        <w:t>万元，1</w:t>
      </w:r>
      <w:r>
        <w:rPr>
          <w:rFonts w:hint="eastAsia" w:eastAsia="仿宋_GB2312"/>
          <w:sz w:val="32"/>
          <w:szCs w:val="32"/>
          <w:lang w:val="zh-CN"/>
        </w:rPr>
        <w:t>—</w:t>
      </w:r>
      <w:r>
        <w:rPr>
          <w:rFonts w:eastAsia="仿宋_GB2312"/>
          <w:sz w:val="32"/>
          <w:szCs w:val="32"/>
          <w:lang w:val="zh-CN"/>
        </w:rPr>
        <w:t>1</w:t>
      </w:r>
      <w:r>
        <w:rPr>
          <w:rFonts w:eastAsia="仿宋_GB2312"/>
          <w:sz w:val="32"/>
          <w:szCs w:val="32"/>
        </w:rPr>
        <w:t>2</w:t>
      </w:r>
      <w:r>
        <w:rPr>
          <w:rFonts w:eastAsia="仿宋_GB2312"/>
          <w:sz w:val="32"/>
          <w:szCs w:val="32"/>
          <w:lang w:val="zh-CN"/>
        </w:rPr>
        <w:t>月预算执行总体进度为</w:t>
      </w:r>
      <w:r>
        <w:rPr>
          <w:rFonts w:eastAsia="仿宋_GB2312"/>
          <w:sz w:val="32"/>
          <w:szCs w:val="32"/>
        </w:rPr>
        <w:t>100</w:t>
      </w:r>
      <w:r>
        <w:rPr>
          <w:rFonts w:eastAsia="仿宋_GB2312"/>
          <w:sz w:val="32"/>
          <w:szCs w:val="32"/>
          <w:lang w:val="zh-CN"/>
        </w:rPr>
        <w:t>%，其中：预算结余率大于</w:t>
      </w:r>
      <w:r>
        <w:rPr>
          <w:rFonts w:eastAsia="仿宋_GB2312"/>
          <w:sz w:val="32"/>
          <w:szCs w:val="32"/>
        </w:rPr>
        <w:t>10%</w:t>
      </w:r>
      <w:r>
        <w:rPr>
          <w:rFonts w:eastAsia="仿宋_GB2312"/>
          <w:sz w:val="32"/>
          <w:szCs w:val="32"/>
          <w:lang w:val="zh-CN"/>
        </w:rPr>
        <w:t>的项目共计</w:t>
      </w:r>
      <w:r>
        <w:rPr>
          <w:rFonts w:eastAsia="仿宋_GB2312"/>
          <w:sz w:val="32"/>
          <w:szCs w:val="32"/>
        </w:rPr>
        <w:t>0</w:t>
      </w:r>
      <w:r>
        <w:rPr>
          <w:rFonts w:eastAsia="仿宋_GB2312"/>
          <w:sz w:val="32"/>
          <w:szCs w:val="32"/>
          <w:lang w:val="zh-CN"/>
        </w:rPr>
        <w:t>个。</w:t>
      </w:r>
    </w:p>
    <w:p w14:paraId="08E6F312">
      <w:pPr>
        <w:widowControl/>
        <w:adjustRightInd w:val="0"/>
        <w:snapToGrid w:val="0"/>
        <w:spacing w:line="578" w:lineRule="exact"/>
        <w:ind w:firstLine="640" w:firstLineChars="200"/>
        <w:contextualSpacing/>
        <w:jc w:val="left"/>
        <w:rPr>
          <w:rFonts w:eastAsia="仿宋_GB2312"/>
          <w:sz w:val="32"/>
          <w:szCs w:val="32"/>
          <w:lang w:val="zh-CN"/>
        </w:rPr>
      </w:pPr>
      <w:r>
        <w:rPr>
          <w:rFonts w:eastAsia="仿宋_GB2312"/>
          <w:sz w:val="32"/>
          <w:szCs w:val="32"/>
        </w:rPr>
        <w:t>阶段</w:t>
      </w:r>
      <w:r>
        <w:rPr>
          <w:rFonts w:hint="eastAsia" w:eastAsia="仿宋_GB2312"/>
          <w:sz w:val="32"/>
          <w:szCs w:val="32"/>
        </w:rPr>
        <w:t>（</w:t>
      </w:r>
      <w:r>
        <w:rPr>
          <w:rFonts w:eastAsia="仿宋_GB2312"/>
          <w:sz w:val="32"/>
          <w:szCs w:val="32"/>
        </w:rPr>
        <w:t>一次性</w:t>
      </w:r>
      <w:r>
        <w:rPr>
          <w:rFonts w:hint="eastAsia" w:eastAsia="仿宋_GB2312"/>
          <w:sz w:val="32"/>
          <w:szCs w:val="32"/>
        </w:rPr>
        <w:t>）</w:t>
      </w:r>
      <w:r>
        <w:rPr>
          <w:rFonts w:eastAsia="仿宋_GB2312"/>
          <w:sz w:val="32"/>
          <w:szCs w:val="32"/>
        </w:rPr>
        <w:t>项目绩效分析。</w:t>
      </w:r>
      <w:r>
        <w:rPr>
          <w:rFonts w:eastAsia="仿宋_GB2312"/>
          <w:sz w:val="32"/>
          <w:szCs w:val="32"/>
          <w:lang w:val="zh-CN"/>
        </w:rPr>
        <w:t>该类项目总数</w:t>
      </w:r>
      <w:r>
        <w:rPr>
          <w:rFonts w:eastAsia="仿宋_GB2312"/>
          <w:sz w:val="32"/>
          <w:szCs w:val="32"/>
        </w:rPr>
        <w:t>1</w:t>
      </w:r>
      <w:r>
        <w:rPr>
          <w:rFonts w:eastAsia="仿宋_GB2312"/>
          <w:sz w:val="32"/>
          <w:szCs w:val="32"/>
          <w:lang w:val="zh-CN"/>
        </w:rPr>
        <w:t>个，涉及预算总金额</w:t>
      </w:r>
      <w:r>
        <w:rPr>
          <w:rFonts w:eastAsia="仿宋_GB2312"/>
          <w:sz w:val="32"/>
          <w:szCs w:val="32"/>
        </w:rPr>
        <w:t>151.53</w:t>
      </w:r>
      <w:r>
        <w:rPr>
          <w:rFonts w:eastAsia="仿宋_GB2312"/>
          <w:sz w:val="32"/>
          <w:szCs w:val="32"/>
          <w:lang w:val="zh-CN"/>
        </w:rPr>
        <w:t>万元，1</w:t>
      </w:r>
      <w:r>
        <w:rPr>
          <w:rFonts w:hint="eastAsia" w:eastAsia="仿宋_GB2312"/>
          <w:sz w:val="32"/>
          <w:szCs w:val="32"/>
          <w:lang w:val="zh-CN"/>
        </w:rPr>
        <w:t>—</w:t>
      </w:r>
      <w:r>
        <w:rPr>
          <w:rFonts w:eastAsia="仿宋_GB2312"/>
          <w:sz w:val="32"/>
          <w:szCs w:val="32"/>
          <w:lang w:val="zh-CN"/>
        </w:rPr>
        <w:t>1</w:t>
      </w:r>
      <w:r>
        <w:rPr>
          <w:rFonts w:eastAsia="仿宋_GB2312"/>
          <w:sz w:val="32"/>
          <w:szCs w:val="32"/>
        </w:rPr>
        <w:t>2</w:t>
      </w:r>
      <w:r>
        <w:rPr>
          <w:rFonts w:eastAsia="仿宋_GB2312"/>
          <w:sz w:val="32"/>
          <w:szCs w:val="32"/>
          <w:lang w:val="zh-CN"/>
        </w:rPr>
        <w:t>月预算执行总体进度为</w:t>
      </w:r>
      <w:r>
        <w:rPr>
          <w:rFonts w:eastAsia="仿宋_GB2312"/>
          <w:sz w:val="32"/>
          <w:szCs w:val="32"/>
        </w:rPr>
        <w:t>100</w:t>
      </w:r>
      <w:r>
        <w:rPr>
          <w:rFonts w:eastAsia="仿宋_GB2312"/>
          <w:sz w:val="32"/>
          <w:szCs w:val="32"/>
          <w:lang w:val="zh-CN"/>
        </w:rPr>
        <w:t>%，其中：预算结余率大于</w:t>
      </w:r>
      <w:r>
        <w:rPr>
          <w:rFonts w:eastAsia="仿宋_GB2312"/>
          <w:sz w:val="32"/>
          <w:szCs w:val="32"/>
        </w:rPr>
        <w:t>10%</w:t>
      </w:r>
      <w:r>
        <w:rPr>
          <w:rFonts w:eastAsia="仿宋_GB2312"/>
          <w:sz w:val="32"/>
          <w:szCs w:val="32"/>
          <w:lang w:val="zh-CN"/>
        </w:rPr>
        <w:t>的项目共计</w:t>
      </w:r>
      <w:r>
        <w:rPr>
          <w:rFonts w:eastAsia="仿宋_GB2312"/>
          <w:sz w:val="32"/>
          <w:szCs w:val="32"/>
        </w:rPr>
        <w:t>0</w:t>
      </w:r>
      <w:r>
        <w:rPr>
          <w:rFonts w:eastAsia="仿宋_GB2312"/>
          <w:sz w:val="32"/>
          <w:szCs w:val="32"/>
          <w:lang w:val="zh-CN"/>
        </w:rPr>
        <w:t>个。</w:t>
      </w:r>
    </w:p>
    <w:p w14:paraId="7A9C3005">
      <w:pPr>
        <w:adjustRightInd w:val="0"/>
        <w:snapToGrid w:val="0"/>
        <w:spacing w:line="578" w:lineRule="exact"/>
        <w:ind w:firstLine="640" w:firstLineChars="200"/>
        <w:contextualSpacing/>
        <w:jc w:val="left"/>
        <w:rPr>
          <w:rFonts w:ascii="楷体_GB2312" w:hAnsi="楷体_GB2312" w:eastAsia="楷体_GB2312" w:cs="楷体_GB2312"/>
          <w:color w:val="000000"/>
          <w:kern w:val="0"/>
          <w:sz w:val="32"/>
          <w:szCs w:val="32"/>
          <w:highlight w:val="yellow"/>
          <w:shd w:val="clear" w:color="auto" w:fill="FFFFFF"/>
          <w:lang w:val="zh-CN"/>
        </w:rPr>
      </w:pPr>
      <w:r>
        <w:rPr>
          <w:rFonts w:hint="eastAsia" w:ascii="楷体_GB2312" w:hAnsi="楷体_GB2312" w:eastAsia="楷体_GB2312" w:cs="楷体_GB2312"/>
          <w:color w:val="000000"/>
          <w:kern w:val="0"/>
          <w:sz w:val="32"/>
          <w:szCs w:val="32"/>
          <w:shd w:val="clear" w:color="auto" w:fill="FFFFFF"/>
        </w:rPr>
        <w:t>1.</w:t>
      </w:r>
      <w:r>
        <w:rPr>
          <w:rFonts w:hint="eastAsia" w:ascii="楷体_GB2312" w:hAnsi="楷体_GB2312" w:eastAsia="楷体_GB2312" w:cs="楷体_GB2312"/>
          <w:color w:val="000000"/>
          <w:kern w:val="0"/>
          <w:sz w:val="32"/>
          <w:szCs w:val="32"/>
          <w:shd w:val="clear" w:color="auto" w:fill="FFFFFF"/>
          <w:lang w:val="zh-CN"/>
        </w:rPr>
        <w:t>项目决策。</w:t>
      </w:r>
      <w:r>
        <w:rPr>
          <w:rFonts w:hint="eastAsia" w:eastAsia="仿宋_GB2312"/>
          <w:kern w:val="0"/>
          <w:sz w:val="32"/>
          <w:szCs w:val="32"/>
          <w:shd w:val="clear" w:color="auto" w:fill="FFFFFF"/>
          <w:lang w:val="zh-CN"/>
        </w:rPr>
        <w:t>我单位年初正式在编人员</w:t>
      </w:r>
      <w:r>
        <w:rPr>
          <w:rFonts w:eastAsia="仿宋_GB2312"/>
          <w:kern w:val="0"/>
          <w:sz w:val="32"/>
          <w:szCs w:val="32"/>
          <w:shd w:val="clear" w:color="auto" w:fill="FFFFFF"/>
          <w:lang w:val="zh-CN"/>
        </w:rPr>
        <w:t>12</w:t>
      </w:r>
      <w:r>
        <w:rPr>
          <w:rFonts w:hint="eastAsia" w:eastAsia="仿宋_GB2312"/>
          <w:kern w:val="0"/>
          <w:sz w:val="32"/>
          <w:szCs w:val="32"/>
          <w:shd w:val="clear" w:color="auto" w:fill="FFFFFF"/>
          <w:lang w:val="zh-CN"/>
        </w:rPr>
        <w:t>人，根据财政局预算安排，</w:t>
      </w:r>
      <w:r>
        <w:rPr>
          <w:rFonts w:hint="eastAsia" w:eastAsia="仿宋_GB2312"/>
          <w:kern w:val="0"/>
          <w:sz w:val="32"/>
          <w:szCs w:val="32"/>
          <w:shd w:val="clear" w:color="auto" w:fill="FFFFFF"/>
        </w:rPr>
        <w:t>按</w:t>
      </w:r>
      <w:r>
        <w:rPr>
          <w:rFonts w:eastAsia="仿宋_GB2312"/>
          <w:kern w:val="0"/>
          <w:sz w:val="32"/>
          <w:szCs w:val="32"/>
          <w:shd w:val="clear" w:color="auto" w:fill="FFFFFF"/>
          <w:lang w:val="zh-CN"/>
        </w:rPr>
        <w:t>12</w:t>
      </w:r>
      <w:r>
        <w:rPr>
          <w:rFonts w:hint="eastAsia" w:eastAsia="仿宋_GB2312"/>
          <w:kern w:val="0"/>
          <w:sz w:val="32"/>
          <w:szCs w:val="32"/>
          <w:shd w:val="clear" w:color="auto" w:fill="FFFFFF"/>
          <w:lang w:val="zh-CN"/>
        </w:rPr>
        <w:t>个正式在编人数预算本单位的日常公用经费和人员经费，预算安排常年项目19个，确保单位日常工作的正常运行；为县集体土地征收智能系统建设顺利推进，保障征地拆迁工作支出，有效解决征地拆迁不准确数据，预算安排“米易</w:t>
      </w:r>
      <w:bookmarkStart w:id="86" w:name="OLE_LINK55"/>
      <w:bookmarkStart w:id="87" w:name="OLE_LINK56"/>
      <w:r>
        <w:rPr>
          <w:rFonts w:hint="eastAsia" w:eastAsia="仿宋_GB2312"/>
          <w:kern w:val="0"/>
          <w:sz w:val="32"/>
          <w:szCs w:val="32"/>
          <w:shd w:val="clear" w:color="auto" w:fill="FFFFFF"/>
          <w:lang w:val="zh-CN"/>
        </w:rPr>
        <w:t>县集体土地征收</w:t>
      </w:r>
      <w:bookmarkEnd w:id="86"/>
      <w:bookmarkEnd w:id="87"/>
      <w:r>
        <w:rPr>
          <w:rFonts w:hint="eastAsia" w:eastAsia="仿宋_GB2312"/>
          <w:kern w:val="0"/>
          <w:sz w:val="32"/>
          <w:szCs w:val="32"/>
          <w:shd w:val="clear" w:color="auto" w:fill="FFFFFF"/>
          <w:lang w:val="zh-CN"/>
        </w:rPr>
        <w:t>只能信息系统建设”阶段项目1个。我单位及时完成涉及的20个项目入库工作。</w:t>
      </w:r>
    </w:p>
    <w:p w14:paraId="668C6FCE">
      <w:pPr>
        <w:widowControl/>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2.项目执行</w:t>
      </w:r>
      <w:r>
        <w:rPr>
          <w:rFonts w:hint="eastAsia" w:ascii="楷体_GB2312" w:hAnsi="楷体_GB2312" w:eastAsia="楷体_GB2312" w:cs="楷体_GB2312"/>
          <w:color w:val="000000"/>
          <w:kern w:val="0"/>
          <w:sz w:val="32"/>
          <w:szCs w:val="32"/>
          <w:shd w:val="clear" w:color="auto" w:fill="FFFFFF"/>
          <w:lang w:val="zh-CN"/>
        </w:rPr>
        <w:t>。</w:t>
      </w:r>
      <w:r>
        <w:rPr>
          <w:rFonts w:hint="eastAsia" w:eastAsia="仿宋_GB2312"/>
          <w:sz w:val="32"/>
          <w:szCs w:val="32"/>
          <w:lang w:val="zh-CN"/>
        </w:rPr>
        <w:t>项目资金来源于财政拨款，</w:t>
      </w:r>
      <w:r>
        <w:rPr>
          <w:rFonts w:hint="eastAsia" w:eastAsia="仿宋_GB2312"/>
          <w:color w:val="000000"/>
          <w:kern w:val="0"/>
          <w:sz w:val="32"/>
          <w:szCs w:val="32"/>
          <w:shd w:val="clear" w:color="auto" w:fill="FFFFFF"/>
          <w:lang w:val="zh-CN"/>
        </w:rPr>
        <w:t>单位年初预算</w:t>
      </w:r>
      <w:r>
        <w:rPr>
          <w:rFonts w:hint="eastAsia" w:ascii="仿宋_GB2312" w:hAnsi="宋体" w:eastAsia="仿宋_GB2312"/>
          <w:color w:val="000000"/>
          <w:kern w:val="0"/>
          <w:sz w:val="30"/>
          <w:szCs w:val="30"/>
          <w:shd w:val="clear" w:color="auto" w:fill="FFFFFF"/>
        </w:rPr>
        <w:t>360.78</w:t>
      </w:r>
      <w:r>
        <w:rPr>
          <w:rFonts w:hint="eastAsia" w:eastAsia="仿宋_GB2312"/>
          <w:color w:val="000000"/>
          <w:kern w:val="0"/>
          <w:sz w:val="32"/>
          <w:szCs w:val="32"/>
          <w:shd w:val="clear" w:color="auto" w:fill="FFFFFF"/>
          <w:lang w:val="zh-CN"/>
        </w:rPr>
        <w:t>万元，特定项目经费追加</w:t>
      </w:r>
      <w:r>
        <w:rPr>
          <w:rFonts w:eastAsia="仿宋_GB2312"/>
          <w:color w:val="000000"/>
          <w:kern w:val="0"/>
          <w:sz w:val="32"/>
          <w:szCs w:val="32"/>
          <w:shd w:val="clear" w:color="auto" w:fill="FFFFFF"/>
          <w:lang w:val="zh-CN"/>
        </w:rPr>
        <w:t>11.92</w:t>
      </w:r>
      <w:r>
        <w:rPr>
          <w:rFonts w:hint="eastAsia" w:eastAsia="仿宋_GB2312"/>
          <w:color w:val="000000"/>
          <w:kern w:val="0"/>
          <w:sz w:val="32"/>
          <w:szCs w:val="32"/>
          <w:shd w:val="clear" w:color="auto" w:fill="FFFFFF"/>
          <w:lang w:val="zh-CN"/>
        </w:rPr>
        <w:t>万元，</w:t>
      </w:r>
      <w:r>
        <w:rPr>
          <w:rFonts w:eastAsia="仿宋_GB2312"/>
          <w:kern w:val="0"/>
          <w:sz w:val="32"/>
          <w:szCs w:val="32"/>
          <w:shd w:val="clear" w:color="auto" w:fill="FFFFFF"/>
          <w:lang w:val="zh-CN"/>
        </w:rPr>
        <w:t>2022</w:t>
      </w:r>
      <w:r>
        <w:rPr>
          <w:rFonts w:hint="eastAsia" w:eastAsia="仿宋_GB2312"/>
          <w:kern w:val="0"/>
          <w:sz w:val="32"/>
          <w:szCs w:val="32"/>
          <w:shd w:val="clear" w:color="auto" w:fill="FFFFFF"/>
          <w:lang w:val="zh-CN"/>
        </w:rPr>
        <w:t>年项目结转结余资金追减</w:t>
      </w:r>
      <w:r>
        <w:rPr>
          <w:rFonts w:eastAsia="仿宋_GB2312"/>
          <w:kern w:val="0"/>
          <w:sz w:val="32"/>
          <w:szCs w:val="32"/>
          <w:shd w:val="clear" w:color="auto" w:fill="FFFFFF"/>
          <w:lang w:val="zh-CN"/>
        </w:rPr>
        <w:t>8.47</w:t>
      </w:r>
      <w:r>
        <w:rPr>
          <w:rFonts w:hint="eastAsia" w:eastAsia="仿宋_GB2312"/>
          <w:kern w:val="0"/>
          <w:sz w:val="32"/>
          <w:szCs w:val="32"/>
          <w:shd w:val="clear" w:color="auto" w:fill="FFFFFF"/>
          <w:lang w:val="zh-CN"/>
        </w:rPr>
        <w:t>万元，</w:t>
      </w:r>
      <w:r>
        <w:rPr>
          <w:rFonts w:hint="eastAsia" w:eastAsia="仿宋_GB2312"/>
          <w:color w:val="000000"/>
          <w:kern w:val="0"/>
          <w:sz w:val="32"/>
          <w:szCs w:val="32"/>
          <w:shd w:val="clear" w:color="auto" w:fill="FFFFFF"/>
          <w:lang w:val="zh-CN"/>
        </w:rPr>
        <w:t>人员经费因人员调出追减</w:t>
      </w:r>
      <w:r>
        <w:rPr>
          <w:rFonts w:eastAsia="仿宋_GB2312"/>
          <w:color w:val="000000"/>
          <w:kern w:val="0"/>
          <w:sz w:val="32"/>
          <w:szCs w:val="32"/>
          <w:shd w:val="clear" w:color="auto" w:fill="FFFFFF"/>
          <w:lang w:val="zh-CN"/>
        </w:rPr>
        <w:t>5.94</w:t>
      </w:r>
      <w:r>
        <w:rPr>
          <w:rFonts w:hint="eastAsia" w:eastAsia="仿宋_GB2312"/>
          <w:color w:val="000000"/>
          <w:kern w:val="0"/>
          <w:sz w:val="32"/>
          <w:szCs w:val="32"/>
          <w:shd w:val="clear" w:color="auto" w:fill="FFFFFF"/>
          <w:lang w:val="zh-CN"/>
        </w:rPr>
        <w:t>万元，人员经费因人员调入追加</w:t>
      </w:r>
      <w:r>
        <w:rPr>
          <w:rFonts w:eastAsia="仿宋_GB2312"/>
          <w:color w:val="000000"/>
          <w:kern w:val="0"/>
          <w:sz w:val="32"/>
          <w:szCs w:val="32"/>
          <w:shd w:val="clear" w:color="auto" w:fill="FFFFFF"/>
          <w:lang w:val="zh-CN"/>
        </w:rPr>
        <w:t>8.76</w:t>
      </w:r>
      <w:r>
        <w:rPr>
          <w:rFonts w:hint="eastAsia" w:eastAsia="仿宋_GB2312"/>
          <w:color w:val="000000"/>
          <w:kern w:val="0"/>
          <w:sz w:val="32"/>
          <w:szCs w:val="32"/>
          <w:shd w:val="clear" w:color="auto" w:fill="FFFFFF"/>
          <w:lang w:val="zh-CN"/>
        </w:rPr>
        <w:t>万元、其他原因追加</w:t>
      </w:r>
      <w:r>
        <w:rPr>
          <w:rFonts w:eastAsia="仿宋_GB2312"/>
          <w:color w:val="000000"/>
          <w:kern w:val="0"/>
          <w:sz w:val="32"/>
          <w:szCs w:val="32"/>
          <w:shd w:val="clear" w:color="auto" w:fill="FFFFFF"/>
          <w:lang w:val="zh-CN"/>
        </w:rPr>
        <w:t>54.20</w:t>
      </w:r>
      <w:r>
        <w:rPr>
          <w:rFonts w:hint="eastAsia" w:eastAsia="仿宋_GB2312"/>
          <w:color w:val="000000"/>
          <w:kern w:val="0"/>
          <w:sz w:val="32"/>
          <w:szCs w:val="32"/>
          <w:shd w:val="clear" w:color="auto" w:fill="FFFFFF"/>
          <w:lang w:val="zh-CN"/>
        </w:rPr>
        <w:t>万元，</w:t>
      </w:r>
      <w:r>
        <w:rPr>
          <w:rFonts w:hint="eastAsia" w:eastAsia="仿宋_GB2312"/>
          <w:color w:val="000000"/>
          <w:kern w:val="0"/>
          <w:sz w:val="32"/>
          <w:szCs w:val="32"/>
          <w:shd w:val="clear" w:color="auto" w:fill="FFFFFF"/>
        </w:rPr>
        <w:t>对个人和家庭的补助支出追加</w:t>
      </w:r>
      <w:r>
        <w:rPr>
          <w:rFonts w:eastAsia="仿宋_GB2312"/>
          <w:color w:val="000000"/>
          <w:kern w:val="0"/>
          <w:sz w:val="32"/>
          <w:szCs w:val="32"/>
          <w:shd w:val="clear" w:color="auto" w:fill="FFFFFF"/>
        </w:rPr>
        <w:t>0.30</w:t>
      </w:r>
      <w:r>
        <w:rPr>
          <w:rFonts w:hint="eastAsia" w:eastAsia="仿宋_GB2312"/>
          <w:color w:val="000000"/>
          <w:kern w:val="0"/>
          <w:sz w:val="32"/>
          <w:szCs w:val="32"/>
          <w:shd w:val="clear" w:color="auto" w:fill="FFFFFF"/>
        </w:rPr>
        <w:t>万元</w:t>
      </w:r>
      <w:r>
        <w:rPr>
          <w:rFonts w:hint="eastAsia" w:eastAsia="仿宋_GB2312"/>
          <w:color w:val="000000"/>
          <w:kern w:val="0"/>
          <w:sz w:val="32"/>
          <w:szCs w:val="32"/>
          <w:shd w:val="clear" w:color="auto" w:fill="FFFFFF"/>
          <w:lang w:val="zh-CN"/>
        </w:rPr>
        <w:t>。本年财政资金支出根据预算按进度执行，</w:t>
      </w:r>
      <w:r>
        <w:rPr>
          <w:rFonts w:eastAsia="仿宋_GB2312"/>
          <w:color w:val="000000"/>
          <w:kern w:val="0"/>
          <w:sz w:val="32"/>
          <w:szCs w:val="32"/>
          <w:shd w:val="clear" w:color="auto" w:fill="FFFFFF"/>
          <w:lang w:val="zh-CN"/>
        </w:rPr>
        <w:t>2023</w:t>
      </w:r>
      <w:r>
        <w:rPr>
          <w:rFonts w:hint="eastAsia" w:eastAsia="仿宋_GB2312"/>
          <w:color w:val="000000"/>
          <w:kern w:val="0"/>
          <w:sz w:val="32"/>
          <w:szCs w:val="32"/>
          <w:shd w:val="clear" w:color="auto" w:fill="FFFFFF"/>
          <w:lang w:val="zh-CN"/>
        </w:rPr>
        <w:t>年财政安排本单位一般公共预算财政拨款支出</w:t>
      </w:r>
      <w:r>
        <w:rPr>
          <w:rFonts w:hint="eastAsia" w:ascii="仿宋_GB2312" w:hAnsi="宋体" w:eastAsia="仿宋_GB2312"/>
          <w:color w:val="000000"/>
          <w:kern w:val="0"/>
          <w:sz w:val="30"/>
          <w:szCs w:val="30"/>
          <w:shd w:val="clear" w:color="auto" w:fill="FFFFFF"/>
          <w:lang w:val="zh-CN"/>
        </w:rPr>
        <w:t>421.54</w:t>
      </w:r>
      <w:r>
        <w:rPr>
          <w:rFonts w:hint="eastAsia" w:eastAsia="仿宋_GB2312"/>
          <w:color w:val="000000"/>
          <w:kern w:val="0"/>
          <w:sz w:val="32"/>
          <w:szCs w:val="32"/>
          <w:shd w:val="clear" w:color="auto" w:fill="FFFFFF"/>
          <w:lang w:val="zh-CN"/>
        </w:rPr>
        <w:t>万元，其中人员经费</w:t>
      </w:r>
      <w:r>
        <w:rPr>
          <w:rFonts w:hint="eastAsia" w:ascii="仿宋" w:hAnsi="仿宋" w:eastAsia="仿宋"/>
          <w:sz w:val="32"/>
          <w:szCs w:val="32"/>
        </w:rPr>
        <w:t>236.24</w:t>
      </w:r>
      <w:r>
        <w:rPr>
          <w:rFonts w:hint="eastAsia" w:eastAsia="仿宋_GB2312"/>
          <w:color w:val="000000"/>
          <w:kern w:val="0"/>
          <w:sz w:val="32"/>
          <w:szCs w:val="32"/>
          <w:shd w:val="clear" w:color="auto" w:fill="FFFFFF"/>
          <w:lang w:val="zh-CN"/>
        </w:rPr>
        <w:t>万元，公用经费</w:t>
      </w:r>
      <w:r>
        <w:rPr>
          <w:rFonts w:hint="eastAsia" w:ascii="仿宋" w:hAnsi="仿宋" w:eastAsia="仿宋"/>
          <w:sz w:val="32"/>
          <w:szCs w:val="32"/>
        </w:rPr>
        <w:t>14.03</w:t>
      </w:r>
      <w:r>
        <w:rPr>
          <w:rFonts w:hint="eastAsia" w:eastAsia="仿宋_GB2312"/>
          <w:color w:val="000000"/>
          <w:kern w:val="0"/>
          <w:sz w:val="32"/>
          <w:szCs w:val="32"/>
          <w:shd w:val="clear" w:color="auto" w:fill="FFFFFF"/>
          <w:lang w:val="zh-CN"/>
        </w:rPr>
        <w:t>万元、项目支出</w:t>
      </w:r>
      <w:r>
        <w:rPr>
          <w:rFonts w:eastAsia="仿宋_GB2312"/>
          <w:color w:val="000000"/>
          <w:kern w:val="0"/>
          <w:sz w:val="32"/>
          <w:szCs w:val="32"/>
          <w:shd w:val="clear" w:color="auto" w:fill="FFFFFF"/>
          <w:lang w:val="zh-CN"/>
        </w:rPr>
        <w:t>171.27</w:t>
      </w:r>
      <w:r>
        <w:rPr>
          <w:rFonts w:hint="eastAsia" w:eastAsia="仿宋_GB2312"/>
          <w:color w:val="000000"/>
          <w:kern w:val="0"/>
          <w:sz w:val="32"/>
          <w:szCs w:val="32"/>
          <w:shd w:val="clear" w:color="auto" w:fill="FFFFFF"/>
          <w:lang w:val="zh-CN"/>
        </w:rPr>
        <w:t>万元。执行率高。</w:t>
      </w:r>
    </w:p>
    <w:p w14:paraId="1A1194D1">
      <w:pPr>
        <w:widowControl/>
        <w:adjustRightInd w:val="0"/>
        <w:snapToGrid w:val="0"/>
        <w:spacing w:line="578" w:lineRule="exact"/>
        <w:ind w:firstLine="640" w:firstLineChars="200"/>
        <w:jc w:val="left"/>
        <w:rPr>
          <w:rFonts w:eastAsia="仿宋_GB2312"/>
          <w:sz w:val="32"/>
          <w:szCs w:val="32"/>
          <w:lang w:val="zh-CN"/>
        </w:rPr>
      </w:pPr>
      <w:r>
        <w:rPr>
          <w:rFonts w:hint="eastAsia" w:ascii="楷体_GB2312" w:hAnsi="楷体_GB2312" w:eastAsia="楷体_GB2312" w:cs="楷体_GB2312"/>
          <w:color w:val="000000"/>
          <w:kern w:val="0"/>
          <w:sz w:val="32"/>
          <w:szCs w:val="32"/>
          <w:shd w:val="clear" w:color="auto" w:fill="FFFFFF"/>
        </w:rPr>
        <w:t>3.</w:t>
      </w:r>
      <w:r>
        <w:rPr>
          <w:rFonts w:hint="eastAsia" w:ascii="楷体_GB2312" w:hAnsi="楷体_GB2312" w:eastAsia="楷体_GB2312" w:cs="楷体_GB2312"/>
          <w:color w:val="000000"/>
          <w:kern w:val="0"/>
          <w:sz w:val="32"/>
          <w:szCs w:val="32"/>
          <w:shd w:val="clear" w:color="auto" w:fill="FFFFFF"/>
          <w:lang w:val="zh-CN"/>
        </w:rPr>
        <w:t>目标实现。</w:t>
      </w:r>
      <w:r>
        <w:rPr>
          <w:rFonts w:hint="eastAsia" w:eastAsia="仿宋_GB2312"/>
          <w:color w:val="000000"/>
          <w:kern w:val="0"/>
          <w:sz w:val="32"/>
          <w:szCs w:val="32"/>
          <w:shd w:val="clear" w:color="auto" w:fill="FFFFFF"/>
          <w:lang w:val="zh-CN"/>
        </w:rPr>
        <w:t>我单位严格按照年初预算批复认真组织实施</w:t>
      </w:r>
      <w:r>
        <w:rPr>
          <w:rFonts w:eastAsia="仿宋_GB2312"/>
          <w:color w:val="000000"/>
          <w:kern w:val="0"/>
          <w:sz w:val="32"/>
          <w:szCs w:val="32"/>
          <w:shd w:val="clear" w:color="auto" w:fill="FFFFFF"/>
          <w:lang w:val="zh-CN"/>
        </w:rPr>
        <w:t>, </w:t>
      </w:r>
      <w:r>
        <w:rPr>
          <w:rFonts w:hint="eastAsia" w:eastAsia="仿宋_GB2312"/>
          <w:color w:val="000000"/>
          <w:kern w:val="0"/>
          <w:sz w:val="32"/>
          <w:szCs w:val="32"/>
          <w:shd w:val="clear" w:color="auto" w:fill="FFFFFF"/>
          <w:lang w:val="zh-CN"/>
        </w:rPr>
        <w:t>严格执行财经纪律相关管理规定，做到各项收支安排使用符合事业发展计划和财政政策的要求，确保了单位正常运行，较好地完成了</w:t>
      </w:r>
      <w:r>
        <w:rPr>
          <w:rFonts w:eastAsia="仿宋_GB2312"/>
          <w:color w:val="000000"/>
          <w:kern w:val="0"/>
          <w:sz w:val="32"/>
          <w:szCs w:val="32"/>
          <w:shd w:val="clear" w:color="auto" w:fill="FFFFFF"/>
          <w:lang w:val="zh-CN"/>
        </w:rPr>
        <w:t>2023</w:t>
      </w:r>
      <w:r>
        <w:rPr>
          <w:rFonts w:hint="eastAsia" w:eastAsia="仿宋_GB2312"/>
          <w:color w:val="000000"/>
          <w:kern w:val="0"/>
          <w:sz w:val="32"/>
          <w:szCs w:val="32"/>
          <w:shd w:val="clear" w:color="auto" w:fill="FFFFFF"/>
          <w:lang w:val="zh-CN"/>
        </w:rPr>
        <w:t>年部门预算编制和决算汇总工作</w:t>
      </w:r>
      <w:r>
        <w:rPr>
          <w:rFonts w:eastAsia="仿宋_GB2312"/>
          <w:color w:val="000000"/>
          <w:kern w:val="0"/>
          <w:sz w:val="32"/>
          <w:szCs w:val="32"/>
          <w:shd w:val="clear" w:color="auto" w:fill="FFFFFF"/>
          <w:lang w:val="zh-CN"/>
        </w:rPr>
        <w:t>, 2023</w:t>
      </w:r>
      <w:r>
        <w:rPr>
          <w:rFonts w:hint="eastAsia" w:eastAsia="仿宋_GB2312"/>
          <w:color w:val="000000"/>
          <w:kern w:val="0"/>
          <w:sz w:val="32"/>
          <w:szCs w:val="32"/>
          <w:shd w:val="clear" w:color="auto" w:fill="FFFFFF"/>
          <w:lang w:val="zh-CN"/>
        </w:rPr>
        <w:t>年目标任务基本完成，预算执行情况较好</w:t>
      </w:r>
      <w:r>
        <w:rPr>
          <w:rFonts w:hint="eastAsia" w:eastAsia="仿宋_GB2312"/>
          <w:sz w:val="32"/>
          <w:szCs w:val="32"/>
          <w:lang w:val="zh-CN"/>
        </w:rPr>
        <w:t>。</w:t>
      </w:r>
    </w:p>
    <w:p w14:paraId="1FFB6102">
      <w:pPr>
        <w:widowControl/>
        <w:adjustRightInd w:val="0"/>
        <w:snapToGrid w:val="0"/>
        <w:spacing w:line="578" w:lineRule="exact"/>
        <w:ind w:firstLine="643" w:firstLineChars="200"/>
        <w:jc w:val="left"/>
        <w:rPr>
          <w:color w:val="000000"/>
          <w:kern w:val="0"/>
          <w:szCs w:val="32"/>
          <w:highlight w:val="yellow"/>
          <w:shd w:val="clear" w:color="auto" w:fill="FFFFFF"/>
        </w:rPr>
      </w:pPr>
      <w:r>
        <w:rPr>
          <w:rFonts w:hint="eastAsia" w:eastAsia="楷体_GB2312"/>
          <w:b/>
          <w:bCs/>
          <w:color w:val="000000"/>
          <w:kern w:val="0"/>
          <w:sz w:val="32"/>
          <w:szCs w:val="32"/>
          <w:shd w:val="clear" w:color="auto" w:fill="FFFFFF"/>
          <w:lang w:val="zh-CN"/>
        </w:rPr>
        <w:t>（三）重点领域绩效分析。</w:t>
      </w:r>
      <w:r>
        <w:rPr>
          <w:rFonts w:hint="eastAsia" w:eastAsia="仿宋_GB2312"/>
          <w:kern w:val="0"/>
          <w:sz w:val="32"/>
          <w:szCs w:val="32"/>
          <w:shd w:val="clear" w:color="auto" w:fill="FFFFFF"/>
          <w:lang w:val="zh-CN"/>
        </w:rPr>
        <w:t>县集体土地征收补偿安置中心无涉及重点领域项目。</w:t>
      </w:r>
    </w:p>
    <w:p w14:paraId="4CF33EF2">
      <w:pPr>
        <w:widowControl/>
        <w:adjustRightInd w:val="0"/>
        <w:snapToGrid w:val="0"/>
        <w:spacing w:line="560" w:lineRule="exact"/>
        <w:ind w:firstLine="643" w:firstLineChars="200"/>
        <w:rPr>
          <w:rFonts w:eastAsia="仿宋_GB2312"/>
          <w:color w:val="000000"/>
          <w:kern w:val="0"/>
          <w:sz w:val="32"/>
          <w:szCs w:val="32"/>
          <w:shd w:val="clear" w:color="auto" w:fill="FFFFFF"/>
          <w:lang w:val="zh-CN"/>
        </w:rPr>
      </w:pPr>
      <w:r>
        <w:rPr>
          <w:rFonts w:hint="eastAsia" w:eastAsia="楷体_GB2312"/>
          <w:b/>
          <w:bCs/>
          <w:color w:val="000000"/>
          <w:kern w:val="0"/>
          <w:sz w:val="32"/>
          <w:szCs w:val="32"/>
          <w:shd w:val="clear" w:color="auto" w:fill="FFFFFF"/>
          <w:lang w:val="zh-CN"/>
        </w:rPr>
        <w:t>（四）绩效结果应用情况。</w:t>
      </w:r>
      <w:r>
        <w:rPr>
          <w:rFonts w:eastAsia="仿宋_GB2312"/>
          <w:color w:val="000000"/>
          <w:kern w:val="0"/>
          <w:sz w:val="32"/>
          <w:szCs w:val="32"/>
          <w:shd w:val="clear" w:color="auto" w:fill="FFFFFF"/>
        </w:rPr>
        <w:t>2023</w:t>
      </w:r>
      <w:r>
        <w:rPr>
          <w:rFonts w:hint="eastAsia" w:eastAsia="仿宋_GB2312"/>
          <w:color w:val="000000"/>
          <w:kern w:val="0"/>
          <w:sz w:val="32"/>
          <w:szCs w:val="32"/>
          <w:shd w:val="clear" w:color="auto" w:fill="FFFFFF"/>
        </w:rPr>
        <w:t>年，我单位积极履职、强化管理，较好地完成了年度工作目标。通过加强预算收支管理，部门整体支出管理水平得到提升。</w:t>
      </w:r>
      <w:r>
        <w:rPr>
          <w:rFonts w:hint="eastAsia" w:eastAsia="仿宋_GB2312"/>
          <w:color w:val="000000"/>
          <w:kern w:val="0"/>
          <w:sz w:val="32"/>
          <w:szCs w:val="32"/>
          <w:shd w:val="clear" w:color="auto" w:fill="FFFFFF"/>
          <w:lang w:val="zh-CN"/>
        </w:rPr>
        <w:t>绩效自评公开方面，本单位严格按照县级财政部门的要求，在县人大批复后，将及时按程序在米易县公众信息网上公开</w:t>
      </w:r>
      <w:r>
        <w:rPr>
          <w:rFonts w:eastAsia="仿宋_GB2312"/>
          <w:color w:val="000000"/>
          <w:kern w:val="0"/>
          <w:sz w:val="32"/>
          <w:szCs w:val="32"/>
          <w:shd w:val="clear" w:color="auto" w:fill="FFFFFF"/>
          <w:lang w:val="zh-CN"/>
        </w:rPr>
        <w:t>2023</w:t>
      </w:r>
      <w:r>
        <w:rPr>
          <w:rFonts w:hint="eastAsia" w:eastAsia="仿宋_GB2312"/>
          <w:color w:val="000000"/>
          <w:kern w:val="0"/>
          <w:sz w:val="32"/>
          <w:szCs w:val="32"/>
          <w:shd w:val="clear" w:color="auto" w:fill="FFFFFF"/>
          <w:lang w:val="zh-CN"/>
        </w:rPr>
        <w:t>年预算。</w:t>
      </w:r>
    </w:p>
    <w:p w14:paraId="14A749C1">
      <w:pPr>
        <w:widowControl/>
        <w:adjustRightInd w:val="0"/>
        <w:snapToGrid w:val="0"/>
        <w:spacing w:line="580" w:lineRule="exact"/>
        <w:ind w:firstLine="640" w:firstLineChars="200"/>
        <w:jc w:val="left"/>
        <w:rPr>
          <w:rFonts w:eastAsia="黑体"/>
          <w:color w:val="000000"/>
          <w:kern w:val="0"/>
          <w:sz w:val="32"/>
          <w:szCs w:val="32"/>
          <w:shd w:val="clear" w:color="auto" w:fill="FFFFFF"/>
        </w:rPr>
      </w:pPr>
      <w:r>
        <w:rPr>
          <w:rFonts w:hint="eastAsia" w:eastAsia="黑体"/>
          <w:color w:val="000000"/>
          <w:kern w:val="0"/>
          <w:sz w:val="32"/>
          <w:szCs w:val="32"/>
          <w:shd w:val="clear" w:color="auto" w:fill="FFFFFF"/>
        </w:rPr>
        <w:t>四、评价结论及建议</w:t>
      </w:r>
    </w:p>
    <w:p w14:paraId="5724ADC7">
      <w:pPr>
        <w:widowControl/>
        <w:adjustRightInd w:val="0"/>
        <w:snapToGrid w:val="0"/>
        <w:spacing w:line="580" w:lineRule="exact"/>
        <w:ind w:firstLine="643" w:firstLineChars="200"/>
        <w:jc w:val="left"/>
        <w:rPr>
          <w:rFonts w:eastAsia="仿宋_GB2312"/>
          <w:color w:val="000000"/>
          <w:kern w:val="0"/>
          <w:sz w:val="32"/>
          <w:szCs w:val="32"/>
          <w:shd w:val="clear" w:color="auto" w:fill="FFFFFF"/>
          <w:lang w:val="zh-CN"/>
        </w:rPr>
      </w:pPr>
      <w:r>
        <w:rPr>
          <w:rFonts w:hint="eastAsia" w:ascii="楷体_GB2312" w:hAnsi="楷体_GB2312" w:eastAsia="楷体_GB2312" w:cs="楷体_GB2312"/>
          <w:b/>
          <w:sz w:val="32"/>
          <w:szCs w:val="32"/>
          <w:lang w:val="zh-CN"/>
        </w:rPr>
        <w:t>（一）评价结论。</w:t>
      </w:r>
      <w:r>
        <w:rPr>
          <w:rFonts w:hint="eastAsia" w:eastAsia="仿宋_GB2312"/>
          <w:color w:val="000000"/>
          <w:kern w:val="0"/>
          <w:sz w:val="32"/>
          <w:szCs w:val="32"/>
          <w:shd w:val="clear" w:color="auto" w:fill="FFFFFF"/>
          <w:lang w:val="zh-CN"/>
        </w:rPr>
        <w:t>我单位严格按照年初预算批复认真组织实施</w:t>
      </w:r>
      <w:r>
        <w:rPr>
          <w:rFonts w:eastAsia="仿宋_GB2312"/>
          <w:color w:val="000000"/>
          <w:kern w:val="0"/>
          <w:sz w:val="32"/>
          <w:szCs w:val="32"/>
          <w:shd w:val="clear" w:color="auto" w:fill="FFFFFF"/>
          <w:lang w:val="zh-CN"/>
        </w:rPr>
        <w:t>, </w:t>
      </w:r>
      <w:r>
        <w:rPr>
          <w:rFonts w:hint="eastAsia" w:eastAsia="仿宋_GB2312"/>
          <w:color w:val="000000"/>
          <w:kern w:val="0"/>
          <w:sz w:val="32"/>
          <w:szCs w:val="32"/>
          <w:shd w:val="clear" w:color="auto" w:fill="FFFFFF"/>
          <w:lang w:val="zh-CN"/>
        </w:rPr>
        <w:t>严格执行财经纪律相关管理规定，做到各项收支安排使用符合事业发展计划和财政政策的要求，确保了单位正常运行，较好地完成了</w:t>
      </w:r>
      <w:r>
        <w:rPr>
          <w:rFonts w:eastAsia="仿宋_GB2312"/>
          <w:color w:val="000000"/>
          <w:kern w:val="0"/>
          <w:sz w:val="32"/>
          <w:szCs w:val="32"/>
          <w:shd w:val="clear" w:color="auto" w:fill="FFFFFF"/>
          <w:lang w:val="zh-CN"/>
        </w:rPr>
        <w:t>2023</w:t>
      </w:r>
      <w:r>
        <w:rPr>
          <w:rFonts w:hint="eastAsia" w:eastAsia="仿宋_GB2312"/>
          <w:color w:val="000000"/>
          <w:kern w:val="0"/>
          <w:sz w:val="32"/>
          <w:szCs w:val="32"/>
          <w:shd w:val="clear" w:color="auto" w:fill="FFFFFF"/>
          <w:lang w:val="zh-CN"/>
        </w:rPr>
        <w:t>年部门预算编制和决算汇总工作</w:t>
      </w:r>
      <w:r>
        <w:rPr>
          <w:rFonts w:eastAsia="仿宋_GB2312"/>
          <w:color w:val="000000"/>
          <w:kern w:val="0"/>
          <w:sz w:val="32"/>
          <w:szCs w:val="32"/>
          <w:shd w:val="clear" w:color="auto" w:fill="FFFFFF"/>
          <w:lang w:val="zh-CN"/>
        </w:rPr>
        <w:t>, 2023</w:t>
      </w:r>
      <w:r>
        <w:rPr>
          <w:rFonts w:hint="eastAsia" w:eastAsia="仿宋_GB2312"/>
          <w:color w:val="000000"/>
          <w:kern w:val="0"/>
          <w:sz w:val="32"/>
          <w:szCs w:val="32"/>
          <w:shd w:val="clear" w:color="auto" w:fill="FFFFFF"/>
          <w:lang w:val="zh-CN"/>
        </w:rPr>
        <w:t>年目标任务基本完成，预算执行情况较好。</w:t>
      </w:r>
    </w:p>
    <w:p w14:paraId="1909E118">
      <w:pPr>
        <w:widowControl/>
        <w:adjustRightInd w:val="0"/>
        <w:snapToGrid w:val="0"/>
        <w:spacing w:line="580" w:lineRule="exact"/>
        <w:ind w:firstLine="643" w:firstLineChars="200"/>
        <w:contextualSpacing/>
        <w:jc w:val="left"/>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（二）存在问题。</w:t>
      </w:r>
    </w:p>
    <w:p w14:paraId="5F10A245">
      <w:pPr>
        <w:widowControl/>
        <w:adjustRightInd w:val="0"/>
        <w:snapToGrid w:val="0"/>
        <w:spacing w:line="580" w:lineRule="exact"/>
        <w:ind w:firstLine="640" w:firstLineChars="20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我单位存在预算编制不够明确</w:t>
      </w:r>
      <w:r>
        <w:rPr>
          <w:rFonts w:eastAsia="仿宋_GB2312"/>
          <w:color w:val="000000"/>
          <w:kern w:val="0"/>
          <w:sz w:val="32"/>
          <w:szCs w:val="32"/>
          <w:shd w:val="clear" w:color="auto" w:fill="FFFFFF"/>
          <w:lang w:val="zh-CN"/>
        </w:rPr>
        <w:t>,</w:t>
      </w:r>
      <w:r>
        <w:rPr>
          <w:rFonts w:hint="eastAsia" w:eastAsia="仿宋_GB2312"/>
          <w:color w:val="000000"/>
          <w:kern w:val="0"/>
          <w:sz w:val="32"/>
          <w:szCs w:val="32"/>
          <w:shd w:val="clear" w:color="auto" w:fill="FFFFFF"/>
          <w:lang w:val="zh-CN"/>
        </w:rPr>
        <w:t>预算编制的合理性需要提高，个别款项进度缓慢、绩效管理工作有待加强等问题。</w:t>
      </w:r>
    </w:p>
    <w:p w14:paraId="705BFBD3">
      <w:pPr>
        <w:widowControl/>
        <w:adjustRightInd w:val="0"/>
        <w:snapToGrid w:val="0"/>
        <w:spacing w:line="580" w:lineRule="exact"/>
        <w:ind w:firstLine="643" w:firstLineChars="200"/>
        <w:contextualSpacing/>
        <w:jc w:val="left"/>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（三）改进建议。</w:t>
      </w:r>
    </w:p>
    <w:p w14:paraId="3400C25F">
      <w:pPr>
        <w:widowControl/>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在今后的工作中</w:t>
      </w:r>
      <w:r>
        <w:rPr>
          <w:rFonts w:eastAsia="仿宋_GB2312"/>
          <w:color w:val="000000"/>
          <w:kern w:val="0"/>
          <w:sz w:val="32"/>
          <w:szCs w:val="32"/>
          <w:shd w:val="clear" w:color="auto" w:fill="FFFFFF"/>
          <w:lang w:val="zh-CN"/>
        </w:rPr>
        <w:t>,</w:t>
      </w:r>
      <w:r>
        <w:rPr>
          <w:rFonts w:hint="eastAsia" w:eastAsia="仿宋_GB2312"/>
          <w:color w:val="000000"/>
          <w:kern w:val="0"/>
          <w:sz w:val="32"/>
          <w:szCs w:val="32"/>
          <w:shd w:val="clear" w:color="auto" w:fill="FFFFFF"/>
          <w:lang w:val="zh-CN"/>
        </w:rPr>
        <w:t>我单位将严格按照新《中华人民共和国预算法</w:t>
      </w:r>
      <w:bookmarkStart w:id="111" w:name="_GoBack"/>
      <w:bookmarkEnd w:id="111"/>
      <w:r>
        <w:rPr>
          <w:rFonts w:hint="eastAsia" w:eastAsia="仿宋_GB2312"/>
          <w:color w:val="000000"/>
          <w:kern w:val="0"/>
          <w:sz w:val="32"/>
          <w:szCs w:val="32"/>
          <w:shd w:val="clear" w:color="auto" w:fill="FFFFFF"/>
          <w:lang w:val="zh-CN"/>
        </w:rPr>
        <w:t>》的要求，加强预算编制的科学性、合理性，细化预算编制，使项目预算与工作结合更加紧密。加强预算绩效管理，增强预算约束力，做好预算项目支出绩效目标及各项绩效指标的细化、量化工作，用好用活各类财政资金，提高财政资金的使用效益。</w:t>
      </w:r>
    </w:p>
    <w:bookmarkEnd w:id="71"/>
    <w:bookmarkEnd w:id="72"/>
    <w:p w14:paraId="41593F43">
      <w:pPr>
        <w:widowControl/>
        <w:adjustRightInd w:val="0"/>
        <w:snapToGrid w:val="0"/>
        <w:spacing w:line="580" w:lineRule="exact"/>
        <w:jc w:val="left"/>
        <w:rPr>
          <w:rFonts w:eastAsia="仿宋_GB2312"/>
          <w:color w:val="000000"/>
          <w:kern w:val="0"/>
          <w:sz w:val="32"/>
          <w:szCs w:val="32"/>
          <w:shd w:val="clear" w:color="auto" w:fill="FFFFFF"/>
          <w:lang w:val="zh-CN"/>
        </w:rPr>
      </w:pPr>
    </w:p>
    <w:p w14:paraId="5C237D72">
      <w:pPr>
        <w:pStyle w:val="16"/>
        <w:spacing w:line="560" w:lineRule="exact"/>
        <w:ind w:left="0" w:leftChars="0" w:firstLine="640"/>
        <w:rPr>
          <w:sz w:val="32"/>
        </w:rPr>
      </w:pPr>
      <w:r>
        <w:rPr>
          <w:rFonts w:hint="eastAsia"/>
          <w:sz w:val="32"/>
          <w:lang w:val="zh-CN"/>
        </w:rPr>
        <w:t>附表：</w:t>
      </w:r>
      <w:r>
        <w:rPr>
          <w:rFonts w:hint="eastAsia"/>
          <w:sz w:val="32"/>
        </w:rPr>
        <w:t>部门预算项目支出绩效自评表（2023年度）</w:t>
      </w:r>
    </w:p>
    <w:p w14:paraId="0219C51E">
      <w:pPr>
        <w:pStyle w:val="16"/>
        <w:spacing w:line="560" w:lineRule="exact"/>
        <w:ind w:left="0" w:leftChars="0" w:firstLine="640"/>
        <w:rPr>
          <w:sz w:val="32"/>
        </w:rPr>
      </w:pPr>
    </w:p>
    <w:p w14:paraId="753031E7">
      <w:pPr>
        <w:pStyle w:val="16"/>
        <w:spacing w:line="560" w:lineRule="exact"/>
        <w:ind w:left="0" w:leftChars="0" w:firstLine="640"/>
        <w:rPr>
          <w:sz w:val="32"/>
        </w:rPr>
      </w:pPr>
    </w:p>
    <w:p w14:paraId="56D5A216">
      <w:pPr>
        <w:pStyle w:val="16"/>
        <w:spacing w:line="560" w:lineRule="exact"/>
        <w:ind w:left="0" w:leftChars="0" w:firstLine="640"/>
        <w:rPr>
          <w:sz w:val="32"/>
        </w:rPr>
      </w:pPr>
    </w:p>
    <w:p w14:paraId="76D69A5B">
      <w:pPr>
        <w:pStyle w:val="16"/>
        <w:spacing w:line="560" w:lineRule="exact"/>
        <w:ind w:left="0" w:leftChars="0" w:firstLine="0" w:firstLineChars="0"/>
        <w:rPr>
          <w:sz w:val="32"/>
          <w:lang w:val="zh-CN"/>
        </w:rPr>
      </w:pPr>
    </w:p>
    <w:p w14:paraId="4B253DA4">
      <w:pPr>
        <w:pStyle w:val="6"/>
        <w:spacing w:before="93"/>
        <w:rPr>
          <w:rFonts w:ascii="黑体" w:hAnsi="黑体" w:eastAsia="黑体" w:cs="黑体"/>
          <w:sz w:val="32"/>
          <w:szCs w:val="32"/>
        </w:rPr>
      </w:pPr>
      <w:r>
        <w:rPr>
          <w:rFonts w:hint="eastAsia" w:ascii="黑体" w:hAnsi="黑体" w:eastAsia="黑体" w:cs="黑体"/>
          <w:sz w:val="32"/>
          <w:szCs w:val="32"/>
          <w:shd w:val="clear" w:color="auto" w:fill="FFFFFF"/>
          <w:lang w:val="zh-CN"/>
        </w:rPr>
        <w:t>附件</w:t>
      </w:r>
      <w:r>
        <w:rPr>
          <w:rFonts w:hint="eastAsia" w:ascii="黑体" w:hAnsi="黑体" w:eastAsia="黑体" w:cs="黑体"/>
          <w:sz w:val="32"/>
          <w:szCs w:val="32"/>
          <w:shd w:val="clear" w:color="auto" w:fill="FFFFFF"/>
        </w:rPr>
        <w:t>2</w:t>
      </w:r>
    </w:p>
    <w:p w14:paraId="4C43B6ED">
      <w:pPr>
        <w:spacing w:line="600" w:lineRule="exact"/>
        <w:jc w:val="center"/>
        <w:rPr>
          <w:rFonts w:eastAsia="方正小标宋简体"/>
          <w:sz w:val="40"/>
          <w:szCs w:val="40"/>
          <w:lang w:val="zh-CN"/>
        </w:rPr>
      </w:pPr>
      <w:r>
        <w:rPr>
          <w:rFonts w:hint="eastAsia" w:eastAsia="方正小标宋简体"/>
          <w:sz w:val="40"/>
          <w:szCs w:val="40"/>
          <w:lang w:val="zh-CN"/>
        </w:rPr>
        <w:t>米易县集体土地征收智能信息系统项目支出绩效自评报告</w:t>
      </w:r>
    </w:p>
    <w:p w14:paraId="703941C5">
      <w:pPr>
        <w:spacing w:line="600" w:lineRule="exact"/>
        <w:ind w:firstLine="640"/>
        <w:jc w:val="center"/>
        <w:rPr>
          <w:sz w:val="32"/>
          <w:szCs w:val="32"/>
          <w:lang w:val="zh-CN"/>
        </w:rPr>
      </w:pPr>
    </w:p>
    <w:p w14:paraId="0D69A268">
      <w:pPr>
        <w:adjustRightInd w:val="0"/>
        <w:snapToGrid w:val="0"/>
        <w:spacing w:line="578"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6FCC5AE2">
      <w:pPr>
        <w:widowControl/>
        <w:adjustRightInd w:val="0"/>
        <w:snapToGrid w:val="0"/>
        <w:spacing w:line="578" w:lineRule="exact"/>
        <w:ind w:firstLine="643"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（一）设立背景及基本情况。</w:t>
      </w:r>
    </w:p>
    <w:p w14:paraId="4BF4C5B6">
      <w:pPr>
        <w:spacing w:line="60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1.项目设立原因及背景：县集体土土地征收智能系统建设顺利推进，保障征地拆迁工作支出，有效解决征地拆迁不准确数据；</w:t>
      </w:r>
    </w:p>
    <w:p w14:paraId="549D03DE">
      <w:pPr>
        <w:spacing w:line="600" w:lineRule="exact"/>
        <w:ind w:firstLine="640" w:firstLineChars="200"/>
        <w:textAlignment w:val="baseline"/>
        <w:rPr>
          <w:rFonts w:eastAsia="仿宋_GB2312"/>
          <w:sz w:val="32"/>
          <w:szCs w:val="32"/>
          <w:lang w:val="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项目立项、资金申报的依据：</w:t>
      </w:r>
      <w:r>
        <w:rPr>
          <w:rFonts w:hint="eastAsia" w:eastAsia="仿宋_GB2312"/>
          <w:sz w:val="32"/>
          <w:szCs w:val="32"/>
          <w:lang w:val="zh-CN"/>
        </w:rPr>
        <w:t>《米易县委财经委员会</w:t>
      </w:r>
      <w:r>
        <w:rPr>
          <w:rFonts w:eastAsia="仿宋_GB2312"/>
          <w:sz w:val="32"/>
          <w:szCs w:val="32"/>
          <w:lang w:val="zh-CN"/>
        </w:rPr>
        <w:t>2022</w:t>
      </w:r>
      <w:r>
        <w:rPr>
          <w:rFonts w:hint="eastAsia" w:eastAsia="仿宋_GB2312"/>
          <w:sz w:val="32"/>
          <w:szCs w:val="32"/>
          <w:lang w:val="zh-CN"/>
        </w:rPr>
        <w:t>年第一次会议纪要》、《米易县人民政府第一百一十六次常务会议纪要》（米府纪［</w:t>
      </w:r>
      <w:r>
        <w:rPr>
          <w:rFonts w:eastAsia="仿宋_GB2312"/>
          <w:sz w:val="32"/>
          <w:szCs w:val="32"/>
          <w:lang w:val="zh-CN"/>
        </w:rPr>
        <w:t>2021</w:t>
      </w:r>
      <w:r>
        <w:rPr>
          <w:rFonts w:hint="eastAsia" w:eastAsia="仿宋_GB2312"/>
          <w:sz w:val="32"/>
          <w:szCs w:val="32"/>
          <w:lang w:val="zh-CN"/>
        </w:rPr>
        <w:t>］</w:t>
      </w:r>
      <w:r>
        <w:rPr>
          <w:rFonts w:eastAsia="仿宋_GB2312"/>
          <w:sz w:val="32"/>
          <w:szCs w:val="32"/>
          <w:lang w:val="zh-CN"/>
        </w:rPr>
        <w:t>21</w:t>
      </w:r>
      <w:r>
        <w:rPr>
          <w:rFonts w:hint="eastAsia" w:eastAsia="仿宋_GB2312"/>
          <w:sz w:val="32"/>
          <w:szCs w:val="32"/>
          <w:lang w:val="zh-CN"/>
        </w:rPr>
        <w:t>号）；</w:t>
      </w:r>
    </w:p>
    <w:p w14:paraId="7B33A5C3">
      <w:pPr>
        <w:spacing w:line="600" w:lineRule="exact"/>
        <w:ind w:firstLine="640" w:firstLineChars="200"/>
        <w:textAlignment w:val="baseline"/>
        <w:rPr>
          <w:rFonts w:eastAsia="仿宋_GB2312"/>
          <w:sz w:val="32"/>
          <w:szCs w:val="32"/>
        </w:rPr>
      </w:pPr>
      <w:r>
        <w:rPr>
          <w:rFonts w:hint="eastAsia" w:eastAsia="仿宋_GB2312"/>
          <w:sz w:val="32"/>
          <w:szCs w:val="32"/>
          <w:lang w:val="zh-CN"/>
        </w:rPr>
        <w:t>3.</w:t>
      </w:r>
      <w:r>
        <w:rPr>
          <w:rFonts w:hint="eastAsia" w:ascii="仿宋_GB2312" w:hAnsi="仿宋_GB2312" w:eastAsia="仿宋_GB2312" w:cs="仿宋_GB2312"/>
          <w:kern w:val="0"/>
          <w:sz w:val="32"/>
          <w:szCs w:val="32"/>
          <w:lang w:val="zh-CN"/>
        </w:rPr>
        <w:t>项目主要内容：</w:t>
      </w:r>
      <w:r>
        <w:rPr>
          <w:rFonts w:hint="eastAsia" w:eastAsia="仿宋_GB2312"/>
          <w:sz w:val="32"/>
          <w:szCs w:val="32"/>
        </w:rPr>
        <w:t>项目以软件建设为抓手，将集体土地征收所有流程、政策、档案、实现流程化、模块化，实现征地计划精准管理、征地程序模块化运行、征地数据精准化管理、征地档案规范化和系统化、征地系统＂一张图＂管理、补偿款发放和人员安置实现在线监管。项目设置监管层、管理层和业务部门三层结构，形成县集体土地征收补偿安置中心作监管，乡（镇）土地征收部门为执行主体，社区、村组、征地小组、第三方拆迁机构为业务主体的三级信息化管理联动平台。</w:t>
      </w:r>
    </w:p>
    <w:p w14:paraId="15927EE9">
      <w:pPr>
        <w:adjustRightInd w:val="0"/>
        <w:snapToGrid w:val="0"/>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CN"/>
        </w:rPr>
        <w:t>主管部门职能：</w:t>
      </w:r>
      <w:r>
        <w:rPr>
          <w:rFonts w:hint="eastAsia" w:eastAsia="仿宋_GB2312"/>
          <w:sz w:val="32"/>
          <w:szCs w:val="32"/>
          <w:lang w:val="zh-CN"/>
        </w:rPr>
        <w:t>牵头实施项目、编制实施方案、采购必要设备、人员队伍建设培训</w:t>
      </w:r>
      <w:r>
        <w:rPr>
          <w:rFonts w:hint="eastAsia" w:ascii="仿宋_GB2312" w:hAnsi="仿宋_GB2312" w:eastAsia="仿宋_GB2312" w:cs="仿宋_GB2312"/>
          <w:kern w:val="0"/>
          <w:sz w:val="32"/>
          <w:szCs w:val="32"/>
          <w:shd w:val="clear" w:color="auto" w:fill="FFFFFF"/>
          <w:lang w:val="zh-CN"/>
        </w:rPr>
        <w:t>。</w:t>
      </w:r>
    </w:p>
    <w:p w14:paraId="76BAAB10">
      <w:pPr>
        <w:spacing w:line="600" w:lineRule="exact"/>
        <w:ind w:firstLine="643" w:firstLineChars="200"/>
        <w:textAlignment w:val="baseline"/>
        <w:rPr>
          <w:rFonts w:ascii="楷体_GB2312" w:hAnsi="宋体" w:eastAsia="楷体_GB2312"/>
          <w:b/>
          <w:sz w:val="32"/>
          <w:szCs w:val="32"/>
        </w:rPr>
      </w:pPr>
      <w:r>
        <w:rPr>
          <w:rFonts w:hint="eastAsia" w:ascii="楷体_GB2312" w:hAnsi="宋体" w:eastAsia="楷体_GB2312"/>
          <w:b/>
          <w:sz w:val="32"/>
          <w:szCs w:val="32"/>
          <w:lang w:val="zh-CN"/>
        </w:rPr>
        <w:t>（二）</w:t>
      </w:r>
      <w:r>
        <w:rPr>
          <w:rFonts w:ascii="楷体_GB2312" w:hAnsi="宋体" w:eastAsia="楷体_GB2312"/>
          <w:b/>
          <w:sz w:val="32"/>
          <w:szCs w:val="32"/>
        </w:rPr>
        <w:t>实施目的及支持方向</w:t>
      </w:r>
      <w:r>
        <w:rPr>
          <w:rFonts w:hint="eastAsia" w:ascii="楷体_GB2312" w:hAnsi="宋体" w:eastAsia="楷体_GB2312"/>
          <w:b/>
          <w:sz w:val="32"/>
          <w:szCs w:val="32"/>
        </w:rPr>
        <w:t>。</w:t>
      </w:r>
    </w:p>
    <w:p w14:paraId="6E75B105">
      <w:pPr>
        <w:spacing w:line="600" w:lineRule="exact"/>
        <w:ind w:firstLine="640" w:firstLineChars="200"/>
        <w:textAlignment w:val="baseline"/>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）建设地点：米易县集体土地征收补偿安置中心及攀莲镇、草场镇、撒莲镇、丙谷镇、湾丘乡、白马镇、新山乡等七个乡镇。</w:t>
      </w:r>
    </w:p>
    <w:p w14:paraId="61E5948F">
      <w:pPr>
        <w:spacing w:line="600" w:lineRule="exact"/>
        <w:ind w:firstLine="640" w:firstLineChars="200"/>
        <w:textAlignment w:val="baseline"/>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）建设内容：</w:t>
      </w:r>
      <w:bookmarkStart w:id="88" w:name="OLE_LINK31"/>
      <w:bookmarkStart w:id="89" w:name="OLE_LINK32"/>
      <w:r>
        <w:rPr>
          <w:rFonts w:hint="eastAsia" w:eastAsia="仿宋_GB2312"/>
          <w:sz w:val="32"/>
          <w:szCs w:val="32"/>
        </w:rPr>
        <w:t>项目以软件建设为抓手，将集体土地征收所有流程、政策、档案、实现流程化、模块化，实现征地计划精准管理、征地程序模块化运行、征地数据精准化管理、征地档案规范化和系统化、征地系统＂一张图＂管理、补偿款发放和人员安置实现在线监管。项目设置监管层、管理层和业务部门三层结构，形成县集体土地征收补偿安置中心作监管，乡（镇）土地征收部门为执行主体，社区、村组、征地小组、第三方拆迁机构为业务主体的三级信息化管理联动平台。</w:t>
      </w:r>
    </w:p>
    <w:bookmarkEnd w:id="88"/>
    <w:bookmarkEnd w:id="89"/>
    <w:p w14:paraId="4EDFED17">
      <w:pPr>
        <w:spacing w:line="600" w:lineRule="exact"/>
        <w:ind w:firstLine="643" w:firstLineChars="200"/>
        <w:textAlignment w:val="baseline"/>
        <w:rPr>
          <w:rFonts w:ascii="Calibri" w:hAnsi="Calibri" w:eastAsia="仿宋_GB2312"/>
          <w:sz w:val="32"/>
          <w:szCs w:val="32"/>
        </w:rPr>
      </w:pPr>
      <w:r>
        <w:rPr>
          <w:rFonts w:hint="eastAsia" w:ascii="楷体_GB2312" w:hAnsi="宋体" w:eastAsia="楷体_GB2312"/>
          <w:b/>
          <w:sz w:val="32"/>
          <w:szCs w:val="32"/>
          <w:lang w:val="zh-CN"/>
        </w:rPr>
        <w:t>（三）</w:t>
      </w:r>
      <w:r>
        <w:rPr>
          <w:rFonts w:ascii="楷体_GB2312" w:hAnsi="宋体" w:eastAsia="楷体_GB2312"/>
          <w:b/>
          <w:sz w:val="32"/>
          <w:szCs w:val="32"/>
        </w:rPr>
        <w:t>预算安排及分配管理</w:t>
      </w:r>
      <w:r>
        <w:rPr>
          <w:rFonts w:hint="eastAsia" w:ascii="楷体_GB2312" w:hAnsi="宋体" w:eastAsia="楷体_GB2312"/>
          <w:b/>
          <w:sz w:val="32"/>
          <w:szCs w:val="32"/>
          <w:lang w:val="zh-CN"/>
        </w:rPr>
        <w:t>。</w:t>
      </w:r>
      <w:r>
        <w:rPr>
          <w:rFonts w:hint="eastAsia" w:eastAsia="仿宋_GB2312"/>
          <w:sz w:val="32"/>
          <w:szCs w:val="32"/>
        </w:rPr>
        <w:t>科学合理安排资金预算支出，实现资金落到实处，强化执行过程监督项目总投资</w:t>
      </w:r>
      <w:r>
        <w:rPr>
          <w:rFonts w:eastAsia="仿宋_GB2312"/>
          <w:sz w:val="32"/>
          <w:szCs w:val="32"/>
        </w:rPr>
        <w:t>159.5</w:t>
      </w:r>
      <w:r>
        <w:rPr>
          <w:rFonts w:hint="eastAsia" w:eastAsia="仿宋_GB2312"/>
          <w:sz w:val="32"/>
          <w:szCs w:val="32"/>
        </w:rPr>
        <w:t>万元，其中投入财政资金</w:t>
      </w:r>
      <w:r>
        <w:rPr>
          <w:rFonts w:eastAsia="仿宋_GB2312"/>
          <w:sz w:val="32"/>
          <w:szCs w:val="32"/>
        </w:rPr>
        <w:t xml:space="preserve"> 159.5</w:t>
      </w:r>
      <w:r>
        <w:rPr>
          <w:rFonts w:hint="eastAsia" w:eastAsia="仿宋_GB2312"/>
          <w:sz w:val="32"/>
          <w:szCs w:val="32"/>
        </w:rPr>
        <w:t>万元。财政投资</w:t>
      </w:r>
      <w:r>
        <w:rPr>
          <w:rFonts w:eastAsia="仿宋_GB2312"/>
          <w:sz w:val="32"/>
          <w:szCs w:val="32"/>
        </w:rPr>
        <w:t>159.5</w:t>
      </w:r>
      <w:r>
        <w:rPr>
          <w:rFonts w:hint="eastAsia" w:eastAsia="仿宋_GB2312"/>
          <w:sz w:val="32"/>
          <w:szCs w:val="32"/>
        </w:rPr>
        <w:t>万元均为县级资金，其中软件系统建设</w:t>
      </w:r>
      <w:r>
        <w:rPr>
          <w:rFonts w:eastAsia="仿宋_GB2312"/>
          <w:sz w:val="32"/>
          <w:szCs w:val="32"/>
        </w:rPr>
        <w:t>148.5</w:t>
      </w:r>
      <w:r>
        <w:rPr>
          <w:rFonts w:hint="eastAsia" w:eastAsia="仿宋_GB2312"/>
          <w:sz w:val="32"/>
          <w:szCs w:val="32"/>
        </w:rPr>
        <w:t>万元，配套通用办公设备</w:t>
      </w:r>
      <w:r>
        <w:rPr>
          <w:rFonts w:eastAsia="仿宋_GB2312"/>
          <w:sz w:val="32"/>
          <w:szCs w:val="32"/>
        </w:rPr>
        <w:t>11</w:t>
      </w:r>
      <w:r>
        <w:rPr>
          <w:rFonts w:hint="eastAsia" w:eastAsia="仿宋_GB2312"/>
          <w:sz w:val="32"/>
          <w:szCs w:val="32"/>
        </w:rPr>
        <w:t>万元。</w:t>
      </w:r>
    </w:p>
    <w:p w14:paraId="002E61F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（四）项目绩效目标设置。</w:t>
      </w:r>
    </w:p>
    <w:p w14:paraId="5A93AB8D">
      <w:pPr>
        <w:adjustRightInd w:val="0"/>
        <w:snapToGrid w:val="0"/>
        <w:spacing w:line="600" w:lineRule="exact"/>
        <w:ind w:firstLine="720"/>
        <w:rPr>
          <w:rFonts w:eastAsia="仿宋_GB2312"/>
          <w:sz w:val="32"/>
          <w:szCs w:val="32"/>
          <w:lang w:val="zh-CN"/>
        </w:rPr>
      </w:pPr>
      <w:r>
        <w:rPr>
          <w:rFonts w:hint="eastAsia" w:ascii="仿宋_GB2312" w:hAnsi="宋体" w:eastAsia="仿宋_GB2312"/>
          <w:b/>
          <w:sz w:val="32"/>
          <w:szCs w:val="32"/>
          <w:lang w:val="zh-CN"/>
        </w:rPr>
        <w:t>1.</w:t>
      </w:r>
      <w:r>
        <w:rPr>
          <w:rFonts w:hint="eastAsia" w:eastAsia="仿宋_GB2312"/>
          <w:sz w:val="32"/>
          <w:szCs w:val="32"/>
          <w:lang w:val="zh-CN"/>
        </w:rPr>
        <w:t>项目实施的年度总体目标：</w:t>
      </w:r>
    </w:p>
    <w:p w14:paraId="4BBC19FF">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圆满完成米易县集体土地征收智能信息管理系统建设，实现征地计划精准管理、征地程序模块化运行、征地数据精准化管理、征地档案规范化和系统化、征地系统</w:t>
      </w:r>
      <w:r>
        <w:rPr>
          <w:rFonts w:eastAsia="仿宋_GB2312"/>
          <w:sz w:val="32"/>
          <w:szCs w:val="32"/>
          <w:lang w:val="zh-CN"/>
        </w:rPr>
        <w:t>"</w:t>
      </w:r>
      <w:r>
        <w:rPr>
          <w:rFonts w:hint="eastAsia" w:eastAsia="仿宋_GB2312"/>
          <w:sz w:val="32"/>
          <w:szCs w:val="32"/>
          <w:lang w:val="zh-CN"/>
        </w:rPr>
        <w:t>一张图</w:t>
      </w:r>
      <w:r>
        <w:rPr>
          <w:rFonts w:eastAsia="仿宋_GB2312"/>
          <w:sz w:val="32"/>
          <w:szCs w:val="32"/>
          <w:lang w:val="zh-CN"/>
        </w:rPr>
        <w:t>"</w:t>
      </w:r>
      <w:r>
        <w:rPr>
          <w:rFonts w:hint="eastAsia" w:eastAsia="仿宋_GB2312"/>
          <w:sz w:val="32"/>
          <w:szCs w:val="32"/>
          <w:lang w:val="zh-CN"/>
        </w:rPr>
        <w:t>管理、补偿款发放和人员安置实现在线监管。</w:t>
      </w:r>
    </w:p>
    <w:p w14:paraId="25488CAC">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2.项目实施的年度绩效目标：</w:t>
      </w:r>
    </w:p>
    <w:tbl>
      <w:tblPr>
        <w:tblStyle w:val="17"/>
        <w:tblW w:w="9160" w:type="dxa"/>
        <w:tblInd w:w="93" w:type="dxa"/>
        <w:tblLayout w:type="autofit"/>
        <w:tblCellMar>
          <w:top w:w="0" w:type="dxa"/>
          <w:left w:w="108" w:type="dxa"/>
          <w:bottom w:w="0" w:type="dxa"/>
          <w:right w:w="108" w:type="dxa"/>
        </w:tblCellMar>
      </w:tblPr>
      <w:tblGrid>
        <w:gridCol w:w="560"/>
        <w:gridCol w:w="760"/>
        <w:gridCol w:w="700"/>
        <w:gridCol w:w="2900"/>
        <w:gridCol w:w="4240"/>
      </w:tblGrid>
      <w:tr w14:paraId="2E748756">
        <w:tblPrEx>
          <w:tblCellMar>
            <w:top w:w="0" w:type="dxa"/>
            <w:left w:w="108" w:type="dxa"/>
            <w:bottom w:w="0" w:type="dxa"/>
            <w:right w:w="108" w:type="dxa"/>
          </w:tblCellMar>
        </w:tblPrEx>
        <w:trPr>
          <w:trHeight w:val="600" w:hRule="atLeast"/>
        </w:trPr>
        <w:tc>
          <w:tcPr>
            <w:tcW w:w="560" w:type="dxa"/>
            <w:vMerge w:val="restart"/>
            <w:tcBorders>
              <w:top w:val="single" w:color="auto" w:sz="4" w:space="0"/>
              <w:left w:val="single" w:color="auto" w:sz="4" w:space="0"/>
              <w:bottom w:val="single" w:color="auto" w:sz="4" w:space="0"/>
              <w:right w:val="single" w:color="auto" w:sz="4" w:space="0"/>
            </w:tcBorders>
            <w:vAlign w:val="center"/>
          </w:tcPr>
          <w:p w14:paraId="039FC877">
            <w:pPr>
              <w:widowControl/>
              <w:jc w:val="center"/>
              <w:rPr>
                <w:kern w:val="0"/>
                <w:sz w:val="24"/>
              </w:rPr>
            </w:pPr>
            <w:r>
              <w:rPr>
                <w:rFonts w:hint="eastAsia" w:ascii="仿宋_GB2312" w:eastAsia="仿宋_GB2312"/>
                <w:kern w:val="0"/>
                <w:sz w:val="24"/>
              </w:rPr>
              <w:t>绩</w:t>
            </w:r>
            <w:r>
              <w:rPr>
                <w:kern w:val="0"/>
                <w:sz w:val="24"/>
              </w:rPr>
              <w:br w:type="textWrapping"/>
            </w:r>
            <w:r>
              <w:rPr>
                <w:rFonts w:hint="eastAsia" w:ascii="仿宋_GB2312" w:eastAsia="仿宋_GB2312"/>
                <w:kern w:val="0"/>
                <w:sz w:val="24"/>
              </w:rPr>
              <w:t>效</w:t>
            </w:r>
            <w:r>
              <w:rPr>
                <w:kern w:val="0"/>
                <w:sz w:val="24"/>
              </w:rPr>
              <w:br w:type="textWrapping"/>
            </w:r>
            <w:r>
              <w:rPr>
                <w:rFonts w:hint="eastAsia" w:ascii="仿宋_GB2312" w:eastAsia="仿宋_GB2312"/>
                <w:kern w:val="0"/>
                <w:sz w:val="24"/>
              </w:rPr>
              <w:t>指</w:t>
            </w:r>
            <w:r>
              <w:rPr>
                <w:kern w:val="0"/>
                <w:sz w:val="24"/>
              </w:rPr>
              <w:br w:type="textWrapping"/>
            </w:r>
            <w:r>
              <w:rPr>
                <w:rFonts w:hint="eastAsia" w:ascii="仿宋_GB2312" w:eastAsia="仿宋_GB2312"/>
                <w:kern w:val="0"/>
                <w:sz w:val="24"/>
              </w:rPr>
              <w:t>标</w:t>
            </w:r>
          </w:p>
        </w:tc>
        <w:tc>
          <w:tcPr>
            <w:tcW w:w="760" w:type="dxa"/>
            <w:tcBorders>
              <w:top w:val="single" w:color="auto" w:sz="4" w:space="0"/>
              <w:left w:val="nil"/>
              <w:bottom w:val="single" w:color="auto" w:sz="4" w:space="0"/>
              <w:right w:val="single" w:color="auto" w:sz="4" w:space="0"/>
            </w:tcBorders>
            <w:vAlign w:val="center"/>
          </w:tcPr>
          <w:p w14:paraId="06DAFAD8">
            <w:pPr>
              <w:widowControl/>
              <w:jc w:val="center"/>
              <w:rPr>
                <w:kern w:val="0"/>
                <w:sz w:val="24"/>
              </w:rPr>
            </w:pPr>
            <w:r>
              <w:rPr>
                <w:rFonts w:hint="eastAsia" w:ascii="仿宋_GB2312" w:eastAsia="仿宋_GB2312"/>
                <w:kern w:val="0"/>
                <w:sz w:val="24"/>
              </w:rPr>
              <w:t>一级</w:t>
            </w:r>
            <w:r>
              <w:rPr>
                <w:kern w:val="0"/>
                <w:sz w:val="24"/>
              </w:rPr>
              <w:br w:type="textWrapping"/>
            </w:r>
            <w:r>
              <w:rPr>
                <w:rFonts w:hint="eastAsia" w:ascii="仿宋_GB2312" w:eastAsia="仿宋_GB2312"/>
                <w:kern w:val="0"/>
                <w:sz w:val="24"/>
              </w:rPr>
              <w:t>指标</w:t>
            </w:r>
          </w:p>
        </w:tc>
        <w:tc>
          <w:tcPr>
            <w:tcW w:w="700" w:type="dxa"/>
            <w:tcBorders>
              <w:top w:val="single" w:color="auto" w:sz="4" w:space="0"/>
              <w:left w:val="nil"/>
              <w:bottom w:val="single" w:color="auto" w:sz="4" w:space="0"/>
              <w:right w:val="single" w:color="auto" w:sz="4" w:space="0"/>
            </w:tcBorders>
            <w:vAlign w:val="center"/>
          </w:tcPr>
          <w:p w14:paraId="455E3441">
            <w:pPr>
              <w:widowControl/>
              <w:jc w:val="center"/>
              <w:rPr>
                <w:kern w:val="0"/>
                <w:sz w:val="24"/>
              </w:rPr>
            </w:pPr>
            <w:r>
              <w:rPr>
                <w:rFonts w:hint="eastAsia" w:ascii="仿宋_GB2312" w:eastAsia="仿宋_GB2312"/>
                <w:kern w:val="0"/>
                <w:sz w:val="24"/>
              </w:rPr>
              <w:t>二级指标</w:t>
            </w:r>
          </w:p>
        </w:tc>
        <w:tc>
          <w:tcPr>
            <w:tcW w:w="2900" w:type="dxa"/>
            <w:tcBorders>
              <w:top w:val="single" w:color="auto" w:sz="4" w:space="0"/>
              <w:left w:val="nil"/>
              <w:bottom w:val="single" w:color="auto" w:sz="4" w:space="0"/>
              <w:right w:val="single" w:color="auto" w:sz="4" w:space="0"/>
            </w:tcBorders>
            <w:vAlign w:val="center"/>
          </w:tcPr>
          <w:p w14:paraId="59051628">
            <w:pPr>
              <w:widowControl/>
              <w:jc w:val="center"/>
              <w:rPr>
                <w:kern w:val="0"/>
                <w:sz w:val="24"/>
              </w:rPr>
            </w:pPr>
            <w:r>
              <w:rPr>
                <w:rFonts w:hint="eastAsia" w:ascii="仿宋_GB2312" w:eastAsia="仿宋_GB2312"/>
                <w:kern w:val="0"/>
                <w:sz w:val="24"/>
              </w:rPr>
              <w:t>三级指标</w:t>
            </w:r>
          </w:p>
        </w:tc>
        <w:tc>
          <w:tcPr>
            <w:tcW w:w="4240" w:type="dxa"/>
            <w:tcBorders>
              <w:top w:val="single" w:color="auto" w:sz="4" w:space="0"/>
              <w:left w:val="nil"/>
              <w:bottom w:val="single" w:color="auto" w:sz="4" w:space="0"/>
              <w:right w:val="single" w:color="auto" w:sz="4" w:space="0"/>
            </w:tcBorders>
            <w:vAlign w:val="center"/>
          </w:tcPr>
          <w:p w14:paraId="215A79C3">
            <w:pPr>
              <w:widowControl/>
              <w:jc w:val="center"/>
              <w:rPr>
                <w:kern w:val="0"/>
                <w:sz w:val="24"/>
              </w:rPr>
            </w:pPr>
            <w:r>
              <w:rPr>
                <w:rFonts w:hint="eastAsia" w:ascii="仿宋_GB2312" w:eastAsia="仿宋_GB2312"/>
                <w:kern w:val="0"/>
                <w:sz w:val="24"/>
              </w:rPr>
              <w:t>指标值（包含数字及文字描述）</w:t>
            </w:r>
          </w:p>
        </w:tc>
      </w:tr>
      <w:tr w14:paraId="1977B14F">
        <w:tblPrEx>
          <w:tblCellMar>
            <w:top w:w="0" w:type="dxa"/>
            <w:left w:w="108" w:type="dxa"/>
            <w:bottom w:w="0" w:type="dxa"/>
            <w:right w:w="108" w:type="dxa"/>
          </w:tblCellMar>
        </w:tblPrEx>
        <w:trPr>
          <w:trHeight w:val="34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D0F144">
            <w:pPr>
              <w:widowControl/>
              <w:jc w:val="left"/>
              <w:rPr>
                <w:kern w:val="0"/>
                <w:sz w:val="24"/>
              </w:rPr>
            </w:pPr>
          </w:p>
        </w:tc>
        <w:tc>
          <w:tcPr>
            <w:tcW w:w="760" w:type="dxa"/>
            <w:vMerge w:val="restart"/>
            <w:tcBorders>
              <w:top w:val="nil"/>
              <w:left w:val="single" w:color="auto" w:sz="4" w:space="0"/>
              <w:bottom w:val="single" w:color="auto" w:sz="4" w:space="0"/>
              <w:right w:val="single" w:color="auto" w:sz="4" w:space="0"/>
            </w:tcBorders>
            <w:vAlign w:val="center"/>
          </w:tcPr>
          <w:p w14:paraId="1EEFE36C">
            <w:pPr>
              <w:widowControl/>
              <w:jc w:val="center"/>
              <w:rPr>
                <w:kern w:val="0"/>
                <w:sz w:val="24"/>
              </w:rPr>
            </w:pPr>
            <w:r>
              <w:rPr>
                <w:rFonts w:hint="eastAsia" w:ascii="仿宋_GB2312" w:eastAsia="仿宋_GB2312"/>
                <w:kern w:val="0"/>
                <w:sz w:val="24"/>
              </w:rPr>
              <w:t>项目完成</w:t>
            </w:r>
          </w:p>
        </w:tc>
        <w:tc>
          <w:tcPr>
            <w:tcW w:w="700" w:type="dxa"/>
            <w:vMerge w:val="restart"/>
            <w:tcBorders>
              <w:top w:val="nil"/>
              <w:left w:val="single" w:color="auto" w:sz="4" w:space="0"/>
              <w:bottom w:val="single" w:color="000000" w:sz="4" w:space="0"/>
              <w:right w:val="single" w:color="auto" w:sz="4" w:space="0"/>
            </w:tcBorders>
            <w:vAlign w:val="center"/>
          </w:tcPr>
          <w:p w14:paraId="14B07C94">
            <w:pPr>
              <w:widowControl/>
              <w:jc w:val="center"/>
              <w:rPr>
                <w:kern w:val="0"/>
                <w:sz w:val="24"/>
              </w:rPr>
            </w:pPr>
            <w:r>
              <w:rPr>
                <w:rFonts w:hint="eastAsia" w:ascii="仿宋_GB2312" w:eastAsia="仿宋_GB2312"/>
                <w:kern w:val="0"/>
                <w:sz w:val="24"/>
              </w:rPr>
              <w:t>数量指标</w:t>
            </w:r>
          </w:p>
        </w:tc>
        <w:tc>
          <w:tcPr>
            <w:tcW w:w="2900" w:type="dxa"/>
            <w:tcBorders>
              <w:top w:val="nil"/>
              <w:left w:val="nil"/>
              <w:bottom w:val="single" w:color="auto" w:sz="4" w:space="0"/>
              <w:right w:val="single" w:color="auto" w:sz="4" w:space="0"/>
            </w:tcBorders>
            <w:vAlign w:val="center"/>
          </w:tcPr>
          <w:p w14:paraId="7ABD8B92">
            <w:pPr>
              <w:widowControl/>
              <w:jc w:val="center"/>
              <w:rPr>
                <w:rFonts w:ascii="仿宋_GB2312" w:hAnsi="宋体" w:eastAsia="仿宋_GB2312" w:cs="宋体"/>
                <w:kern w:val="0"/>
                <w:sz w:val="24"/>
              </w:rPr>
            </w:pPr>
            <w:r>
              <w:rPr>
                <w:rFonts w:hint="eastAsia" w:ascii="仿宋_GB2312" w:hAnsi="宋体" w:eastAsia="仿宋_GB2312" w:cs="宋体"/>
                <w:kern w:val="0"/>
                <w:sz w:val="24"/>
              </w:rPr>
              <w:t>身份识别阅读器</w:t>
            </w:r>
          </w:p>
        </w:tc>
        <w:tc>
          <w:tcPr>
            <w:tcW w:w="4240" w:type="dxa"/>
            <w:tcBorders>
              <w:top w:val="single" w:color="auto" w:sz="4" w:space="0"/>
              <w:left w:val="nil"/>
              <w:bottom w:val="single" w:color="auto" w:sz="4" w:space="0"/>
              <w:right w:val="single" w:color="auto" w:sz="4" w:space="0"/>
            </w:tcBorders>
            <w:vAlign w:val="center"/>
          </w:tcPr>
          <w:p w14:paraId="4BD9E112">
            <w:pPr>
              <w:widowControl/>
              <w:jc w:val="center"/>
              <w:rPr>
                <w:rFonts w:eastAsia="仿宋_GB2312"/>
                <w:kern w:val="0"/>
                <w:sz w:val="24"/>
              </w:rPr>
            </w:pPr>
            <w:r>
              <w:rPr>
                <w:rFonts w:eastAsia="仿宋_GB2312"/>
                <w:kern w:val="0"/>
                <w:sz w:val="24"/>
              </w:rPr>
              <w:t>8</w:t>
            </w:r>
            <w:r>
              <w:rPr>
                <w:rFonts w:hint="eastAsia" w:eastAsia="仿宋_GB2312"/>
                <w:kern w:val="0"/>
                <w:sz w:val="24"/>
              </w:rPr>
              <w:t>套</w:t>
            </w:r>
          </w:p>
        </w:tc>
      </w:tr>
      <w:tr w14:paraId="3C422C4A">
        <w:tblPrEx>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DE407A">
            <w:pPr>
              <w:widowControl/>
              <w:jc w:val="left"/>
              <w:rPr>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14:paraId="0538D3AF">
            <w:pPr>
              <w:widowControl/>
              <w:jc w:val="left"/>
              <w:rPr>
                <w:kern w:val="0"/>
                <w:sz w:val="24"/>
              </w:rPr>
            </w:pPr>
          </w:p>
        </w:tc>
        <w:tc>
          <w:tcPr>
            <w:tcW w:w="0" w:type="auto"/>
            <w:vMerge w:val="continue"/>
            <w:tcBorders>
              <w:top w:val="nil"/>
              <w:left w:val="single" w:color="auto" w:sz="4" w:space="0"/>
              <w:bottom w:val="single" w:color="000000" w:sz="4" w:space="0"/>
              <w:right w:val="single" w:color="auto" w:sz="4" w:space="0"/>
            </w:tcBorders>
            <w:vAlign w:val="center"/>
          </w:tcPr>
          <w:p w14:paraId="6CE27505">
            <w:pPr>
              <w:widowControl/>
              <w:jc w:val="left"/>
              <w:rPr>
                <w:kern w:val="0"/>
                <w:sz w:val="24"/>
              </w:rPr>
            </w:pPr>
          </w:p>
        </w:tc>
        <w:tc>
          <w:tcPr>
            <w:tcW w:w="2900" w:type="dxa"/>
            <w:tcBorders>
              <w:top w:val="nil"/>
              <w:left w:val="nil"/>
              <w:bottom w:val="single" w:color="auto" w:sz="4" w:space="0"/>
              <w:right w:val="single" w:color="auto" w:sz="4" w:space="0"/>
            </w:tcBorders>
            <w:vAlign w:val="center"/>
          </w:tcPr>
          <w:p w14:paraId="38003F84">
            <w:pPr>
              <w:widowControl/>
              <w:jc w:val="center"/>
              <w:rPr>
                <w:rFonts w:ascii="仿宋_GB2312" w:hAnsi="宋体" w:eastAsia="仿宋_GB2312" w:cs="宋体"/>
                <w:kern w:val="0"/>
                <w:sz w:val="24"/>
              </w:rPr>
            </w:pPr>
            <w:r>
              <w:rPr>
                <w:rFonts w:hint="eastAsia" w:ascii="仿宋_GB2312" w:hAnsi="宋体" w:eastAsia="仿宋_GB2312" w:cs="宋体"/>
                <w:kern w:val="0"/>
                <w:sz w:val="24"/>
              </w:rPr>
              <w:t>高拍仪</w:t>
            </w:r>
          </w:p>
        </w:tc>
        <w:tc>
          <w:tcPr>
            <w:tcW w:w="4240" w:type="dxa"/>
            <w:tcBorders>
              <w:top w:val="single" w:color="auto" w:sz="4" w:space="0"/>
              <w:left w:val="nil"/>
              <w:bottom w:val="single" w:color="auto" w:sz="4" w:space="0"/>
              <w:right w:val="single" w:color="000000" w:sz="4" w:space="0"/>
            </w:tcBorders>
            <w:vAlign w:val="center"/>
          </w:tcPr>
          <w:p w14:paraId="026A2F51">
            <w:pPr>
              <w:widowControl/>
              <w:jc w:val="center"/>
              <w:rPr>
                <w:rFonts w:eastAsia="仿宋_GB2312"/>
                <w:kern w:val="0"/>
                <w:sz w:val="24"/>
              </w:rPr>
            </w:pPr>
            <w:r>
              <w:rPr>
                <w:rFonts w:eastAsia="仿宋_GB2312"/>
                <w:kern w:val="0"/>
                <w:sz w:val="24"/>
              </w:rPr>
              <w:t>8</w:t>
            </w:r>
            <w:r>
              <w:rPr>
                <w:rFonts w:hint="eastAsia" w:eastAsia="仿宋_GB2312"/>
                <w:kern w:val="0"/>
                <w:sz w:val="24"/>
              </w:rPr>
              <w:t>套</w:t>
            </w:r>
          </w:p>
        </w:tc>
      </w:tr>
      <w:tr w14:paraId="05F9398C">
        <w:tblPrEx>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B93BCF">
            <w:pPr>
              <w:widowControl/>
              <w:jc w:val="left"/>
              <w:rPr>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14:paraId="521D2E1D">
            <w:pPr>
              <w:widowControl/>
              <w:jc w:val="left"/>
              <w:rPr>
                <w:kern w:val="0"/>
                <w:sz w:val="24"/>
              </w:rPr>
            </w:pPr>
          </w:p>
        </w:tc>
        <w:tc>
          <w:tcPr>
            <w:tcW w:w="0" w:type="auto"/>
            <w:vMerge w:val="continue"/>
            <w:tcBorders>
              <w:top w:val="nil"/>
              <w:left w:val="single" w:color="auto" w:sz="4" w:space="0"/>
              <w:bottom w:val="single" w:color="000000" w:sz="4" w:space="0"/>
              <w:right w:val="single" w:color="auto" w:sz="4" w:space="0"/>
            </w:tcBorders>
            <w:vAlign w:val="center"/>
          </w:tcPr>
          <w:p w14:paraId="52D40CA9">
            <w:pPr>
              <w:widowControl/>
              <w:jc w:val="left"/>
              <w:rPr>
                <w:kern w:val="0"/>
                <w:sz w:val="24"/>
              </w:rPr>
            </w:pPr>
          </w:p>
        </w:tc>
        <w:tc>
          <w:tcPr>
            <w:tcW w:w="2900" w:type="dxa"/>
            <w:tcBorders>
              <w:top w:val="nil"/>
              <w:left w:val="nil"/>
              <w:bottom w:val="single" w:color="auto" w:sz="4" w:space="0"/>
              <w:right w:val="single" w:color="auto" w:sz="4" w:space="0"/>
            </w:tcBorders>
            <w:vAlign w:val="center"/>
          </w:tcPr>
          <w:p w14:paraId="36B2B35F">
            <w:pPr>
              <w:widowControl/>
              <w:jc w:val="center"/>
              <w:rPr>
                <w:rFonts w:ascii="仿宋_GB2312" w:hAnsi="宋体" w:eastAsia="仿宋_GB2312" w:cs="宋体"/>
                <w:kern w:val="0"/>
                <w:sz w:val="24"/>
              </w:rPr>
            </w:pPr>
            <w:r>
              <w:rPr>
                <w:rFonts w:hint="eastAsia" w:ascii="仿宋_GB2312" w:hAnsi="宋体" w:eastAsia="仿宋_GB2312" w:cs="宋体"/>
                <w:kern w:val="0"/>
                <w:sz w:val="24"/>
              </w:rPr>
              <w:t>平板电脑</w:t>
            </w:r>
          </w:p>
        </w:tc>
        <w:tc>
          <w:tcPr>
            <w:tcW w:w="4240" w:type="dxa"/>
            <w:tcBorders>
              <w:top w:val="single" w:color="auto" w:sz="4" w:space="0"/>
              <w:left w:val="nil"/>
              <w:bottom w:val="single" w:color="auto" w:sz="4" w:space="0"/>
              <w:right w:val="single" w:color="000000" w:sz="4" w:space="0"/>
            </w:tcBorders>
            <w:vAlign w:val="center"/>
          </w:tcPr>
          <w:p w14:paraId="39A81ED4">
            <w:pPr>
              <w:widowControl/>
              <w:jc w:val="center"/>
              <w:rPr>
                <w:rFonts w:eastAsia="仿宋_GB2312"/>
                <w:kern w:val="0"/>
                <w:sz w:val="24"/>
              </w:rPr>
            </w:pPr>
            <w:r>
              <w:rPr>
                <w:rFonts w:eastAsia="仿宋_GB2312"/>
                <w:kern w:val="0"/>
                <w:sz w:val="24"/>
              </w:rPr>
              <w:t>3</w:t>
            </w:r>
            <w:r>
              <w:rPr>
                <w:rFonts w:hint="eastAsia" w:eastAsia="仿宋_GB2312"/>
                <w:kern w:val="0"/>
                <w:sz w:val="24"/>
              </w:rPr>
              <w:t>台</w:t>
            </w:r>
          </w:p>
        </w:tc>
      </w:tr>
      <w:tr w14:paraId="5D1B65F7">
        <w:tblPrEx>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CD12B4">
            <w:pPr>
              <w:widowControl/>
              <w:jc w:val="left"/>
              <w:rPr>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14:paraId="21F590EF">
            <w:pPr>
              <w:widowControl/>
              <w:jc w:val="left"/>
              <w:rPr>
                <w:kern w:val="0"/>
                <w:sz w:val="24"/>
              </w:rPr>
            </w:pPr>
          </w:p>
        </w:tc>
        <w:tc>
          <w:tcPr>
            <w:tcW w:w="0" w:type="auto"/>
            <w:vMerge w:val="continue"/>
            <w:tcBorders>
              <w:top w:val="nil"/>
              <w:left w:val="single" w:color="auto" w:sz="4" w:space="0"/>
              <w:bottom w:val="single" w:color="000000" w:sz="4" w:space="0"/>
              <w:right w:val="single" w:color="auto" w:sz="4" w:space="0"/>
            </w:tcBorders>
            <w:vAlign w:val="center"/>
          </w:tcPr>
          <w:p w14:paraId="3C4D95A4">
            <w:pPr>
              <w:widowControl/>
              <w:jc w:val="left"/>
              <w:rPr>
                <w:kern w:val="0"/>
                <w:sz w:val="24"/>
              </w:rPr>
            </w:pPr>
          </w:p>
        </w:tc>
        <w:tc>
          <w:tcPr>
            <w:tcW w:w="2900" w:type="dxa"/>
            <w:tcBorders>
              <w:top w:val="nil"/>
              <w:left w:val="nil"/>
              <w:bottom w:val="single" w:color="auto" w:sz="4" w:space="0"/>
              <w:right w:val="single" w:color="auto" w:sz="4" w:space="0"/>
            </w:tcBorders>
            <w:vAlign w:val="center"/>
          </w:tcPr>
          <w:p w14:paraId="7C50C22C">
            <w:pPr>
              <w:widowControl/>
              <w:jc w:val="center"/>
              <w:rPr>
                <w:rFonts w:ascii="仿宋_GB2312" w:hAnsi="宋体" w:eastAsia="仿宋_GB2312" w:cs="宋体"/>
                <w:kern w:val="0"/>
                <w:sz w:val="24"/>
              </w:rPr>
            </w:pPr>
            <w:r>
              <w:rPr>
                <w:rFonts w:hint="eastAsia" w:ascii="仿宋_GB2312" w:hAnsi="宋体" w:eastAsia="仿宋_GB2312" w:cs="宋体"/>
                <w:kern w:val="0"/>
                <w:sz w:val="24"/>
              </w:rPr>
              <w:t>服务器</w:t>
            </w:r>
          </w:p>
        </w:tc>
        <w:tc>
          <w:tcPr>
            <w:tcW w:w="4240" w:type="dxa"/>
            <w:tcBorders>
              <w:top w:val="single" w:color="auto" w:sz="4" w:space="0"/>
              <w:left w:val="nil"/>
              <w:bottom w:val="single" w:color="auto" w:sz="4" w:space="0"/>
              <w:right w:val="single" w:color="000000" w:sz="4" w:space="0"/>
            </w:tcBorders>
            <w:vAlign w:val="center"/>
          </w:tcPr>
          <w:p w14:paraId="49E905F5">
            <w:pPr>
              <w:widowControl/>
              <w:jc w:val="center"/>
              <w:rPr>
                <w:rFonts w:eastAsia="仿宋_GB2312"/>
                <w:kern w:val="0"/>
                <w:sz w:val="24"/>
              </w:rPr>
            </w:pPr>
            <w:r>
              <w:rPr>
                <w:rFonts w:eastAsia="仿宋_GB2312"/>
                <w:kern w:val="0"/>
                <w:sz w:val="24"/>
              </w:rPr>
              <w:t>1</w:t>
            </w:r>
            <w:r>
              <w:rPr>
                <w:rFonts w:hint="eastAsia" w:eastAsia="仿宋_GB2312"/>
                <w:kern w:val="0"/>
                <w:sz w:val="24"/>
              </w:rPr>
              <w:t>台</w:t>
            </w:r>
          </w:p>
        </w:tc>
      </w:tr>
      <w:tr w14:paraId="03783CD3">
        <w:tblPrEx>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840363">
            <w:pPr>
              <w:widowControl/>
              <w:jc w:val="left"/>
              <w:rPr>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14:paraId="62D5299C">
            <w:pPr>
              <w:widowControl/>
              <w:jc w:val="left"/>
              <w:rPr>
                <w:kern w:val="0"/>
                <w:sz w:val="24"/>
              </w:rPr>
            </w:pPr>
          </w:p>
        </w:tc>
        <w:tc>
          <w:tcPr>
            <w:tcW w:w="0" w:type="auto"/>
            <w:vMerge w:val="continue"/>
            <w:tcBorders>
              <w:top w:val="nil"/>
              <w:left w:val="single" w:color="auto" w:sz="4" w:space="0"/>
              <w:bottom w:val="single" w:color="000000" w:sz="4" w:space="0"/>
              <w:right w:val="single" w:color="auto" w:sz="4" w:space="0"/>
            </w:tcBorders>
            <w:vAlign w:val="center"/>
          </w:tcPr>
          <w:p w14:paraId="593EB6F3">
            <w:pPr>
              <w:widowControl/>
              <w:jc w:val="left"/>
              <w:rPr>
                <w:kern w:val="0"/>
                <w:sz w:val="24"/>
              </w:rPr>
            </w:pPr>
          </w:p>
        </w:tc>
        <w:tc>
          <w:tcPr>
            <w:tcW w:w="2900" w:type="dxa"/>
            <w:tcBorders>
              <w:top w:val="nil"/>
              <w:left w:val="nil"/>
              <w:bottom w:val="single" w:color="auto" w:sz="4" w:space="0"/>
              <w:right w:val="single" w:color="auto" w:sz="4" w:space="0"/>
            </w:tcBorders>
            <w:vAlign w:val="center"/>
          </w:tcPr>
          <w:p w14:paraId="061441DD">
            <w:pPr>
              <w:widowControl/>
              <w:jc w:val="center"/>
              <w:rPr>
                <w:rFonts w:ascii="仿宋_GB2312" w:hAnsi="宋体" w:eastAsia="仿宋_GB2312" w:cs="宋体"/>
                <w:kern w:val="0"/>
                <w:sz w:val="24"/>
              </w:rPr>
            </w:pPr>
            <w:r>
              <w:rPr>
                <w:rFonts w:hint="eastAsia" w:ascii="仿宋_GB2312" w:hAnsi="宋体" w:eastAsia="仿宋_GB2312" w:cs="宋体"/>
                <w:kern w:val="0"/>
                <w:sz w:val="24"/>
              </w:rPr>
              <w:t>办公</w:t>
            </w:r>
            <w:r>
              <w:rPr>
                <w:rFonts w:eastAsia="仿宋_GB2312"/>
                <w:kern w:val="0"/>
                <w:sz w:val="24"/>
              </w:rPr>
              <w:t>PC</w:t>
            </w:r>
          </w:p>
        </w:tc>
        <w:tc>
          <w:tcPr>
            <w:tcW w:w="4240" w:type="dxa"/>
            <w:tcBorders>
              <w:top w:val="single" w:color="auto" w:sz="4" w:space="0"/>
              <w:left w:val="nil"/>
              <w:bottom w:val="single" w:color="auto" w:sz="4" w:space="0"/>
              <w:right w:val="single" w:color="000000" w:sz="4" w:space="0"/>
            </w:tcBorders>
            <w:vAlign w:val="center"/>
          </w:tcPr>
          <w:p w14:paraId="310599A5">
            <w:pPr>
              <w:widowControl/>
              <w:jc w:val="center"/>
              <w:rPr>
                <w:rFonts w:eastAsia="仿宋_GB2312"/>
                <w:kern w:val="0"/>
                <w:sz w:val="24"/>
              </w:rPr>
            </w:pPr>
            <w:r>
              <w:rPr>
                <w:rFonts w:eastAsia="仿宋_GB2312"/>
                <w:kern w:val="0"/>
                <w:sz w:val="24"/>
              </w:rPr>
              <w:t>9</w:t>
            </w:r>
            <w:r>
              <w:rPr>
                <w:rFonts w:hint="eastAsia" w:eastAsia="仿宋_GB2312"/>
                <w:kern w:val="0"/>
                <w:sz w:val="24"/>
              </w:rPr>
              <w:t>套</w:t>
            </w:r>
          </w:p>
        </w:tc>
      </w:tr>
      <w:tr w14:paraId="61C75A41">
        <w:tblPrEx>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8DAF519">
            <w:pPr>
              <w:widowControl/>
              <w:jc w:val="left"/>
              <w:rPr>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14:paraId="5C546030">
            <w:pPr>
              <w:widowControl/>
              <w:jc w:val="left"/>
              <w:rPr>
                <w:kern w:val="0"/>
                <w:sz w:val="24"/>
              </w:rPr>
            </w:pPr>
          </w:p>
        </w:tc>
        <w:tc>
          <w:tcPr>
            <w:tcW w:w="0" w:type="auto"/>
            <w:vMerge w:val="continue"/>
            <w:tcBorders>
              <w:top w:val="nil"/>
              <w:left w:val="single" w:color="auto" w:sz="4" w:space="0"/>
              <w:bottom w:val="single" w:color="000000" w:sz="4" w:space="0"/>
              <w:right w:val="single" w:color="auto" w:sz="4" w:space="0"/>
            </w:tcBorders>
            <w:vAlign w:val="center"/>
          </w:tcPr>
          <w:p w14:paraId="2203764D">
            <w:pPr>
              <w:widowControl/>
              <w:jc w:val="left"/>
              <w:rPr>
                <w:kern w:val="0"/>
                <w:sz w:val="24"/>
              </w:rPr>
            </w:pPr>
          </w:p>
        </w:tc>
        <w:tc>
          <w:tcPr>
            <w:tcW w:w="2900" w:type="dxa"/>
            <w:tcBorders>
              <w:top w:val="nil"/>
              <w:left w:val="nil"/>
              <w:bottom w:val="single" w:color="auto" w:sz="4" w:space="0"/>
              <w:right w:val="single" w:color="auto" w:sz="4" w:space="0"/>
            </w:tcBorders>
            <w:vAlign w:val="center"/>
          </w:tcPr>
          <w:p w14:paraId="07F28248">
            <w:pPr>
              <w:widowControl/>
              <w:jc w:val="center"/>
              <w:rPr>
                <w:rFonts w:ascii="仿宋_GB2312" w:hAnsi="宋体" w:eastAsia="仿宋_GB2312" w:cs="宋体"/>
                <w:kern w:val="0"/>
                <w:sz w:val="24"/>
              </w:rPr>
            </w:pPr>
            <w:r>
              <w:rPr>
                <w:rFonts w:hint="eastAsia" w:ascii="仿宋_GB2312" w:hAnsi="宋体" w:eastAsia="仿宋_GB2312" w:cs="宋体"/>
                <w:kern w:val="0"/>
                <w:sz w:val="24"/>
              </w:rPr>
              <w:t>一级数据管理平台</w:t>
            </w:r>
          </w:p>
        </w:tc>
        <w:tc>
          <w:tcPr>
            <w:tcW w:w="4240" w:type="dxa"/>
            <w:tcBorders>
              <w:top w:val="single" w:color="auto" w:sz="4" w:space="0"/>
              <w:left w:val="nil"/>
              <w:bottom w:val="single" w:color="auto" w:sz="4" w:space="0"/>
              <w:right w:val="single" w:color="000000" w:sz="4" w:space="0"/>
            </w:tcBorders>
            <w:vAlign w:val="center"/>
          </w:tcPr>
          <w:p w14:paraId="57B5BD59">
            <w:pPr>
              <w:widowControl/>
              <w:jc w:val="center"/>
              <w:rPr>
                <w:rFonts w:eastAsia="仿宋_GB2312"/>
                <w:kern w:val="0"/>
                <w:sz w:val="24"/>
              </w:rPr>
            </w:pPr>
            <w:r>
              <w:rPr>
                <w:rFonts w:eastAsia="仿宋_GB2312"/>
                <w:kern w:val="0"/>
                <w:sz w:val="24"/>
              </w:rPr>
              <w:t>1</w:t>
            </w:r>
            <w:r>
              <w:rPr>
                <w:rFonts w:hint="eastAsia" w:eastAsia="仿宋_GB2312"/>
                <w:kern w:val="0"/>
                <w:sz w:val="24"/>
              </w:rPr>
              <w:t>套</w:t>
            </w:r>
          </w:p>
        </w:tc>
      </w:tr>
      <w:tr w14:paraId="62089299">
        <w:tblPrEx>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75F603">
            <w:pPr>
              <w:widowControl/>
              <w:jc w:val="left"/>
              <w:rPr>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14:paraId="5CA60E63">
            <w:pPr>
              <w:widowControl/>
              <w:jc w:val="left"/>
              <w:rPr>
                <w:kern w:val="0"/>
                <w:sz w:val="24"/>
              </w:rPr>
            </w:pPr>
          </w:p>
        </w:tc>
        <w:tc>
          <w:tcPr>
            <w:tcW w:w="0" w:type="auto"/>
            <w:vMerge w:val="continue"/>
            <w:tcBorders>
              <w:top w:val="nil"/>
              <w:left w:val="single" w:color="auto" w:sz="4" w:space="0"/>
              <w:bottom w:val="single" w:color="000000" w:sz="4" w:space="0"/>
              <w:right w:val="single" w:color="auto" w:sz="4" w:space="0"/>
            </w:tcBorders>
            <w:vAlign w:val="center"/>
          </w:tcPr>
          <w:p w14:paraId="7544176A">
            <w:pPr>
              <w:widowControl/>
              <w:jc w:val="left"/>
              <w:rPr>
                <w:kern w:val="0"/>
                <w:sz w:val="24"/>
              </w:rPr>
            </w:pPr>
          </w:p>
        </w:tc>
        <w:tc>
          <w:tcPr>
            <w:tcW w:w="2900" w:type="dxa"/>
            <w:tcBorders>
              <w:top w:val="nil"/>
              <w:left w:val="nil"/>
              <w:bottom w:val="single" w:color="auto" w:sz="4" w:space="0"/>
              <w:right w:val="single" w:color="auto" w:sz="4" w:space="0"/>
            </w:tcBorders>
            <w:vAlign w:val="center"/>
          </w:tcPr>
          <w:p w14:paraId="5584DD3E">
            <w:pPr>
              <w:widowControl/>
              <w:jc w:val="center"/>
              <w:rPr>
                <w:rFonts w:ascii="仿宋_GB2312" w:hAnsi="宋体" w:eastAsia="仿宋_GB2312" w:cs="宋体"/>
                <w:kern w:val="0"/>
                <w:sz w:val="24"/>
              </w:rPr>
            </w:pPr>
            <w:r>
              <w:rPr>
                <w:rFonts w:hint="eastAsia" w:ascii="仿宋_GB2312" w:hAnsi="宋体" w:eastAsia="仿宋_GB2312" w:cs="宋体"/>
                <w:kern w:val="0"/>
                <w:sz w:val="24"/>
              </w:rPr>
              <w:t>二级数据管理平台</w:t>
            </w:r>
          </w:p>
        </w:tc>
        <w:tc>
          <w:tcPr>
            <w:tcW w:w="4240" w:type="dxa"/>
            <w:tcBorders>
              <w:top w:val="single" w:color="auto" w:sz="4" w:space="0"/>
              <w:left w:val="nil"/>
              <w:bottom w:val="single" w:color="auto" w:sz="4" w:space="0"/>
              <w:right w:val="single" w:color="000000" w:sz="4" w:space="0"/>
            </w:tcBorders>
            <w:vAlign w:val="center"/>
          </w:tcPr>
          <w:p w14:paraId="24EA1DF1">
            <w:pPr>
              <w:widowControl/>
              <w:jc w:val="center"/>
              <w:rPr>
                <w:rFonts w:eastAsia="仿宋_GB2312"/>
                <w:kern w:val="0"/>
                <w:sz w:val="24"/>
              </w:rPr>
            </w:pPr>
            <w:r>
              <w:rPr>
                <w:rFonts w:eastAsia="仿宋_GB2312"/>
                <w:kern w:val="0"/>
                <w:sz w:val="24"/>
              </w:rPr>
              <w:t>9</w:t>
            </w:r>
            <w:r>
              <w:rPr>
                <w:rFonts w:hint="eastAsia" w:eastAsia="仿宋_GB2312"/>
                <w:kern w:val="0"/>
                <w:sz w:val="24"/>
              </w:rPr>
              <w:t>套</w:t>
            </w:r>
          </w:p>
        </w:tc>
      </w:tr>
      <w:tr w14:paraId="7DAF6D87">
        <w:tblPrEx>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AF95C0">
            <w:pPr>
              <w:widowControl/>
              <w:jc w:val="left"/>
              <w:rPr>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14:paraId="7F08B903">
            <w:pPr>
              <w:widowControl/>
              <w:jc w:val="left"/>
              <w:rPr>
                <w:kern w:val="0"/>
                <w:sz w:val="24"/>
              </w:rPr>
            </w:pPr>
          </w:p>
        </w:tc>
        <w:tc>
          <w:tcPr>
            <w:tcW w:w="700" w:type="dxa"/>
            <w:tcBorders>
              <w:top w:val="nil"/>
              <w:left w:val="nil"/>
              <w:bottom w:val="single" w:color="auto" w:sz="4" w:space="0"/>
              <w:right w:val="single" w:color="auto" w:sz="4" w:space="0"/>
            </w:tcBorders>
            <w:vAlign w:val="center"/>
          </w:tcPr>
          <w:p w14:paraId="06780348">
            <w:pPr>
              <w:widowControl/>
              <w:jc w:val="center"/>
              <w:rPr>
                <w:kern w:val="0"/>
                <w:sz w:val="24"/>
              </w:rPr>
            </w:pPr>
            <w:r>
              <w:rPr>
                <w:rFonts w:hint="eastAsia" w:ascii="仿宋_GB2312" w:eastAsia="仿宋_GB2312"/>
                <w:kern w:val="0"/>
                <w:sz w:val="24"/>
              </w:rPr>
              <w:t>质量指标</w:t>
            </w:r>
          </w:p>
        </w:tc>
        <w:tc>
          <w:tcPr>
            <w:tcW w:w="2900" w:type="dxa"/>
            <w:tcBorders>
              <w:top w:val="nil"/>
              <w:left w:val="nil"/>
              <w:bottom w:val="single" w:color="auto" w:sz="4" w:space="0"/>
              <w:right w:val="single" w:color="auto" w:sz="4" w:space="0"/>
            </w:tcBorders>
            <w:vAlign w:val="center"/>
          </w:tcPr>
          <w:p w14:paraId="0713DBCB">
            <w:pPr>
              <w:widowControl/>
              <w:jc w:val="center"/>
              <w:rPr>
                <w:kern w:val="0"/>
                <w:sz w:val="24"/>
              </w:rPr>
            </w:pPr>
            <w:r>
              <w:rPr>
                <w:kern w:val="0"/>
                <w:sz w:val="24"/>
              </w:rPr>
              <w:t xml:space="preserve"> </w:t>
            </w:r>
            <w:r>
              <w:rPr>
                <w:rFonts w:hint="eastAsia" w:ascii="仿宋_GB2312" w:eastAsia="仿宋_GB2312"/>
                <w:kern w:val="0"/>
                <w:sz w:val="24"/>
              </w:rPr>
              <w:t>错误数据处理情况</w:t>
            </w:r>
          </w:p>
        </w:tc>
        <w:tc>
          <w:tcPr>
            <w:tcW w:w="4240" w:type="dxa"/>
            <w:tcBorders>
              <w:top w:val="single" w:color="auto" w:sz="4" w:space="0"/>
              <w:left w:val="nil"/>
              <w:bottom w:val="single" w:color="auto" w:sz="4" w:space="0"/>
              <w:right w:val="single" w:color="auto" w:sz="4" w:space="0"/>
            </w:tcBorders>
            <w:vAlign w:val="center"/>
          </w:tcPr>
          <w:p w14:paraId="572965A9">
            <w:pPr>
              <w:widowControl/>
              <w:jc w:val="center"/>
              <w:rPr>
                <w:rFonts w:eastAsia="仿宋_GB2312"/>
                <w:kern w:val="0"/>
                <w:sz w:val="24"/>
              </w:rPr>
            </w:pPr>
            <w:r>
              <w:rPr>
                <w:rFonts w:hint="eastAsia" w:eastAsia="仿宋_GB2312"/>
                <w:kern w:val="0"/>
                <w:sz w:val="24"/>
              </w:rPr>
              <w:t>好</w:t>
            </w:r>
          </w:p>
        </w:tc>
      </w:tr>
      <w:tr w14:paraId="5D86A902">
        <w:tblPrEx>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ADAAC4">
            <w:pPr>
              <w:widowControl/>
              <w:jc w:val="left"/>
              <w:rPr>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14:paraId="5999C695">
            <w:pPr>
              <w:widowControl/>
              <w:jc w:val="left"/>
              <w:rPr>
                <w:kern w:val="0"/>
                <w:sz w:val="24"/>
              </w:rPr>
            </w:pPr>
          </w:p>
        </w:tc>
        <w:tc>
          <w:tcPr>
            <w:tcW w:w="700" w:type="dxa"/>
            <w:tcBorders>
              <w:top w:val="nil"/>
              <w:left w:val="nil"/>
              <w:bottom w:val="single" w:color="auto" w:sz="4" w:space="0"/>
              <w:right w:val="single" w:color="auto" w:sz="4" w:space="0"/>
            </w:tcBorders>
            <w:vAlign w:val="center"/>
          </w:tcPr>
          <w:p w14:paraId="27172EFA">
            <w:pPr>
              <w:widowControl/>
              <w:jc w:val="center"/>
              <w:rPr>
                <w:kern w:val="0"/>
                <w:sz w:val="24"/>
              </w:rPr>
            </w:pPr>
            <w:r>
              <w:rPr>
                <w:rFonts w:hint="eastAsia" w:ascii="仿宋_GB2312" w:eastAsia="仿宋_GB2312"/>
                <w:kern w:val="0"/>
                <w:sz w:val="24"/>
              </w:rPr>
              <w:t>时效指标</w:t>
            </w:r>
          </w:p>
        </w:tc>
        <w:tc>
          <w:tcPr>
            <w:tcW w:w="2900" w:type="dxa"/>
            <w:tcBorders>
              <w:top w:val="nil"/>
              <w:left w:val="nil"/>
              <w:bottom w:val="single" w:color="auto" w:sz="4" w:space="0"/>
              <w:right w:val="single" w:color="auto" w:sz="4" w:space="0"/>
            </w:tcBorders>
            <w:vAlign w:val="center"/>
          </w:tcPr>
          <w:p w14:paraId="390E67B1">
            <w:pPr>
              <w:widowControl/>
              <w:jc w:val="center"/>
              <w:rPr>
                <w:kern w:val="0"/>
                <w:sz w:val="24"/>
              </w:rPr>
            </w:pPr>
            <w:r>
              <w:rPr>
                <w:rFonts w:hint="eastAsia" w:ascii="仿宋_GB2312" w:eastAsia="仿宋_GB2312"/>
                <w:kern w:val="0"/>
                <w:sz w:val="24"/>
              </w:rPr>
              <w:t>完成年限</w:t>
            </w:r>
          </w:p>
        </w:tc>
        <w:tc>
          <w:tcPr>
            <w:tcW w:w="4240" w:type="dxa"/>
            <w:tcBorders>
              <w:top w:val="single" w:color="auto" w:sz="4" w:space="0"/>
              <w:left w:val="nil"/>
              <w:bottom w:val="single" w:color="auto" w:sz="4" w:space="0"/>
              <w:right w:val="single" w:color="auto" w:sz="4" w:space="0"/>
            </w:tcBorders>
            <w:vAlign w:val="center"/>
          </w:tcPr>
          <w:p w14:paraId="1D8E754C">
            <w:pPr>
              <w:widowControl/>
              <w:jc w:val="center"/>
              <w:rPr>
                <w:rFonts w:eastAsia="仿宋_GB2312"/>
                <w:kern w:val="0"/>
                <w:sz w:val="24"/>
              </w:rPr>
            </w:pPr>
            <w:r>
              <w:rPr>
                <w:rFonts w:eastAsia="仿宋_GB2312"/>
                <w:kern w:val="0"/>
                <w:sz w:val="24"/>
              </w:rPr>
              <w:t>2024</w:t>
            </w:r>
            <w:r>
              <w:rPr>
                <w:rFonts w:hint="eastAsia" w:eastAsia="仿宋_GB2312"/>
                <w:kern w:val="0"/>
                <w:sz w:val="24"/>
              </w:rPr>
              <w:t>年</w:t>
            </w:r>
          </w:p>
        </w:tc>
      </w:tr>
      <w:tr w14:paraId="3B80F72F">
        <w:tblPrEx>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FB6A35">
            <w:pPr>
              <w:widowControl/>
              <w:jc w:val="left"/>
              <w:rPr>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14:paraId="09CF91BC">
            <w:pPr>
              <w:widowControl/>
              <w:jc w:val="left"/>
              <w:rPr>
                <w:kern w:val="0"/>
                <w:sz w:val="24"/>
              </w:rPr>
            </w:pPr>
          </w:p>
        </w:tc>
        <w:tc>
          <w:tcPr>
            <w:tcW w:w="700" w:type="dxa"/>
            <w:tcBorders>
              <w:top w:val="nil"/>
              <w:left w:val="nil"/>
              <w:bottom w:val="single" w:color="auto" w:sz="4" w:space="0"/>
              <w:right w:val="single" w:color="auto" w:sz="4" w:space="0"/>
            </w:tcBorders>
            <w:vAlign w:val="center"/>
          </w:tcPr>
          <w:p w14:paraId="5F8A5FEB">
            <w:pPr>
              <w:widowControl/>
              <w:jc w:val="center"/>
              <w:rPr>
                <w:kern w:val="0"/>
                <w:sz w:val="24"/>
              </w:rPr>
            </w:pPr>
            <w:r>
              <w:rPr>
                <w:rFonts w:hint="eastAsia" w:ascii="仿宋_GB2312" w:eastAsia="仿宋_GB2312"/>
                <w:kern w:val="0"/>
                <w:sz w:val="24"/>
              </w:rPr>
              <w:t>成本指标</w:t>
            </w:r>
          </w:p>
        </w:tc>
        <w:tc>
          <w:tcPr>
            <w:tcW w:w="2900" w:type="dxa"/>
            <w:tcBorders>
              <w:top w:val="nil"/>
              <w:left w:val="nil"/>
              <w:bottom w:val="single" w:color="auto" w:sz="4" w:space="0"/>
              <w:right w:val="single" w:color="auto" w:sz="4" w:space="0"/>
            </w:tcBorders>
            <w:vAlign w:val="center"/>
          </w:tcPr>
          <w:p w14:paraId="57089E5C">
            <w:pPr>
              <w:widowControl/>
              <w:jc w:val="center"/>
              <w:rPr>
                <w:kern w:val="0"/>
                <w:sz w:val="24"/>
              </w:rPr>
            </w:pPr>
            <w:r>
              <w:rPr>
                <w:rFonts w:hint="eastAsia" w:ascii="仿宋_GB2312" w:eastAsia="仿宋_GB2312"/>
                <w:kern w:val="0"/>
                <w:sz w:val="24"/>
              </w:rPr>
              <w:t>财政资金投入</w:t>
            </w:r>
          </w:p>
        </w:tc>
        <w:tc>
          <w:tcPr>
            <w:tcW w:w="4240" w:type="dxa"/>
            <w:tcBorders>
              <w:top w:val="single" w:color="auto" w:sz="4" w:space="0"/>
              <w:left w:val="nil"/>
              <w:bottom w:val="single" w:color="auto" w:sz="4" w:space="0"/>
              <w:right w:val="single" w:color="auto" w:sz="4" w:space="0"/>
            </w:tcBorders>
            <w:vAlign w:val="center"/>
          </w:tcPr>
          <w:p w14:paraId="357389CF">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7.975万元</w:t>
            </w:r>
          </w:p>
        </w:tc>
      </w:tr>
      <w:tr w14:paraId="46EE7AA9">
        <w:tblPrEx>
          <w:tblCellMar>
            <w:top w:w="0" w:type="dxa"/>
            <w:left w:w="108" w:type="dxa"/>
            <w:bottom w:w="0" w:type="dxa"/>
            <w:right w:w="108" w:type="dxa"/>
          </w:tblCellMar>
        </w:tblPrEx>
        <w:trPr>
          <w:trHeight w:val="8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753175">
            <w:pPr>
              <w:widowControl/>
              <w:jc w:val="left"/>
              <w:rPr>
                <w:kern w:val="0"/>
                <w:sz w:val="24"/>
              </w:rPr>
            </w:pPr>
          </w:p>
        </w:tc>
        <w:tc>
          <w:tcPr>
            <w:tcW w:w="760" w:type="dxa"/>
            <w:tcBorders>
              <w:top w:val="nil"/>
              <w:left w:val="nil"/>
              <w:bottom w:val="single" w:color="auto" w:sz="4" w:space="0"/>
              <w:right w:val="single" w:color="auto" w:sz="4" w:space="0"/>
            </w:tcBorders>
            <w:vAlign w:val="center"/>
          </w:tcPr>
          <w:p w14:paraId="14DE60D0">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项目效益</w:t>
            </w:r>
          </w:p>
        </w:tc>
        <w:tc>
          <w:tcPr>
            <w:tcW w:w="700" w:type="dxa"/>
            <w:tcBorders>
              <w:top w:val="nil"/>
              <w:left w:val="nil"/>
              <w:bottom w:val="single" w:color="auto" w:sz="4" w:space="0"/>
              <w:right w:val="single" w:color="auto" w:sz="4" w:space="0"/>
            </w:tcBorders>
            <w:vAlign w:val="center"/>
          </w:tcPr>
          <w:p w14:paraId="0592F3E4">
            <w:pPr>
              <w:widowControl/>
              <w:jc w:val="center"/>
              <w:rPr>
                <w:kern w:val="0"/>
                <w:sz w:val="24"/>
              </w:rPr>
            </w:pPr>
            <w:r>
              <w:rPr>
                <w:rFonts w:hint="eastAsia" w:ascii="仿宋_GB2312" w:eastAsia="仿宋_GB2312"/>
                <w:kern w:val="0"/>
                <w:sz w:val="24"/>
              </w:rPr>
              <w:t>社会效益</w:t>
            </w:r>
            <w:r>
              <w:rPr>
                <w:kern w:val="0"/>
                <w:sz w:val="24"/>
              </w:rPr>
              <w:br w:type="textWrapping"/>
            </w:r>
            <w:r>
              <w:rPr>
                <w:rFonts w:hint="eastAsia" w:ascii="仿宋_GB2312" w:eastAsia="仿宋_GB2312"/>
                <w:kern w:val="0"/>
                <w:sz w:val="24"/>
              </w:rPr>
              <w:t>指标</w:t>
            </w:r>
          </w:p>
        </w:tc>
        <w:tc>
          <w:tcPr>
            <w:tcW w:w="2900" w:type="dxa"/>
            <w:tcBorders>
              <w:top w:val="nil"/>
              <w:left w:val="nil"/>
              <w:bottom w:val="single" w:color="auto" w:sz="4" w:space="0"/>
              <w:right w:val="single" w:color="auto" w:sz="4" w:space="0"/>
            </w:tcBorders>
            <w:vAlign w:val="center"/>
          </w:tcPr>
          <w:p w14:paraId="25A68A57">
            <w:pPr>
              <w:widowControl/>
              <w:jc w:val="center"/>
              <w:rPr>
                <w:kern w:val="0"/>
                <w:sz w:val="24"/>
              </w:rPr>
            </w:pPr>
            <w:r>
              <w:rPr>
                <w:rFonts w:hint="eastAsia" w:ascii="仿宋_GB2312" w:eastAsia="仿宋_GB2312"/>
                <w:kern w:val="0"/>
                <w:sz w:val="24"/>
              </w:rPr>
              <w:t>征地系统</w:t>
            </w:r>
            <w:r>
              <w:rPr>
                <w:kern w:val="0"/>
                <w:sz w:val="24"/>
              </w:rPr>
              <w:t>“</w:t>
            </w:r>
            <w:r>
              <w:rPr>
                <w:rFonts w:hint="eastAsia" w:ascii="仿宋_GB2312" w:eastAsia="仿宋_GB2312"/>
                <w:kern w:val="0"/>
                <w:sz w:val="24"/>
              </w:rPr>
              <w:t>一张图</w:t>
            </w:r>
            <w:r>
              <w:rPr>
                <w:kern w:val="0"/>
                <w:sz w:val="24"/>
              </w:rPr>
              <w:t>”</w:t>
            </w:r>
            <w:r>
              <w:rPr>
                <w:rFonts w:hint="eastAsia" w:ascii="仿宋_GB2312" w:eastAsia="仿宋_GB2312"/>
                <w:kern w:val="0"/>
                <w:sz w:val="24"/>
              </w:rPr>
              <w:t>管理实现率</w:t>
            </w:r>
          </w:p>
        </w:tc>
        <w:tc>
          <w:tcPr>
            <w:tcW w:w="4240" w:type="dxa"/>
            <w:tcBorders>
              <w:top w:val="single" w:color="auto" w:sz="4" w:space="0"/>
              <w:left w:val="nil"/>
              <w:bottom w:val="single" w:color="auto" w:sz="4" w:space="0"/>
              <w:right w:val="single" w:color="auto" w:sz="4" w:space="0"/>
            </w:tcBorders>
            <w:vAlign w:val="center"/>
          </w:tcPr>
          <w:p w14:paraId="3D22E492">
            <w:pPr>
              <w:widowControl/>
              <w:jc w:val="center"/>
              <w:rPr>
                <w:kern w:val="0"/>
                <w:sz w:val="24"/>
              </w:rPr>
            </w:pPr>
            <w:r>
              <w:rPr>
                <w:rFonts w:hint="eastAsia" w:ascii="仿宋_GB2312" w:eastAsia="仿宋_GB2312"/>
                <w:kern w:val="0"/>
                <w:sz w:val="24"/>
              </w:rPr>
              <w:t>实现率</w:t>
            </w:r>
            <w:r>
              <w:rPr>
                <w:kern w:val="0"/>
                <w:sz w:val="24"/>
              </w:rPr>
              <w:t>≥95%</w:t>
            </w:r>
          </w:p>
        </w:tc>
      </w:tr>
      <w:tr w14:paraId="2CBD9238">
        <w:tblPrEx>
          <w:tblCellMar>
            <w:top w:w="0" w:type="dxa"/>
            <w:left w:w="108" w:type="dxa"/>
            <w:bottom w:w="0" w:type="dxa"/>
            <w:right w:w="108" w:type="dxa"/>
          </w:tblCellMar>
        </w:tblPrEx>
        <w:trPr>
          <w:trHeight w:val="85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43C7D8">
            <w:pPr>
              <w:widowControl/>
              <w:jc w:val="left"/>
              <w:rPr>
                <w:kern w:val="0"/>
                <w:sz w:val="24"/>
              </w:rPr>
            </w:pPr>
          </w:p>
        </w:tc>
        <w:tc>
          <w:tcPr>
            <w:tcW w:w="760" w:type="dxa"/>
            <w:tcBorders>
              <w:top w:val="nil"/>
              <w:left w:val="nil"/>
              <w:bottom w:val="single" w:color="auto" w:sz="4" w:space="0"/>
              <w:right w:val="single" w:color="auto" w:sz="4" w:space="0"/>
            </w:tcBorders>
            <w:vAlign w:val="center"/>
          </w:tcPr>
          <w:p w14:paraId="460228BD">
            <w:pPr>
              <w:widowControl/>
              <w:jc w:val="center"/>
              <w:rPr>
                <w:rFonts w:ascii="仿宋_GB2312" w:hAnsi="宋体" w:eastAsia="仿宋_GB2312" w:cs="宋体"/>
                <w:kern w:val="0"/>
                <w:sz w:val="24"/>
              </w:rPr>
            </w:pPr>
            <w:r>
              <w:rPr>
                <w:rFonts w:hint="eastAsia" w:ascii="仿宋_GB2312" w:hAnsi="宋体" w:eastAsia="仿宋_GB2312" w:cs="宋体"/>
                <w:kern w:val="0"/>
                <w:sz w:val="24"/>
              </w:rPr>
              <w:t>满意度指标</w:t>
            </w:r>
          </w:p>
        </w:tc>
        <w:tc>
          <w:tcPr>
            <w:tcW w:w="700" w:type="dxa"/>
            <w:tcBorders>
              <w:top w:val="nil"/>
              <w:left w:val="nil"/>
              <w:bottom w:val="single" w:color="auto" w:sz="4" w:space="0"/>
              <w:right w:val="single" w:color="auto" w:sz="4" w:space="0"/>
            </w:tcBorders>
            <w:vAlign w:val="center"/>
          </w:tcPr>
          <w:p w14:paraId="503D4619">
            <w:pPr>
              <w:widowControl/>
              <w:jc w:val="center"/>
              <w:rPr>
                <w:kern w:val="0"/>
                <w:sz w:val="24"/>
              </w:rPr>
            </w:pPr>
            <w:r>
              <w:rPr>
                <w:rFonts w:hint="eastAsia" w:ascii="仿宋_GB2312" w:eastAsia="仿宋_GB2312"/>
                <w:kern w:val="0"/>
                <w:sz w:val="24"/>
              </w:rPr>
              <w:t>满意度指标</w:t>
            </w:r>
          </w:p>
        </w:tc>
        <w:tc>
          <w:tcPr>
            <w:tcW w:w="2900" w:type="dxa"/>
            <w:tcBorders>
              <w:top w:val="nil"/>
              <w:left w:val="nil"/>
              <w:bottom w:val="single" w:color="auto" w:sz="4" w:space="0"/>
              <w:right w:val="single" w:color="auto" w:sz="4" w:space="0"/>
            </w:tcBorders>
            <w:vAlign w:val="center"/>
          </w:tcPr>
          <w:p w14:paraId="363D060E">
            <w:pPr>
              <w:widowControl/>
              <w:jc w:val="center"/>
              <w:rPr>
                <w:rFonts w:ascii="仿宋_GB2312" w:hAnsi="宋体" w:eastAsia="仿宋_GB2312" w:cs="宋体"/>
                <w:kern w:val="0"/>
                <w:sz w:val="24"/>
              </w:rPr>
            </w:pPr>
            <w:r>
              <w:rPr>
                <w:rFonts w:hint="eastAsia" w:ascii="仿宋_GB2312" w:hAnsi="宋体" w:eastAsia="仿宋_GB2312" w:cs="宋体"/>
                <w:kern w:val="0"/>
                <w:sz w:val="24"/>
              </w:rPr>
              <w:t>征收中心及涉及征地系统建设乡镇满意度</w:t>
            </w:r>
          </w:p>
        </w:tc>
        <w:tc>
          <w:tcPr>
            <w:tcW w:w="4240" w:type="dxa"/>
            <w:tcBorders>
              <w:top w:val="single" w:color="auto" w:sz="4" w:space="0"/>
              <w:left w:val="nil"/>
              <w:bottom w:val="single" w:color="auto" w:sz="4" w:space="0"/>
              <w:right w:val="single" w:color="auto" w:sz="4" w:space="0"/>
            </w:tcBorders>
            <w:vAlign w:val="center"/>
          </w:tcPr>
          <w:p w14:paraId="4A7060B7">
            <w:pPr>
              <w:widowControl/>
              <w:jc w:val="center"/>
              <w:rPr>
                <w:rFonts w:ascii="仿宋_GB2312" w:hAnsi="宋体" w:eastAsia="仿宋_GB2312" w:cs="宋体"/>
                <w:kern w:val="0"/>
                <w:sz w:val="24"/>
              </w:rPr>
            </w:pPr>
            <w:r>
              <w:rPr>
                <w:rFonts w:hint="eastAsia" w:ascii="仿宋_GB2312" w:hAnsi="宋体" w:eastAsia="仿宋_GB2312" w:cs="宋体"/>
                <w:kern w:val="0"/>
                <w:sz w:val="24"/>
              </w:rPr>
              <w:t>满意度≥95%</w:t>
            </w:r>
          </w:p>
        </w:tc>
      </w:tr>
    </w:tbl>
    <w:p w14:paraId="72B83F72">
      <w:pPr>
        <w:adjustRightInd w:val="0"/>
        <w:snapToGrid w:val="0"/>
        <w:spacing w:line="600" w:lineRule="exact"/>
        <w:ind w:firstLine="640" w:firstLineChars="200"/>
        <w:rPr>
          <w:rFonts w:eastAsia="仿宋_GB2312"/>
          <w:sz w:val="32"/>
          <w:szCs w:val="32"/>
          <w:lang w:val="zh-CN"/>
        </w:rPr>
      </w:pPr>
      <w:r>
        <w:rPr>
          <w:rFonts w:hint="eastAsia" w:ascii="仿宋_GB2312" w:eastAsia="仿宋_GB2312"/>
          <w:sz w:val="32"/>
          <w:szCs w:val="32"/>
          <w:lang w:val="zh-CN"/>
        </w:rPr>
        <w:t>3.</w:t>
      </w:r>
      <w:r>
        <w:rPr>
          <w:rFonts w:hint="eastAsia" w:eastAsia="仿宋_GB2312"/>
          <w:sz w:val="32"/>
          <w:szCs w:val="32"/>
          <w:lang w:val="zh-CN"/>
        </w:rPr>
        <w:t>分析评价申报内容是否与实际相符，申报目标是否合理可行。</w:t>
      </w:r>
    </w:p>
    <w:p w14:paraId="035CAC75">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申报内容与实际相符，申报目标合理可行。</w:t>
      </w:r>
    </w:p>
    <w:p w14:paraId="3F4CCCE9">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4.项目自评步骤及方法。</w:t>
      </w:r>
    </w:p>
    <w:p w14:paraId="31BCE646">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首先由业务股室经办人员、财务人员共同草拟自评报告，分别报分管领导、主要领导审阅后再报送。我单位自评分数为</w:t>
      </w:r>
      <w:r>
        <w:rPr>
          <w:rFonts w:eastAsia="仿宋_GB2312"/>
          <w:sz w:val="32"/>
          <w:szCs w:val="32"/>
          <w:lang w:val="zh-CN"/>
        </w:rPr>
        <w:t>95</w:t>
      </w:r>
      <w:r>
        <w:rPr>
          <w:rFonts w:hint="eastAsia" w:eastAsia="仿宋_GB2312"/>
          <w:sz w:val="32"/>
          <w:szCs w:val="32"/>
          <w:lang w:val="zh-CN"/>
        </w:rPr>
        <w:t>分。</w:t>
      </w:r>
    </w:p>
    <w:p w14:paraId="60AB79DE">
      <w:pPr>
        <w:adjustRightInd w:val="0"/>
        <w:snapToGrid w:val="0"/>
        <w:spacing w:line="578" w:lineRule="exact"/>
        <w:ind w:firstLine="640" w:firstLineChars="200"/>
        <w:rPr>
          <w:rFonts w:ascii="黑体" w:hAnsi="宋体" w:eastAsia="黑体"/>
          <w:sz w:val="32"/>
          <w:szCs w:val="32"/>
        </w:rPr>
      </w:pPr>
      <w:r>
        <w:rPr>
          <w:rFonts w:hint="eastAsia" w:ascii="黑体" w:hAnsi="宋体" w:eastAsia="黑体"/>
          <w:sz w:val="32"/>
          <w:szCs w:val="32"/>
        </w:rPr>
        <w:t>二、评价实施</w:t>
      </w:r>
    </w:p>
    <w:p w14:paraId="38E41075">
      <w:pPr>
        <w:spacing w:line="578" w:lineRule="exact"/>
        <w:ind w:firstLine="640"/>
        <w:rPr>
          <w:rFonts w:ascii="仿宋_GB2312" w:hAnsi="仿宋_GB2312" w:eastAsia="仿宋_GB2312" w:cs="仿宋_GB2312"/>
          <w:kern w:val="0"/>
          <w:sz w:val="32"/>
          <w:szCs w:val="32"/>
          <w:lang w:val="zh-CN"/>
        </w:rPr>
      </w:pPr>
      <w:r>
        <w:rPr>
          <w:rFonts w:hint="eastAsia" w:ascii="楷体_GB2312" w:hAnsi="宋体" w:eastAsia="楷体_GB2312"/>
          <w:b/>
          <w:sz w:val="32"/>
          <w:szCs w:val="32"/>
          <w:lang w:val="zh-CN"/>
        </w:rPr>
        <w:t>（一）评价目的。</w:t>
      </w:r>
      <w:bookmarkStart w:id="90" w:name="OLE_LINK43"/>
      <w:bookmarkStart w:id="91" w:name="OLE_LINK42"/>
      <w:r>
        <w:rPr>
          <w:rFonts w:hint="eastAsia" w:ascii="仿宋_GB2312" w:hAnsi="仿宋_GB2312" w:eastAsia="仿宋_GB2312" w:cs="仿宋_GB2312"/>
          <w:kern w:val="0"/>
          <w:sz w:val="32"/>
          <w:szCs w:val="32"/>
          <w:lang w:val="zh-CN"/>
        </w:rPr>
        <w:t>通过项目绩效自评</w:t>
      </w:r>
      <w:bookmarkEnd w:id="90"/>
      <w:bookmarkEnd w:id="91"/>
      <w:r>
        <w:rPr>
          <w:rFonts w:hint="eastAsia" w:ascii="仿宋_GB2312" w:hAnsi="仿宋_GB2312" w:eastAsia="仿宋_GB2312" w:cs="仿宋_GB2312"/>
          <w:kern w:val="0"/>
          <w:sz w:val="32"/>
          <w:szCs w:val="32"/>
          <w:lang w:val="zh-CN"/>
        </w:rPr>
        <w:t>对项目实施进度进行监督，及时掌握项目建设情况，确保按时按质完成项目建设。</w:t>
      </w:r>
    </w:p>
    <w:p w14:paraId="72CEA3D3">
      <w:pPr>
        <w:adjustRightInd w:val="0"/>
        <w:snapToGrid w:val="0"/>
        <w:spacing w:line="578" w:lineRule="exact"/>
        <w:ind w:firstLine="643" w:firstLineChars="200"/>
        <w:rPr>
          <w:rFonts w:ascii="仿宋_GB2312" w:hAnsi="仿宋_GB2312" w:eastAsia="仿宋_GB2312" w:cs="仿宋_GB2312"/>
          <w:kern w:val="0"/>
          <w:sz w:val="32"/>
          <w:szCs w:val="32"/>
          <w:lang w:val="zh-CN"/>
        </w:rPr>
      </w:pPr>
      <w:r>
        <w:rPr>
          <w:rFonts w:hint="eastAsia" w:ascii="楷体_GB2312" w:hAnsi="宋体" w:eastAsia="楷体_GB2312"/>
          <w:b/>
          <w:sz w:val="32"/>
          <w:szCs w:val="32"/>
          <w:lang w:val="zh-CN"/>
        </w:rPr>
        <w:t>（二）预设问题及评价重点。</w:t>
      </w:r>
      <w:r>
        <w:rPr>
          <w:rFonts w:hint="eastAsia" w:ascii="仿宋_GB2312" w:hAnsi="仿宋_GB2312" w:eastAsia="仿宋_GB2312" w:cs="仿宋_GB2312"/>
          <w:kern w:val="0"/>
          <w:sz w:val="32"/>
          <w:szCs w:val="32"/>
          <w:lang w:val="zh-CN"/>
        </w:rPr>
        <w:t>项目实际完成情况与预期绩效目标偏离度低，年初下达资金160万元，项目涉及资金159.5万元，截至2023年12月31日完成项目资金支付151.53万元，剩余7.95万元为项目质保金因项目验收整改未完成支付。项目实施整体效果良好，顺利推进了县集体土地征收智能信息管理系统建设保障征地拆迁工作支出，有效解决征地拆迁不准确数据。</w:t>
      </w:r>
    </w:p>
    <w:p w14:paraId="22713EAC">
      <w:pPr>
        <w:spacing w:line="600" w:lineRule="exact"/>
        <w:ind w:firstLine="640" w:firstLineChars="200"/>
        <w:textAlignment w:val="baseline"/>
        <w:rPr>
          <w:rFonts w:ascii="仿宋_GB2312" w:eastAsia="仿宋_GB2312"/>
          <w:sz w:val="32"/>
          <w:szCs w:val="32"/>
        </w:rPr>
      </w:pPr>
      <w:r>
        <w:rPr>
          <w:rFonts w:hint="eastAsia" w:ascii="仿宋_GB2312" w:hAnsi="宋体" w:eastAsia="仿宋_GB2312"/>
          <w:sz w:val="32"/>
          <w:szCs w:val="32"/>
          <w:lang w:val="zh-CN"/>
        </w:rPr>
        <w:t>（三）评价选点。</w:t>
      </w:r>
      <w:r>
        <w:rPr>
          <w:rFonts w:hint="eastAsia" w:ascii="仿宋_GB2312" w:eastAsia="仿宋_GB2312"/>
          <w:sz w:val="32"/>
          <w:szCs w:val="32"/>
        </w:rPr>
        <w:t>米易县集体土地征收补偿安置中心及攀莲镇、草场镇、撒莲镇、丙谷镇、湾丘乡、白马镇、新山乡等七个乡镇。</w:t>
      </w:r>
    </w:p>
    <w:p w14:paraId="34527768">
      <w:pPr>
        <w:widowControl/>
        <w:shd w:val="clear" w:color="auto" w:fill="FFFFFF"/>
        <w:ind w:firstLine="480"/>
        <w:jc w:val="left"/>
        <w:rPr>
          <w:rFonts w:ascii="仿宋_GB2312" w:hAnsi="Calibri" w:eastAsia="仿宋_GB2312"/>
          <w:sz w:val="32"/>
          <w:szCs w:val="32"/>
          <w:lang w:val="zh-CN"/>
        </w:rPr>
      </w:pPr>
      <w:r>
        <w:rPr>
          <w:rFonts w:hint="eastAsia" w:ascii="仿宋_GB2312" w:hAnsi="宋体" w:eastAsia="仿宋_GB2312"/>
          <w:sz w:val="32"/>
          <w:szCs w:val="32"/>
          <w:lang w:val="zh-CN"/>
        </w:rPr>
        <w:t>（四）评价方法。采用</w:t>
      </w:r>
      <w:r>
        <w:rPr>
          <w:rFonts w:hint="eastAsia" w:ascii="仿宋_GB2312" w:hAnsi="仿宋_GB2312" w:eastAsia="仿宋_GB2312" w:cs="仿宋_GB2312"/>
          <w:kern w:val="0"/>
          <w:sz w:val="32"/>
          <w:szCs w:val="32"/>
          <w:lang w:val="zh-CN"/>
        </w:rPr>
        <w:t>单位自评法、实地勘察法，</w:t>
      </w:r>
      <w:bookmarkStart w:id="92" w:name="OLE_LINK53"/>
      <w:r>
        <w:rPr>
          <w:rFonts w:hint="eastAsia" w:ascii="仿宋_GB2312" w:eastAsia="仿宋_GB2312"/>
          <w:sz w:val="32"/>
          <w:szCs w:val="32"/>
          <w:lang w:val="zh-CN"/>
        </w:rPr>
        <w:t>业务股室组织人员进行系统建设进程及运行情况，并下沉涉及乡镇进行系统运行指导。</w:t>
      </w:r>
      <w:bookmarkEnd w:id="92"/>
    </w:p>
    <w:p w14:paraId="7B10864C">
      <w:pPr>
        <w:spacing w:line="578" w:lineRule="exact"/>
        <w:ind w:firstLine="640"/>
        <w:rPr>
          <w:rFonts w:eastAsia="仿宋_GB2312"/>
          <w:bCs/>
        </w:rPr>
      </w:pPr>
      <w:r>
        <w:rPr>
          <w:rFonts w:hint="eastAsia" w:ascii="仿宋_GB2312" w:hAnsi="宋体" w:eastAsia="仿宋_GB2312"/>
          <w:sz w:val="32"/>
          <w:szCs w:val="32"/>
          <w:lang w:val="zh-CN"/>
        </w:rPr>
        <w:t>（五）评价组织。评价组由中心主任为组长、分管领导为副组长，业务股长及工作人员为成员组成</w:t>
      </w:r>
      <w:r>
        <w:rPr>
          <w:rFonts w:hint="eastAsia" w:ascii="仿宋_GB2312" w:hAnsi="仿宋_GB2312" w:eastAsia="仿宋_GB2312" w:cs="仿宋_GB2312"/>
          <w:kern w:val="0"/>
          <w:sz w:val="32"/>
          <w:szCs w:val="32"/>
          <w:lang w:val="zh-CN"/>
        </w:rPr>
        <w:t>评价组，</w:t>
      </w:r>
      <w:r>
        <w:rPr>
          <w:rFonts w:hint="eastAsia" w:ascii="仿宋_GB2312" w:eastAsia="仿宋_GB2312"/>
          <w:kern w:val="0"/>
          <w:sz w:val="32"/>
          <w:szCs w:val="32"/>
          <w:lang w:val="zh-CN"/>
        </w:rPr>
        <w:t>业务股室组织人员进行系统建设进程及运行情况，并下沉涉及乡镇进行系统运行指导。</w:t>
      </w:r>
    </w:p>
    <w:p w14:paraId="475EA2B7">
      <w:pPr>
        <w:tabs>
          <w:tab w:val="left" w:pos="420"/>
          <w:tab w:val="left" w:pos="840"/>
          <w:tab w:val="left" w:pos="1260"/>
          <w:tab w:val="left" w:pos="1680"/>
          <w:tab w:val="left" w:pos="2100"/>
          <w:tab w:val="left" w:pos="2520"/>
          <w:tab w:val="left" w:pos="2940"/>
          <w:tab w:val="left" w:pos="5205"/>
        </w:tabs>
        <w:adjustRightInd w:val="0"/>
        <w:snapToGrid w:val="0"/>
        <w:spacing w:line="578" w:lineRule="exact"/>
        <w:ind w:firstLine="640" w:firstLineChars="200"/>
        <w:rPr>
          <w:rFonts w:ascii="仿宋_GB2312" w:hAnsi="宋体"/>
          <w:sz w:val="32"/>
          <w:szCs w:val="32"/>
          <w:lang w:val="zh-CN"/>
        </w:rPr>
      </w:pPr>
      <w:r>
        <w:rPr>
          <w:rFonts w:hint="eastAsia" w:ascii="黑体" w:hAnsi="宋体" w:eastAsia="黑体"/>
          <w:sz w:val="32"/>
          <w:szCs w:val="32"/>
        </w:rPr>
        <w:t>三、绩效分析</w:t>
      </w:r>
      <w:r>
        <w:rPr>
          <w:rFonts w:hint="eastAsia" w:ascii="仿宋_GB2312" w:hAnsi="宋体"/>
          <w:sz w:val="32"/>
          <w:szCs w:val="32"/>
          <w:lang w:val="zh-CN"/>
        </w:rPr>
        <w:tab/>
      </w:r>
      <w:r>
        <w:rPr>
          <w:rFonts w:ascii="仿宋_GB2312" w:hAnsi="宋体"/>
          <w:sz w:val="32"/>
          <w:szCs w:val="32"/>
          <w:lang w:val="zh-CN"/>
        </w:rPr>
        <w:tab/>
      </w:r>
    </w:p>
    <w:tbl>
      <w:tblPr>
        <w:tblStyle w:val="17"/>
        <w:tblW w:w="8640" w:type="dxa"/>
        <w:tblInd w:w="93" w:type="dxa"/>
        <w:tblLayout w:type="autofit"/>
        <w:tblCellMar>
          <w:top w:w="0" w:type="dxa"/>
          <w:left w:w="108" w:type="dxa"/>
          <w:bottom w:w="0" w:type="dxa"/>
          <w:right w:w="108" w:type="dxa"/>
        </w:tblCellMar>
      </w:tblPr>
      <w:tblGrid>
        <w:gridCol w:w="1031"/>
        <w:gridCol w:w="1031"/>
        <w:gridCol w:w="1031"/>
        <w:gridCol w:w="1037"/>
        <w:gridCol w:w="1051"/>
        <w:gridCol w:w="1056"/>
        <w:gridCol w:w="1053"/>
        <w:gridCol w:w="1350"/>
      </w:tblGrid>
      <w:tr w14:paraId="5B006FE0">
        <w:tblPrEx>
          <w:tblCellMar>
            <w:top w:w="0" w:type="dxa"/>
            <w:left w:w="108" w:type="dxa"/>
            <w:bottom w:w="0" w:type="dxa"/>
            <w:right w:w="108" w:type="dxa"/>
          </w:tblCellMar>
        </w:tblPrEx>
        <w:trPr>
          <w:trHeight w:val="855" w:hRule="atLeast"/>
        </w:trPr>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C31625">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1031" w:type="dxa"/>
            <w:tcBorders>
              <w:top w:val="single" w:color="auto" w:sz="4" w:space="0"/>
              <w:left w:val="nil"/>
              <w:bottom w:val="nil"/>
              <w:right w:val="single" w:color="auto" w:sz="4" w:space="0"/>
            </w:tcBorders>
            <w:shd w:val="clear" w:color="auto" w:fill="auto"/>
            <w:vAlign w:val="center"/>
          </w:tcPr>
          <w:p w14:paraId="1B1A2381">
            <w:pPr>
              <w:widowControl/>
              <w:jc w:val="center"/>
              <w:rPr>
                <w:rFonts w:ascii="宋体" w:hAnsi="宋体" w:cs="宋体"/>
                <w:kern w:val="0"/>
                <w:sz w:val="24"/>
              </w:rPr>
            </w:pPr>
            <w:r>
              <w:rPr>
                <w:rFonts w:hint="eastAsia" w:ascii="宋体" w:hAnsi="宋体" w:cs="宋体"/>
                <w:kern w:val="0"/>
                <w:sz w:val="24"/>
              </w:rPr>
              <w:t>一级指标</w:t>
            </w:r>
          </w:p>
        </w:tc>
        <w:tc>
          <w:tcPr>
            <w:tcW w:w="1031" w:type="dxa"/>
            <w:tcBorders>
              <w:top w:val="single" w:color="auto" w:sz="4" w:space="0"/>
              <w:left w:val="nil"/>
              <w:bottom w:val="single" w:color="auto" w:sz="4" w:space="0"/>
              <w:right w:val="single" w:color="auto" w:sz="4" w:space="0"/>
            </w:tcBorders>
            <w:shd w:val="clear" w:color="auto" w:fill="auto"/>
            <w:vAlign w:val="center"/>
          </w:tcPr>
          <w:p w14:paraId="42DC0799">
            <w:pPr>
              <w:widowControl/>
              <w:jc w:val="center"/>
              <w:rPr>
                <w:rFonts w:ascii="宋体" w:hAnsi="宋体" w:cs="宋体"/>
                <w:kern w:val="0"/>
                <w:sz w:val="24"/>
              </w:rPr>
            </w:pPr>
            <w:r>
              <w:rPr>
                <w:rFonts w:hint="eastAsia" w:ascii="宋体" w:hAnsi="宋体" w:cs="宋体"/>
                <w:kern w:val="0"/>
                <w:sz w:val="24"/>
              </w:rPr>
              <w:t>二级指标</w:t>
            </w:r>
          </w:p>
        </w:tc>
        <w:tc>
          <w:tcPr>
            <w:tcW w:w="1037" w:type="dxa"/>
            <w:tcBorders>
              <w:top w:val="single" w:color="auto" w:sz="4" w:space="0"/>
              <w:left w:val="nil"/>
              <w:bottom w:val="single" w:color="auto" w:sz="4" w:space="0"/>
              <w:right w:val="single" w:color="auto" w:sz="4" w:space="0"/>
            </w:tcBorders>
            <w:shd w:val="clear" w:color="auto" w:fill="auto"/>
            <w:vAlign w:val="center"/>
          </w:tcPr>
          <w:p w14:paraId="2A20F18B">
            <w:pPr>
              <w:widowControl/>
              <w:jc w:val="center"/>
              <w:rPr>
                <w:rFonts w:ascii="宋体" w:hAnsi="宋体" w:cs="宋体"/>
                <w:kern w:val="0"/>
                <w:sz w:val="24"/>
              </w:rPr>
            </w:pPr>
            <w:r>
              <w:rPr>
                <w:rFonts w:hint="eastAsia" w:ascii="宋体" w:hAnsi="宋体" w:cs="宋体"/>
                <w:kern w:val="0"/>
                <w:sz w:val="24"/>
              </w:rPr>
              <w:t>三级指标</w:t>
            </w:r>
          </w:p>
        </w:tc>
        <w:tc>
          <w:tcPr>
            <w:tcW w:w="1051" w:type="dxa"/>
            <w:tcBorders>
              <w:top w:val="single" w:color="auto" w:sz="4" w:space="0"/>
              <w:left w:val="nil"/>
              <w:bottom w:val="single" w:color="auto" w:sz="4" w:space="0"/>
              <w:right w:val="single" w:color="auto" w:sz="4" w:space="0"/>
            </w:tcBorders>
            <w:shd w:val="clear" w:color="auto" w:fill="auto"/>
            <w:vAlign w:val="center"/>
          </w:tcPr>
          <w:p w14:paraId="162064D6">
            <w:pPr>
              <w:widowControl/>
              <w:jc w:val="center"/>
              <w:rPr>
                <w:rFonts w:ascii="宋体" w:hAnsi="宋体" w:cs="宋体"/>
                <w:kern w:val="0"/>
                <w:sz w:val="24"/>
              </w:rPr>
            </w:pPr>
            <w:r>
              <w:rPr>
                <w:rFonts w:hint="eastAsia" w:ascii="宋体" w:hAnsi="宋体" w:cs="宋体"/>
                <w:kern w:val="0"/>
                <w:sz w:val="24"/>
              </w:rPr>
              <w:t>年度设定指标值</w:t>
            </w:r>
          </w:p>
        </w:tc>
        <w:tc>
          <w:tcPr>
            <w:tcW w:w="1056" w:type="dxa"/>
            <w:tcBorders>
              <w:top w:val="single" w:color="auto" w:sz="4" w:space="0"/>
              <w:left w:val="nil"/>
              <w:bottom w:val="single" w:color="auto" w:sz="4" w:space="0"/>
              <w:right w:val="single" w:color="auto" w:sz="4" w:space="0"/>
            </w:tcBorders>
            <w:shd w:val="clear" w:color="auto" w:fill="auto"/>
            <w:vAlign w:val="center"/>
          </w:tcPr>
          <w:p w14:paraId="56846A59">
            <w:pPr>
              <w:widowControl/>
              <w:jc w:val="center"/>
              <w:rPr>
                <w:rFonts w:ascii="宋体" w:hAnsi="宋体" w:cs="宋体"/>
                <w:kern w:val="0"/>
                <w:sz w:val="24"/>
              </w:rPr>
            </w:pPr>
            <w:r>
              <w:rPr>
                <w:rFonts w:hint="eastAsia" w:ascii="宋体" w:hAnsi="宋体" w:cs="宋体"/>
                <w:kern w:val="0"/>
                <w:sz w:val="24"/>
              </w:rPr>
              <w:t>实际完成值</w:t>
            </w:r>
          </w:p>
        </w:tc>
        <w:tc>
          <w:tcPr>
            <w:tcW w:w="1053" w:type="dxa"/>
            <w:tcBorders>
              <w:top w:val="single" w:color="auto" w:sz="4" w:space="0"/>
              <w:left w:val="nil"/>
              <w:bottom w:val="single" w:color="auto" w:sz="4" w:space="0"/>
              <w:right w:val="single" w:color="auto" w:sz="4" w:space="0"/>
            </w:tcBorders>
            <w:shd w:val="clear" w:color="auto" w:fill="auto"/>
            <w:vAlign w:val="center"/>
          </w:tcPr>
          <w:p w14:paraId="36AB32CF">
            <w:pPr>
              <w:widowControl/>
              <w:jc w:val="center"/>
              <w:rPr>
                <w:rFonts w:ascii="宋体" w:hAnsi="宋体" w:cs="宋体"/>
                <w:kern w:val="0"/>
                <w:sz w:val="24"/>
              </w:rPr>
            </w:pPr>
            <w:r>
              <w:rPr>
                <w:rFonts w:hint="eastAsia" w:ascii="宋体" w:hAnsi="宋体" w:cs="宋体"/>
                <w:kern w:val="0"/>
                <w:sz w:val="24"/>
              </w:rPr>
              <w:t>完成率（%）</w:t>
            </w:r>
          </w:p>
        </w:tc>
        <w:tc>
          <w:tcPr>
            <w:tcW w:w="1350" w:type="dxa"/>
            <w:tcBorders>
              <w:top w:val="single" w:color="auto" w:sz="4" w:space="0"/>
              <w:left w:val="nil"/>
              <w:bottom w:val="single" w:color="auto" w:sz="4" w:space="0"/>
              <w:right w:val="single" w:color="auto" w:sz="4" w:space="0"/>
            </w:tcBorders>
            <w:shd w:val="clear" w:color="auto" w:fill="auto"/>
            <w:vAlign w:val="center"/>
          </w:tcPr>
          <w:p w14:paraId="04628567">
            <w:pPr>
              <w:widowControl/>
              <w:jc w:val="left"/>
              <w:rPr>
                <w:rFonts w:ascii="宋体" w:hAnsi="宋体" w:cs="宋体"/>
                <w:kern w:val="0"/>
                <w:sz w:val="24"/>
              </w:rPr>
            </w:pPr>
            <w:r>
              <w:rPr>
                <w:rFonts w:hint="eastAsia" w:ascii="宋体" w:hAnsi="宋体" w:cs="宋体"/>
                <w:kern w:val="0"/>
                <w:sz w:val="24"/>
              </w:rPr>
              <w:t>未完成原因和改进措施</w:t>
            </w:r>
          </w:p>
        </w:tc>
      </w:tr>
      <w:tr w14:paraId="441097A4">
        <w:tblPrEx>
          <w:tblCellMar>
            <w:top w:w="0" w:type="dxa"/>
            <w:left w:w="108" w:type="dxa"/>
            <w:bottom w:w="0" w:type="dxa"/>
            <w:right w:w="108" w:type="dxa"/>
          </w:tblCellMar>
        </w:tblPrEx>
        <w:trPr>
          <w:trHeight w:val="570"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11A66396">
            <w:pPr>
              <w:widowControl/>
              <w:jc w:val="left"/>
              <w:rPr>
                <w:rFonts w:ascii="宋体" w:hAnsi="宋体" w:cs="宋体"/>
                <w:kern w:val="0"/>
                <w:sz w:val="24"/>
              </w:rPr>
            </w:pPr>
          </w:p>
        </w:tc>
        <w:tc>
          <w:tcPr>
            <w:tcW w:w="1031" w:type="dxa"/>
            <w:vMerge w:val="restart"/>
            <w:tcBorders>
              <w:top w:val="single" w:color="000000" w:sz="4" w:space="0"/>
              <w:left w:val="nil"/>
              <w:bottom w:val="single" w:color="000000" w:sz="4" w:space="0"/>
              <w:right w:val="single" w:color="auto" w:sz="4" w:space="0"/>
            </w:tcBorders>
            <w:shd w:val="clear" w:color="auto" w:fill="auto"/>
            <w:vAlign w:val="center"/>
          </w:tcPr>
          <w:p w14:paraId="4CC6CB1B">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31" w:type="dxa"/>
            <w:vMerge w:val="restart"/>
            <w:tcBorders>
              <w:top w:val="nil"/>
              <w:left w:val="single" w:color="auto" w:sz="4" w:space="0"/>
              <w:bottom w:val="single" w:color="000000" w:sz="4" w:space="0"/>
              <w:right w:val="single" w:color="auto" w:sz="4" w:space="0"/>
            </w:tcBorders>
            <w:shd w:val="clear" w:color="auto" w:fill="auto"/>
            <w:vAlign w:val="center"/>
          </w:tcPr>
          <w:p w14:paraId="5818FDE9">
            <w:pPr>
              <w:widowControl/>
              <w:jc w:val="center"/>
              <w:rPr>
                <w:kern w:val="0"/>
                <w:sz w:val="24"/>
              </w:rPr>
            </w:pPr>
            <w:r>
              <w:rPr>
                <w:rFonts w:hint="eastAsia" w:ascii="仿宋_GB2312" w:eastAsia="仿宋_GB2312"/>
                <w:kern w:val="0"/>
                <w:sz w:val="24"/>
              </w:rPr>
              <w:t>数量指标</w:t>
            </w:r>
          </w:p>
        </w:tc>
        <w:tc>
          <w:tcPr>
            <w:tcW w:w="1037" w:type="dxa"/>
            <w:tcBorders>
              <w:top w:val="nil"/>
              <w:left w:val="nil"/>
              <w:bottom w:val="single" w:color="auto" w:sz="4" w:space="0"/>
              <w:right w:val="single" w:color="auto" w:sz="4" w:space="0"/>
            </w:tcBorders>
            <w:shd w:val="clear" w:color="auto" w:fill="auto"/>
            <w:vAlign w:val="center"/>
          </w:tcPr>
          <w:p w14:paraId="53E9856A">
            <w:pPr>
              <w:widowControl/>
              <w:jc w:val="center"/>
              <w:rPr>
                <w:rFonts w:ascii="仿宋_GB2312" w:hAnsi="宋体" w:eastAsia="仿宋_GB2312" w:cs="宋体"/>
                <w:kern w:val="0"/>
                <w:sz w:val="24"/>
              </w:rPr>
            </w:pPr>
            <w:r>
              <w:rPr>
                <w:rFonts w:hint="eastAsia" w:ascii="仿宋_GB2312" w:hAnsi="宋体" w:eastAsia="仿宋_GB2312" w:cs="宋体"/>
                <w:kern w:val="0"/>
                <w:sz w:val="24"/>
              </w:rPr>
              <w:t>身份识别阅读器</w:t>
            </w:r>
          </w:p>
        </w:tc>
        <w:tc>
          <w:tcPr>
            <w:tcW w:w="1051" w:type="dxa"/>
            <w:tcBorders>
              <w:top w:val="nil"/>
              <w:left w:val="nil"/>
              <w:bottom w:val="single" w:color="auto" w:sz="4" w:space="0"/>
              <w:right w:val="single" w:color="auto" w:sz="4" w:space="0"/>
            </w:tcBorders>
            <w:shd w:val="clear" w:color="auto" w:fill="auto"/>
            <w:vAlign w:val="center"/>
          </w:tcPr>
          <w:p w14:paraId="226758F2">
            <w:pPr>
              <w:widowControl/>
              <w:jc w:val="left"/>
              <w:rPr>
                <w:rFonts w:ascii="仿宋_GB2312" w:hAnsi="宋体" w:eastAsia="仿宋_GB2312" w:cs="宋体"/>
                <w:kern w:val="0"/>
                <w:sz w:val="24"/>
              </w:rPr>
            </w:pPr>
            <w:r>
              <w:rPr>
                <w:rFonts w:hint="eastAsia" w:ascii="仿宋_GB2312" w:hAnsi="宋体" w:eastAsia="仿宋_GB2312" w:cs="宋体"/>
                <w:kern w:val="0"/>
                <w:sz w:val="24"/>
              </w:rPr>
              <w:t>8套</w:t>
            </w:r>
          </w:p>
        </w:tc>
        <w:tc>
          <w:tcPr>
            <w:tcW w:w="1056" w:type="dxa"/>
            <w:tcBorders>
              <w:top w:val="nil"/>
              <w:left w:val="nil"/>
              <w:bottom w:val="single" w:color="auto" w:sz="4" w:space="0"/>
              <w:right w:val="single" w:color="auto" w:sz="4" w:space="0"/>
            </w:tcBorders>
            <w:shd w:val="clear" w:color="auto" w:fill="auto"/>
            <w:vAlign w:val="center"/>
          </w:tcPr>
          <w:p w14:paraId="3282A0BC">
            <w:pPr>
              <w:widowControl/>
              <w:jc w:val="left"/>
              <w:rPr>
                <w:rFonts w:ascii="仿宋_GB2312" w:hAnsi="宋体" w:eastAsia="仿宋_GB2312" w:cs="宋体"/>
                <w:kern w:val="0"/>
                <w:sz w:val="24"/>
              </w:rPr>
            </w:pPr>
            <w:r>
              <w:rPr>
                <w:rFonts w:hint="eastAsia" w:ascii="仿宋_GB2312" w:hAnsi="宋体" w:eastAsia="仿宋_GB2312" w:cs="宋体"/>
                <w:kern w:val="0"/>
                <w:sz w:val="24"/>
              </w:rPr>
              <w:t>8套</w:t>
            </w:r>
          </w:p>
        </w:tc>
        <w:tc>
          <w:tcPr>
            <w:tcW w:w="1053" w:type="dxa"/>
            <w:tcBorders>
              <w:top w:val="nil"/>
              <w:left w:val="nil"/>
              <w:bottom w:val="single" w:color="auto" w:sz="4" w:space="0"/>
              <w:right w:val="single" w:color="auto" w:sz="4" w:space="0"/>
            </w:tcBorders>
            <w:shd w:val="clear" w:color="auto" w:fill="auto"/>
            <w:vAlign w:val="center"/>
          </w:tcPr>
          <w:p w14:paraId="25F86970">
            <w:pPr>
              <w:widowControl/>
              <w:jc w:val="right"/>
              <w:rPr>
                <w:kern w:val="0"/>
                <w:sz w:val="24"/>
              </w:rPr>
            </w:pPr>
            <w:r>
              <w:rPr>
                <w:kern w:val="0"/>
                <w:sz w:val="24"/>
              </w:rPr>
              <w:t>100%</w:t>
            </w:r>
          </w:p>
        </w:tc>
        <w:tc>
          <w:tcPr>
            <w:tcW w:w="1350" w:type="dxa"/>
            <w:tcBorders>
              <w:top w:val="nil"/>
              <w:left w:val="nil"/>
              <w:bottom w:val="single" w:color="000000" w:sz="4" w:space="0"/>
              <w:right w:val="single" w:color="000000" w:sz="4" w:space="0"/>
            </w:tcBorders>
            <w:shd w:val="clear" w:color="auto" w:fill="auto"/>
            <w:vAlign w:val="center"/>
          </w:tcPr>
          <w:p w14:paraId="256FF607">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3D4961AB">
        <w:tblPrEx>
          <w:tblCellMar>
            <w:top w:w="0" w:type="dxa"/>
            <w:left w:w="108" w:type="dxa"/>
            <w:bottom w:w="0" w:type="dxa"/>
            <w:right w:w="108" w:type="dxa"/>
          </w:tblCellMar>
        </w:tblPrEx>
        <w:trPr>
          <w:trHeight w:val="315"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54CB4CD1">
            <w:pPr>
              <w:widowControl/>
              <w:jc w:val="left"/>
              <w:rPr>
                <w:rFonts w:ascii="宋体" w:hAnsi="宋体" w:cs="宋体"/>
                <w:kern w:val="0"/>
                <w:sz w:val="24"/>
              </w:rPr>
            </w:pPr>
          </w:p>
        </w:tc>
        <w:tc>
          <w:tcPr>
            <w:tcW w:w="1031" w:type="dxa"/>
            <w:vMerge w:val="continue"/>
            <w:tcBorders>
              <w:top w:val="single" w:color="000000" w:sz="4" w:space="0"/>
              <w:left w:val="nil"/>
              <w:bottom w:val="single" w:color="000000" w:sz="4" w:space="0"/>
              <w:right w:val="single" w:color="auto" w:sz="4" w:space="0"/>
            </w:tcBorders>
            <w:vAlign w:val="center"/>
          </w:tcPr>
          <w:p w14:paraId="356BA64D">
            <w:pPr>
              <w:widowControl/>
              <w:jc w:val="left"/>
              <w:rPr>
                <w:rFonts w:ascii="宋体" w:hAnsi="宋体" w:cs="宋体"/>
                <w:kern w:val="0"/>
                <w:sz w:val="18"/>
                <w:szCs w:val="18"/>
              </w:rPr>
            </w:pPr>
          </w:p>
        </w:tc>
        <w:tc>
          <w:tcPr>
            <w:tcW w:w="1031" w:type="dxa"/>
            <w:vMerge w:val="continue"/>
            <w:tcBorders>
              <w:top w:val="nil"/>
              <w:left w:val="single" w:color="auto" w:sz="4" w:space="0"/>
              <w:bottom w:val="single" w:color="000000" w:sz="4" w:space="0"/>
              <w:right w:val="single" w:color="auto" w:sz="4" w:space="0"/>
            </w:tcBorders>
            <w:vAlign w:val="center"/>
          </w:tcPr>
          <w:p w14:paraId="7F4D29E3">
            <w:pPr>
              <w:widowControl/>
              <w:jc w:val="left"/>
              <w:rPr>
                <w:kern w:val="0"/>
                <w:sz w:val="24"/>
              </w:rPr>
            </w:pPr>
          </w:p>
        </w:tc>
        <w:tc>
          <w:tcPr>
            <w:tcW w:w="1037" w:type="dxa"/>
            <w:tcBorders>
              <w:top w:val="nil"/>
              <w:left w:val="nil"/>
              <w:bottom w:val="single" w:color="auto" w:sz="4" w:space="0"/>
              <w:right w:val="single" w:color="auto" w:sz="4" w:space="0"/>
            </w:tcBorders>
            <w:shd w:val="clear" w:color="auto" w:fill="auto"/>
            <w:vAlign w:val="center"/>
          </w:tcPr>
          <w:p w14:paraId="36FD2A6D">
            <w:pPr>
              <w:widowControl/>
              <w:jc w:val="center"/>
              <w:rPr>
                <w:rFonts w:ascii="仿宋_GB2312" w:hAnsi="宋体" w:eastAsia="仿宋_GB2312" w:cs="宋体"/>
                <w:kern w:val="0"/>
                <w:sz w:val="24"/>
              </w:rPr>
            </w:pPr>
            <w:r>
              <w:rPr>
                <w:rFonts w:hint="eastAsia" w:ascii="仿宋_GB2312" w:hAnsi="宋体" w:eastAsia="仿宋_GB2312" w:cs="宋体"/>
                <w:kern w:val="0"/>
                <w:sz w:val="24"/>
              </w:rPr>
              <w:t>高拍仪</w:t>
            </w:r>
          </w:p>
        </w:tc>
        <w:tc>
          <w:tcPr>
            <w:tcW w:w="1051" w:type="dxa"/>
            <w:tcBorders>
              <w:top w:val="nil"/>
              <w:left w:val="nil"/>
              <w:bottom w:val="single" w:color="auto" w:sz="4" w:space="0"/>
              <w:right w:val="single" w:color="auto" w:sz="4" w:space="0"/>
            </w:tcBorders>
            <w:shd w:val="clear" w:color="auto" w:fill="auto"/>
            <w:vAlign w:val="center"/>
          </w:tcPr>
          <w:p w14:paraId="6763FBA5">
            <w:pPr>
              <w:widowControl/>
              <w:jc w:val="left"/>
              <w:rPr>
                <w:kern w:val="0"/>
                <w:sz w:val="24"/>
              </w:rPr>
            </w:pPr>
            <w:r>
              <w:rPr>
                <w:kern w:val="0"/>
                <w:sz w:val="24"/>
              </w:rPr>
              <w:t>8</w:t>
            </w:r>
            <w:r>
              <w:rPr>
                <w:rFonts w:hint="eastAsia" w:ascii="宋体" w:hAnsi="宋体"/>
                <w:kern w:val="0"/>
                <w:sz w:val="24"/>
              </w:rPr>
              <w:t>套</w:t>
            </w:r>
          </w:p>
        </w:tc>
        <w:tc>
          <w:tcPr>
            <w:tcW w:w="1056" w:type="dxa"/>
            <w:tcBorders>
              <w:top w:val="nil"/>
              <w:left w:val="nil"/>
              <w:bottom w:val="single" w:color="auto" w:sz="4" w:space="0"/>
              <w:right w:val="single" w:color="auto" w:sz="4" w:space="0"/>
            </w:tcBorders>
            <w:shd w:val="clear" w:color="auto" w:fill="auto"/>
            <w:vAlign w:val="center"/>
          </w:tcPr>
          <w:p w14:paraId="1DAFAEE0">
            <w:pPr>
              <w:widowControl/>
              <w:jc w:val="left"/>
              <w:rPr>
                <w:kern w:val="0"/>
                <w:sz w:val="24"/>
              </w:rPr>
            </w:pPr>
            <w:r>
              <w:rPr>
                <w:kern w:val="0"/>
                <w:sz w:val="24"/>
              </w:rPr>
              <w:t>8</w:t>
            </w:r>
            <w:r>
              <w:rPr>
                <w:rFonts w:hint="eastAsia" w:ascii="宋体" w:hAnsi="宋体"/>
                <w:kern w:val="0"/>
                <w:sz w:val="24"/>
              </w:rPr>
              <w:t>套</w:t>
            </w:r>
          </w:p>
        </w:tc>
        <w:tc>
          <w:tcPr>
            <w:tcW w:w="1053" w:type="dxa"/>
            <w:tcBorders>
              <w:top w:val="nil"/>
              <w:left w:val="nil"/>
              <w:bottom w:val="single" w:color="auto" w:sz="4" w:space="0"/>
              <w:right w:val="single" w:color="auto" w:sz="4" w:space="0"/>
            </w:tcBorders>
            <w:shd w:val="clear" w:color="auto" w:fill="auto"/>
            <w:vAlign w:val="center"/>
          </w:tcPr>
          <w:p w14:paraId="479D5DA9">
            <w:pPr>
              <w:widowControl/>
              <w:jc w:val="right"/>
              <w:rPr>
                <w:kern w:val="0"/>
                <w:sz w:val="24"/>
              </w:rPr>
            </w:pPr>
            <w:r>
              <w:rPr>
                <w:kern w:val="0"/>
                <w:sz w:val="24"/>
              </w:rPr>
              <w:t>100%</w:t>
            </w:r>
          </w:p>
        </w:tc>
        <w:tc>
          <w:tcPr>
            <w:tcW w:w="1350" w:type="dxa"/>
            <w:tcBorders>
              <w:top w:val="nil"/>
              <w:left w:val="nil"/>
              <w:bottom w:val="single" w:color="000000" w:sz="4" w:space="0"/>
              <w:right w:val="single" w:color="000000" w:sz="4" w:space="0"/>
            </w:tcBorders>
            <w:shd w:val="clear" w:color="auto" w:fill="auto"/>
            <w:vAlign w:val="center"/>
          </w:tcPr>
          <w:p w14:paraId="4652927D">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0F35D108">
        <w:tblPrEx>
          <w:tblCellMar>
            <w:top w:w="0" w:type="dxa"/>
            <w:left w:w="108" w:type="dxa"/>
            <w:bottom w:w="0" w:type="dxa"/>
            <w:right w:w="108" w:type="dxa"/>
          </w:tblCellMar>
        </w:tblPrEx>
        <w:trPr>
          <w:trHeight w:val="315"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4AFC3A51">
            <w:pPr>
              <w:widowControl/>
              <w:jc w:val="left"/>
              <w:rPr>
                <w:rFonts w:ascii="宋体" w:hAnsi="宋体" w:cs="宋体"/>
                <w:kern w:val="0"/>
                <w:sz w:val="24"/>
              </w:rPr>
            </w:pPr>
          </w:p>
        </w:tc>
        <w:tc>
          <w:tcPr>
            <w:tcW w:w="1031" w:type="dxa"/>
            <w:vMerge w:val="continue"/>
            <w:tcBorders>
              <w:top w:val="single" w:color="000000" w:sz="4" w:space="0"/>
              <w:left w:val="nil"/>
              <w:bottom w:val="single" w:color="000000" w:sz="4" w:space="0"/>
              <w:right w:val="single" w:color="auto" w:sz="4" w:space="0"/>
            </w:tcBorders>
            <w:vAlign w:val="center"/>
          </w:tcPr>
          <w:p w14:paraId="55BC450F">
            <w:pPr>
              <w:widowControl/>
              <w:jc w:val="left"/>
              <w:rPr>
                <w:rFonts w:ascii="宋体" w:hAnsi="宋体" w:cs="宋体"/>
                <w:kern w:val="0"/>
                <w:sz w:val="18"/>
                <w:szCs w:val="18"/>
              </w:rPr>
            </w:pPr>
          </w:p>
        </w:tc>
        <w:tc>
          <w:tcPr>
            <w:tcW w:w="1031" w:type="dxa"/>
            <w:vMerge w:val="continue"/>
            <w:tcBorders>
              <w:top w:val="nil"/>
              <w:left w:val="single" w:color="auto" w:sz="4" w:space="0"/>
              <w:bottom w:val="single" w:color="000000" w:sz="4" w:space="0"/>
              <w:right w:val="single" w:color="auto" w:sz="4" w:space="0"/>
            </w:tcBorders>
            <w:vAlign w:val="center"/>
          </w:tcPr>
          <w:p w14:paraId="58812887">
            <w:pPr>
              <w:widowControl/>
              <w:jc w:val="left"/>
              <w:rPr>
                <w:kern w:val="0"/>
                <w:sz w:val="24"/>
              </w:rPr>
            </w:pPr>
          </w:p>
        </w:tc>
        <w:tc>
          <w:tcPr>
            <w:tcW w:w="1037" w:type="dxa"/>
            <w:tcBorders>
              <w:top w:val="nil"/>
              <w:left w:val="nil"/>
              <w:bottom w:val="single" w:color="auto" w:sz="4" w:space="0"/>
              <w:right w:val="single" w:color="auto" w:sz="4" w:space="0"/>
            </w:tcBorders>
            <w:shd w:val="clear" w:color="auto" w:fill="auto"/>
            <w:vAlign w:val="center"/>
          </w:tcPr>
          <w:p w14:paraId="234D45AD">
            <w:pPr>
              <w:widowControl/>
              <w:jc w:val="center"/>
              <w:rPr>
                <w:rFonts w:ascii="仿宋_GB2312" w:hAnsi="宋体" w:eastAsia="仿宋_GB2312" w:cs="宋体"/>
                <w:kern w:val="0"/>
                <w:sz w:val="24"/>
              </w:rPr>
            </w:pPr>
            <w:r>
              <w:rPr>
                <w:rFonts w:hint="eastAsia" w:ascii="仿宋_GB2312" w:hAnsi="宋体" w:eastAsia="仿宋_GB2312" w:cs="宋体"/>
                <w:kern w:val="0"/>
                <w:sz w:val="24"/>
              </w:rPr>
              <w:t>平板电脑</w:t>
            </w:r>
          </w:p>
        </w:tc>
        <w:tc>
          <w:tcPr>
            <w:tcW w:w="1051" w:type="dxa"/>
            <w:tcBorders>
              <w:top w:val="nil"/>
              <w:left w:val="nil"/>
              <w:bottom w:val="single" w:color="auto" w:sz="4" w:space="0"/>
              <w:right w:val="single" w:color="auto" w:sz="4" w:space="0"/>
            </w:tcBorders>
            <w:shd w:val="clear" w:color="auto" w:fill="auto"/>
            <w:vAlign w:val="center"/>
          </w:tcPr>
          <w:p w14:paraId="4E7D79B5">
            <w:pPr>
              <w:widowControl/>
              <w:jc w:val="left"/>
              <w:rPr>
                <w:kern w:val="0"/>
                <w:sz w:val="24"/>
              </w:rPr>
            </w:pPr>
            <w:r>
              <w:rPr>
                <w:kern w:val="0"/>
                <w:sz w:val="24"/>
              </w:rPr>
              <w:t>3</w:t>
            </w:r>
            <w:r>
              <w:rPr>
                <w:rFonts w:hint="eastAsia" w:ascii="宋体" w:hAnsi="宋体"/>
                <w:kern w:val="0"/>
                <w:sz w:val="24"/>
              </w:rPr>
              <w:t>台</w:t>
            </w:r>
          </w:p>
        </w:tc>
        <w:tc>
          <w:tcPr>
            <w:tcW w:w="1056" w:type="dxa"/>
            <w:tcBorders>
              <w:top w:val="nil"/>
              <w:left w:val="nil"/>
              <w:bottom w:val="single" w:color="auto" w:sz="4" w:space="0"/>
              <w:right w:val="single" w:color="auto" w:sz="4" w:space="0"/>
            </w:tcBorders>
            <w:shd w:val="clear" w:color="auto" w:fill="auto"/>
            <w:vAlign w:val="center"/>
          </w:tcPr>
          <w:p w14:paraId="1EE266ED">
            <w:pPr>
              <w:widowControl/>
              <w:jc w:val="left"/>
              <w:rPr>
                <w:kern w:val="0"/>
                <w:sz w:val="24"/>
              </w:rPr>
            </w:pPr>
            <w:r>
              <w:rPr>
                <w:kern w:val="0"/>
                <w:sz w:val="24"/>
              </w:rPr>
              <w:t>3</w:t>
            </w:r>
            <w:r>
              <w:rPr>
                <w:rFonts w:hint="eastAsia" w:ascii="宋体" w:hAnsi="宋体"/>
                <w:kern w:val="0"/>
                <w:sz w:val="24"/>
              </w:rPr>
              <w:t>台</w:t>
            </w:r>
          </w:p>
        </w:tc>
        <w:tc>
          <w:tcPr>
            <w:tcW w:w="1053" w:type="dxa"/>
            <w:tcBorders>
              <w:top w:val="nil"/>
              <w:left w:val="nil"/>
              <w:bottom w:val="single" w:color="auto" w:sz="4" w:space="0"/>
              <w:right w:val="single" w:color="auto" w:sz="4" w:space="0"/>
            </w:tcBorders>
            <w:shd w:val="clear" w:color="auto" w:fill="auto"/>
            <w:vAlign w:val="center"/>
          </w:tcPr>
          <w:p w14:paraId="05A9D885">
            <w:pPr>
              <w:widowControl/>
              <w:jc w:val="right"/>
              <w:rPr>
                <w:kern w:val="0"/>
                <w:sz w:val="24"/>
              </w:rPr>
            </w:pPr>
            <w:r>
              <w:rPr>
                <w:kern w:val="0"/>
                <w:sz w:val="24"/>
              </w:rPr>
              <w:t>100%</w:t>
            </w:r>
          </w:p>
        </w:tc>
        <w:tc>
          <w:tcPr>
            <w:tcW w:w="1350" w:type="dxa"/>
            <w:tcBorders>
              <w:top w:val="nil"/>
              <w:left w:val="nil"/>
              <w:bottom w:val="single" w:color="000000" w:sz="4" w:space="0"/>
              <w:right w:val="single" w:color="000000" w:sz="4" w:space="0"/>
            </w:tcBorders>
            <w:shd w:val="clear" w:color="auto" w:fill="auto"/>
            <w:vAlign w:val="center"/>
          </w:tcPr>
          <w:p w14:paraId="014B0BF4">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15880670">
        <w:tblPrEx>
          <w:tblCellMar>
            <w:top w:w="0" w:type="dxa"/>
            <w:left w:w="108" w:type="dxa"/>
            <w:bottom w:w="0" w:type="dxa"/>
            <w:right w:w="108" w:type="dxa"/>
          </w:tblCellMar>
        </w:tblPrEx>
        <w:trPr>
          <w:trHeight w:val="315"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4B0C2C34">
            <w:pPr>
              <w:widowControl/>
              <w:jc w:val="left"/>
              <w:rPr>
                <w:rFonts w:ascii="宋体" w:hAnsi="宋体" w:cs="宋体"/>
                <w:kern w:val="0"/>
                <w:sz w:val="24"/>
              </w:rPr>
            </w:pPr>
          </w:p>
        </w:tc>
        <w:tc>
          <w:tcPr>
            <w:tcW w:w="1031" w:type="dxa"/>
            <w:vMerge w:val="continue"/>
            <w:tcBorders>
              <w:top w:val="single" w:color="000000" w:sz="4" w:space="0"/>
              <w:left w:val="nil"/>
              <w:bottom w:val="single" w:color="000000" w:sz="4" w:space="0"/>
              <w:right w:val="single" w:color="auto" w:sz="4" w:space="0"/>
            </w:tcBorders>
            <w:vAlign w:val="center"/>
          </w:tcPr>
          <w:p w14:paraId="0B8F3F84">
            <w:pPr>
              <w:widowControl/>
              <w:jc w:val="left"/>
              <w:rPr>
                <w:rFonts w:ascii="宋体" w:hAnsi="宋体" w:cs="宋体"/>
                <w:kern w:val="0"/>
                <w:sz w:val="18"/>
                <w:szCs w:val="18"/>
              </w:rPr>
            </w:pPr>
          </w:p>
        </w:tc>
        <w:tc>
          <w:tcPr>
            <w:tcW w:w="1031" w:type="dxa"/>
            <w:vMerge w:val="continue"/>
            <w:tcBorders>
              <w:top w:val="nil"/>
              <w:left w:val="single" w:color="auto" w:sz="4" w:space="0"/>
              <w:bottom w:val="single" w:color="000000" w:sz="4" w:space="0"/>
              <w:right w:val="single" w:color="auto" w:sz="4" w:space="0"/>
            </w:tcBorders>
            <w:vAlign w:val="center"/>
          </w:tcPr>
          <w:p w14:paraId="532A3768">
            <w:pPr>
              <w:widowControl/>
              <w:jc w:val="left"/>
              <w:rPr>
                <w:kern w:val="0"/>
                <w:sz w:val="24"/>
              </w:rPr>
            </w:pPr>
          </w:p>
        </w:tc>
        <w:tc>
          <w:tcPr>
            <w:tcW w:w="1037" w:type="dxa"/>
            <w:tcBorders>
              <w:top w:val="nil"/>
              <w:left w:val="nil"/>
              <w:bottom w:val="single" w:color="auto" w:sz="4" w:space="0"/>
              <w:right w:val="single" w:color="auto" w:sz="4" w:space="0"/>
            </w:tcBorders>
            <w:shd w:val="clear" w:color="auto" w:fill="auto"/>
            <w:vAlign w:val="center"/>
          </w:tcPr>
          <w:p w14:paraId="4F19F002">
            <w:pPr>
              <w:widowControl/>
              <w:jc w:val="center"/>
              <w:rPr>
                <w:rFonts w:ascii="仿宋_GB2312" w:hAnsi="宋体" w:eastAsia="仿宋_GB2312" w:cs="宋体"/>
                <w:kern w:val="0"/>
                <w:sz w:val="24"/>
              </w:rPr>
            </w:pPr>
            <w:r>
              <w:rPr>
                <w:rFonts w:hint="eastAsia" w:ascii="仿宋_GB2312" w:hAnsi="宋体" w:eastAsia="仿宋_GB2312" w:cs="宋体"/>
                <w:kern w:val="0"/>
                <w:sz w:val="24"/>
              </w:rPr>
              <w:t>服务器</w:t>
            </w:r>
          </w:p>
        </w:tc>
        <w:tc>
          <w:tcPr>
            <w:tcW w:w="1051" w:type="dxa"/>
            <w:tcBorders>
              <w:top w:val="nil"/>
              <w:left w:val="nil"/>
              <w:bottom w:val="single" w:color="auto" w:sz="4" w:space="0"/>
              <w:right w:val="single" w:color="auto" w:sz="4" w:space="0"/>
            </w:tcBorders>
            <w:shd w:val="clear" w:color="auto" w:fill="auto"/>
            <w:vAlign w:val="center"/>
          </w:tcPr>
          <w:p w14:paraId="126EF759">
            <w:pPr>
              <w:widowControl/>
              <w:jc w:val="left"/>
              <w:rPr>
                <w:kern w:val="0"/>
                <w:sz w:val="24"/>
              </w:rPr>
            </w:pPr>
            <w:r>
              <w:rPr>
                <w:kern w:val="0"/>
                <w:sz w:val="24"/>
              </w:rPr>
              <w:t>1</w:t>
            </w:r>
            <w:r>
              <w:rPr>
                <w:rFonts w:hint="eastAsia" w:ascii="宋体" w:hAnsi="宋体"/>
                <w:kern w:val="0"/>
                <w:sz w:val="24"/>
              </w:rPr>
              <w:t>台</w:t>
            </w:r>
          </w:p>
        </w:tc>
        <w:tc>
          <w:tcPr>
            <w:tcW w:w="1056" w:type="dxa"/>
            <w:tcBorders>
              <w:top w:val="nil"/>
              <w:left w:val="nil"/>
              <w:bottom w:val="single" w:color="auto" w:sz="4" w:space="0"/>
              <w:right w:val="single" w:color="auto" w:sz="4" w:space="0"/>
            </w:tcBorders>
            <w:shd w:val="clear" w:color="auto" w:fill="auto"/>
            <w:vAlign w:val="center"/>
          </w:tcPr>
          <w:p w14:paraId="31C7DBB1">
            <w:pPr>
              <w:widowControl/>
              <w:jc w:val="left"/>
              <w:rPr>
                <w:kern w:val="0"/>
                <w:sz w:val="24"/>
              </w:rPr>
            </w:pPr>
            <w:r>
              <w:rPr>
                <w:kern w:val="0"/>
                <w:sz w:val="24"/>
              </w:rPr>
              <w:t>1</w:t>
            </w:r>
            <w:r>
              <w:rPr>
                <w:rFonts w:hint="eastAsia" w:ascii="宋体" w:hAnsi="宋体"/>
                <w:kern w:val="0"/>
                <w:sz w:val="24"/>
              </w:rPr>
              <w:t>台</w:t>
            </w:r>
          </w:p>
        </w:tc>
        <w:tc>
          <w:tcPr>
            <w:tcW w:w="1053" w:type="dxa"/>
            <w:tcBorders>
              <w:top w:val="nil"/>
              <w:left w:val="nil"/>
              <w:bottom w:val="single" w:color="auto" w:sz="4" w:space="0"/>
              <w:right w:val="single" w:color="auto" w:sz="4" w:space="0"/>
            </w:tcBorders>
            <w:shd w:val="clear" w:color="auto" w:fill="auto"/>
            <w:vAlign w:val="center"/>
          </w:tcPr>
          <w:p w14:paraId="7A7DC71D">
            <w:pPr>
              <w:widowControl/>
              <w:jc w:val="right"/>
              <w:rPr>
                <w:kern w:val="0"/>
                <w:sz w:val="24"/>
              </w:rPr>
            </w:pPr>
            <w:r>
              <w:rPr>
                <w:kern w:val="0"/>
                <w:sz w:val="24"/>
              </w:rPr>
              <w:t>100%</w:t>
            </w:r>
          </w:p>
        </w:tc>
        <w:tc>
          <w:tcPr>
            <w:tcW w:w="1350" w:type="dxa"/>
            <w:tcBorders>
              <w:top w:val="nil"/>
              <w:left w:val="nil"/>
              <w:bottom w:val="single" w:color="000000" w:sz="4" w:space="0"/>
              <w:right w:val="single" w:color="000000" w:sz="4" w:space="0"/>
            </w:tcBorders>
            <w:shd w:val="clear" w:color="auto" w:fill="auto"/>
            <w:vAlign w:val="center"/>
          </w:tcPr>
          <w:p w14:paraId="32CEADF5">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11887AAD">
        <w:tblPrEx>
          <w:tblCellMar>
            <w:top w:w="0" w:type="dxa"/>
            <w:left w:w="108" w:type="dxa"/>
            <w:bottom w:w="0" w:type="dxa"/>
            <w:right w:w="108" w:type="dxa"/>
          </w:tblCellMar>
        </w:tblPrEx>
        <w:trPr>
          <w:trHeight w:val="315"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2516283E">
            <w:pPr>
              <w:widowControl/>
              <w:jc w:val="left"/>
              <w:rPr>
                <w:rFonts w:ascii="宋体" w:hAnsi="宋体" w:cs="宋体"/>
                <w:kern w:val="0"/>
                <w:sz w:val="24"/>
              </w:rPr>
            </w:pPr>
          </w:p>
        </w:tc>
        <w:tc>
          <w:tcPr>
            <w:tcW w:w="1031" w:type="dxa"/>
            <w:vMerge w:val="continue"/>
            <w:tcBorders>
              <w:top w:val="single" w:color="000000" w:sz="4" w:space="0"/>
              <w:left w:val="nil"/>
              <w:bottom w:val="single" w:color="000000" w:sz="4" w:space="0"/>
              <w:right w:val="single" w:color="auto" w:sz="4" w:space="0"/>
            </w:tcBorders>
            <w:vAlign w:val="center"/>
          </w:tcPr>
          <w:p w14:paraId="6D1A5039">
            <w:pPr>
              <w:widowControl/>
              <w:jc w:val="left"/>
              <w:rPr>
                <w:rFonts w:ascii="宋体" w:hAnsi="宋体" w:cs="宋体"/>
                <w:kern w:val="0"/>
                <w:sz w:val="18"/>
                <w:szCs w:val="18"/>
              </w:rPr>
            </w:pPr>
          </w:p>
        </w:tc>
        <w:tc>
          <w:tcPr>
            <w:tcW w:w="1031" w:type="dxa"/>
            <w:vMerge w:val="continue"/>
            <w:tcBorders>
              <w:top w:val="nil"/>
              <w:left w:val="single" w:color="auto" w:sz="4" w:space="0"/>
              <w:bottom w:val="single" w:color="000000" w:sz="4" w:space="0"/>
              <w:right w:val="single" w:color="auto" w:sz="4" w:space="0"/>
            </w:tcBorders>
            <w:vAlign w:val="center"/>
          </w:tcPr>
          <w:p w14:paraId="52F7DB64">
            <w:pPr>
              <w:widowControl/>
              <w:jc w:val="left"/>
              <w:rPr>
                <w:kern w:val="0"/>
                <w:sz w:val="24"/>
              </w:rPr>
            </w:pPr>
          </w:p>
        </w:tc>
        <w:tc>
          <w:tcPr>
            <w:tcW w:w="1037" w:type="dxa"/>
            <w:tcBorders>
              <w:top w:val="nil"/>
              <w:left w:val="nil"/>
              <w:bottom w:val="single" w:color="auto" w:sz="4" w:space="0"/>
              <w:right w:val="single" w:color="auto" w:sz="4" w:space="0"/>
            </w:tcBorders>
            <w:shd w:val="clear" w:color="auto" w:fill="auto"/>
            <w:vAlign w:val="center"/>
          </w:tcPr>
          <w:p w14:paraId="5856BCC7">
            <w:pPr>
              <w:widowControl/>
              <w:jc w:val="center"/>
              <w:rPr>
                <w:rFonts w:ascii="仿宋_GB2312" w:hAnsi="宋体" w:eastAsia="仿宋_GB2312" w:cs="宋体"/>
                <w:kern w:val="0"/>
                <w:sz w:val="24"/>
              </w:rPr>
            </w:pPr>
            <w:r>
              <w:rPr>
                <w:rFonts w:hint="eastAsia" w:ascii="仿宋_GB2312" w:hAnsi="宋体" w:eastAsia="仿宋_GB2312" w:cs="宋体"/>
                <w:kern w:val="0"/>
                <w:sz w:val="24"/>
              </w:rPr>
              <w:t>办公</w:t>
            </w:r>
            <w:r>
              <w:rPr>
                <w:rFonts w:eastAsia="仿宋_GB2312"/>
                <w:kern w:val="0"/>
                <w:sz w:val="24"/>
              </w:rPr>
              <w:t>PC</w:t>
            </w:r>
          </w:p>
        </w:tc>
        <w:tc>
          <w:tcPr>
            <w:tcW w:w="1051" w:type="dxa"/>
            <w:tcBorders>
              <w:top w:val="nil"/>
              <w:left w:val="nil"/>
              <w:bottom w:val="single" w:color="auto" w:sz="4" w:space="0"/>
              <w:right w:val="single" w:color="auto" w:sz="4" w:space="0"/>
            </w:tcBorders>
            <w:shd w:val="clear" w:color="auto" w:fill="auto"/>
            <w:vAlign w:val="center"/>
          </w:tcPr>
          <w:p w14:paraId="67B4FD4E">
            <w:pPr>
              <w:widowControl/>
              <w:jc w:val="left"/>
              <w:rPr>
                <w:kern w:val="0"/>
                <w:sz w:val="24"/>
              </w:rPr>
            </w:pPr>
            <w:r>
              <w:rPr>
                <w:kern w:val="0"/>
                <w:sz w:val="24"/>
              </w:rPr>
              <w:t>9</w:t>
            </w:r>
            <w:r>
              <w:rPr>
                <w:rFonts w:hint="eastAsia" w:ascii="宋体" w:hAnsi="宋体"/>
                <w:kern w:val="0"/>
                <w:sz w:val="24"/>
              </w:rPr>
              <w:t>套</w:t>
            </w:r>
          </w:p>
        </w:tc>
        <w:tc>
          <w:tcPr>
            <w:tcW w:w="1056" w:type="dxa"/>
            <w:tcBorders>
              <w:top w:val="nil"/>
              <w:left w:val="nil"/>
              <w:bottom w:val="single" w:color="auto" w:sz="4" w:space="0"/>
              <w:right w:val="single" w:color="auto" w:sz="4" w:space="0"/>
            </w:tcBorders>
            <w:shd w:val="clear" w:color="auto" w:fill="auto"/>
            <w:vAlign w:val="center"/>
          </w:tcPr>
          <w:p w14:paraId="7E8C43B9">
            <w:pPr>
              <w:widowControl/>
              <w:jc w:val="left"/>
              <w:rPr>
                <w:kern w:val="0"/>
                <w:sz w:val="24"/>
              </w:rPr>
            </w:pPr>
            <w:r>
              <w:rPr>
                <w:kern w:val="0"/>
                <w:sz w:val="24"/>
              </w:rPr>
              <w:t>9</w:t>
            </w:r>
            <w:r>
              <w:rPr>
                <w:rFonts w:hint="eastAsia" w:ascii="宋体" w:hAnsi="宋体"/>
                <w:kern w:val="0"/>
                <w:sz w:val="24"/>
              </w:rPr>
              <w:t>套</w:t>
            </w:r>
          </w:p>
        </w:tc>
        <w:tc>
          <w:tcPr>
            <w:tcW w:w="1053" w:type="dxa"/>
            <w:tcBorders>
              <w:top w:val="nil"/>
              <w:left w:val="nil"/>
              <w:bottom w:val="single" w:color="auto" w:sz="4" w:space="0"/>
              <w:right w:val="single" w:color="auto" w:sz="4" w:space="0"/>
            </w:tcBorders>
            <w:shd w:val="clear" w:color="auto" w:fill="auto"/>
            <w:vAlign w:val="center"/>
          </w:tcPr>
          <w:p w14:paraId="70480CC5">
            <w:pPr>
              <w:widowControl/>
              <w:jc w:val="right"/>
              <w:rPr>
                <w:kern w:val="0"/>
                <w:sz w:val="24"/>
              </w:rPr>
            </w:pPr>
            <w:r>
              <w:rPr>
                <w:kern w:val="0"/>
                <w:sz w:val="24"/>
              </w:rPr>
              <w:t>100%</w:t>
            </w:r>
          </w:p>
        </w:tc>
        <w:tc>
          <w:tcPr>
            <w:tcW w:w="1350" w:type="dxa"/>
            <w:tcBorders>
              <w:top w:val="nil"/>
              <w:left w:val="nil"/>
              <w:bottom w:val="nil"/>
              <w:right w:val="single" w:color="000000" w:sz="4" w:space="0"/>
            </w:tcBorders>
            <w:shd w:val="clear" w:color="auto" w:fill="auto"/>
            <w:vAlign w:val="center"/>
          </w:tcPr>
          <w:p w14:paraId="23D1D08C">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2D8B3DC2">
        <w:tblPrEx>
          <w:tblCellMar>
            <w:top w:w="0" w:type="dxa"/>
            <w:left w:w="108" w:type="dxa"/>
            <w:bottom w:w="0" w:type="dxa"/>
            <w:right w:w="108" w:type="dxa"/>
          </w:tblCellMar>
        </w:tblPrEx>
        <w:trPr>
          <w:trHeight w:val="570"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2926C212">
            <w:pPr>
              <w:widowControl/>
              <w:jc w:val="left"/>
              <w:rPr>
                <w:rFonts w:ascii="宋体" w:hAnsi="宋体" w:cs="宋体"/>
                <w:kern w:val="0"/>
                <w:sz w:val="24"/>
              </w:rPr>
            </w:pPr>
          </w:p>
        </w:tc>
        <w:tc>
          <w:tcPr>
            <w:tcW w:w="1031" w:type="dxa"/>
            <w:vMerge w:val="continue"/>
            <w:tcBorders>
              <w:top w:val="single" w:color="000000" w:sz="4" w:space="0"/>
              <w:left w:val="nil"/>
              <w:bottom w:val="single" w:color="000000" w:sz="4" w:space="0"/>
              <w:right w:val="single" w:color="auto" w:sz="4" w:space="0"/>
            </w:tcBorders>
            <w:vAlign w:val="center"/>
          </w:tcPr>
          <w:p w14:paraId="39E9A101">
            <w:pPr>
              <w:widowControl/>
              <w:jc w:val="left"/>
              <w:rPr>
                <w:rFonts w:ascii="宋体" w:hAnsi="宋体" w:cs="宋体"/>
                <w:kern w:val="0"/>
                <w:sz w:val="18"/>
                <w:szCs w:val="18"/>
              </w:rPr>
            </w:pPr>
          </w:p>
        </w:tc>
        <w:tc>
          <w:tcPr>
            <w:tcW w:w="1031" w:type="dxa"/>
            <w:vMerge w:val="continue"/>
            <w:tcBorders>
              <w:top w:val="nil"/>
              <w:left w:val="single" w:color="auto" w:sz="4" w:space="0"/>
              <w:bottom w:val="single" w:color="000000" w:sz="4" w:space="0"/>
              <w:right w:val="single" w:color="auto" w:sz="4" w:space="0"/>
            </w:tcBorders>
            <w:vAlign w:val="center"/>
          </w:tcPr>
          <w:p w14:paraId="7F4E4829">
            <w:pPr>
              <w:widowControl/>
              <w:jc w:val="left"/>
              <w:rPr>
                <w:kern w:val="0"/>
                <w:sz w:val="24"/>
              </w:rPr>
            </w:pPr>
          </w:p>
        </w:tc>
        <w:tc>
          <w:tcPr>
            <w:tcW w:w="1037" w:type="dxa"/>
            <w:tcBorders>
              <w:top w:val="nil"/>
              <w:left w:val="nil"/>
              <w:bottom w:val="single" w:color="auto" w:sz="4" w:space="0"/>
              <w:right w:val="single" w:color="auto" w:sz="4" w:space="0"/>
            </w:tcBorders>
            <w:shd w:val="clear" w:color="auto" w:fill="auto"/>
            <w:vAlign w:val="center"/>
          </w:tcPr>
          <w:p w14:paraId="31B07AB2">
            <w:pPr>
              <w:widowControl/>
              <w:jc w:val="center"/>
              <w:rPr>
                <w:rFonts w:ascii="仿宋_GB2312" w:hAnsi="宋体" w:eastAsia="仿宋_GB2312" w:cs="宋体"/>
                <w:kern w:val="0"/>
                <w:sz w:val="24"/>
              </w:rPr>
            </w:pPr>
            <w:r>
              <w:rPr>
                <w:rFonts w:hint="eastAsia" w:ascii="仿宋_GB2312" w:hAnsi="宋体" w:eastAsia="仿宋_GB2312" w:cs="宋体"/>
                <w:kern w:val="0"/>
                <w:sz w:val="24"/>
              </w:rPr>
              <w:t>一级数据管理平台</w:t>
            </w:r>
          </w:p>
        </w:tc>
        <w:tc>
          <w:tcPr>
            <w:tcW w:w="1051" w:type="dxa"/>
            <w:tcBorders>
              <w:top w:val="nil"/>
              <w:left w:val="nil"/>
              <w:bottom w:val="single" w:color="auto" w:sz="4" w:space="0"/>
              <w:right w:val="single" w:color="auto" w:sz="4" w:space="0"/>
            </w:tcBorders>
            <w:shd w:val="clear" w:color="auto" w:fill="auto"/>
            <w:vAlign w:val="center"/>
          </w:tcPr>
          <w:p w14:paraId="625C2943">
            <w:pPr>
              <w:widowControl/>
              <w:jc w:val="left"/>
              <w:rPr>
                <w:kern w:val="0"/>
                <w:sz w:val="24"/>
              </w:rPr>
            </w:pPr>
            <w:r>
              <w:rPr>
                <w:kern w:val="0"/>
                <w:sz w:val="24"/>
              </w:rPr>
              <w:t>1</w:t>
            </w:r>
            <w:r>
              <w:rPr>
                <w:rFonts w:hint="eastAsia" w:ascii="宋体" w:hAnsi="宋体"/>
                <w:kern w:val="0"/>
                <w:sz w:val="24"/>
              </w:rPr>
              <w:t>套</w:t>
            </w:r>
          </w:p>
        </w:tc>
        <w:tc>
          <w:tcPr>
            <w:tcW w:w="1056" w:type="dxa"/>
            <w:tcBorders>
              <w:top w:val="nil"/>
              <w:left w:val="nil"/>
              <w:bottom w:val="single" w:color="auto" w:sz="4" w:space="0"/>
              <w:right w:val="single" w:color="auto" w:sz="4" w:space="0"/>
            </w:tcBorders>
            <w:shd w:val="clear" w:color="auto" w:fill="auto"/>
            <w:vAlign w:val="center"/>
          </w:tcPr>
          <w:p w14:paraId="21138BA6">
            <w:pPr>
              <w:widowControl/>
              <w:jc w:val="left"/>
              <w:rPr>
                <w:kern w:val="0"/>
                <w:sz w:val="24"/>
              </w:rPr>
            </w:pPr>
            <w:r>
              <w:rPr>
                <w:kern w:val="0"/>
                <w:sz w:val="24"/>
              </w:rPr>
              <w:t>1</w:t>
            </w:r>
            <w:r>
              <w:rPr>
                <w:rFonts w:hint="eastAsia" w:ascii="宋体" w:hAnsi="宋体"/>
                <w:kern w:val="0"/>
                <w:sz w:val="24"/>
              </w:rPr>
              <w:t>套</w:t>
            </w:r>
          </w:p>
        </w:tc>
        <w:tc>
          <w:tcPr>
            <w:tcW w:w="1053" w:type="dxa"/>
            <w:tcBorders>
              <w:top w:val="nil"/>
              <w:left w:val="nil"/>
              <w:bottom w:val="single" w:color="auto" w:sz="4" w:space="0"/>
              <w:right w:val="single" w:color="auto" w:sz="4" w:space="0"/>
            </w:tcBorders>
            <w:shd w:val="clear" w:color="auto" w:fill="auto"/>
            <w:vAlign w:val="center"/>
          </w:tcPr>
          <w:p w14:paraId="076A6051">
            <w:pPr>
              <w:widowControl/>
              <w:jc w:val="right"/>
              <w:rPr>
                <w:kern w:val="0"/>
                <w:sz w:val="24"/>
              </w:rPr>
            </w:pPr>
            <w:r>
              <w:rPr>
                <w:kern w:val="0"/>
                <w:sz w:val="24"/>
              </w:rPr>
              <w:t>100%</w:t>
            </w:r>
          </w:p>
        </w:tc>
        <w:tc>
          <w:tcPr>
            <w:tcW w:w="1350" w:type="dxa"/>
            <w:tcBorders>
              <w:top w:val="single" w:color="auto" w:sz="4" w:space="0"/>
              <w:left w:val="nil"/>
              <w:bottom w:val="single" w:color="auto" w:sz="4" w:space="0"/>
              <w:right w:val="single" w:color="auto" w:sz="4" w:space="0"/>
            </w:tcBorders>
            <w:shd w:val="clear" w:color="auto" w:fill="auto"/>
            <w:noWrap/>
            <w:vAlign w:val="bottom"/>
          </w:tcPr>
          <w:p w14:paraId="6D86E2D7">
            <w:pPr>
              <w:widowControl/>
              <w:jc w:val="left"/>
              <w:rPr>
                <w:rFonts w:ascii="宋体" w:hAnsi="宋体" w:cs="宋体"/>
                <w:kern w:val="0"/>
                <w:sz w:val="22"/>
                <w:szCs w:val="22"/>
              </w:rPr>
            </w:pPr>
            <w:r>
              <w:rPr>
                <w:rFonts w:hint="eastAsia" w:ascii="宋体" w:hAnsi="宋体" w:cs="宋体"/>
                <w:kern w:val="0"/>
                <w:sz w:val="22"/>
                <w:szCs w:val="22"/>
              </w:rPr>
              <w:t>　</w:t>
            </w:r>
          </w:p>
        </w:tc>
      </w:tr>
      <w:tr w14:paraId="7B02F01B">
        <w:tblPrEx>
          <w:tblCellMar>
            <w:top w:w="0" w:type="dxa"/>
            <w:left w:w="108" w:type="dxa"/>
            <w:bottom w:w="0" w:type="dxa"/>
            <w:right w:w="108" w:type="dxa"/>
          </w:tblCellMar>
        </w:tblPrEx>
        <w:trPr>
          <w:trHeight w:val="570"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50630C89">
            <w:pPr>
              <w:widowControl/>
              <w:jc w:val="left"/>
              <w:rPr>
                <w:rFonts w:ascii="宋体" w:hAnsi="宋体" w:cs="宋体"/>
                <w:kern w:val="0"/>
                <w:sz w:val="24"/>
              </w:rPr>
            </w:pPr>
          </w:p>
        </w:tc>
        <w:tc>
          <w:tcPr>
            <w:tcW w:w="1031" w:type="dxa"/>
            <w:vMerge w:val="continue"/>
            <w:tcBorders>
              <w:top w:val="single" w:color="000000" w:sz="4" w:space="0"/>
              <w:left w:val="nil"/>
              <w:bottom w:val="single" w:color="000000" w:sz="4" w:space="0"/>
              <w:right w:val="single" w:color="auto" w:sz="4" w:space="0"/>
            </w:tcBorders>
            <w:vAlign w:val="center"/>
          </w:tcPr>
          <w:p w14:paraId="0CF39BD7">
            <w:pPr>
              <w:widowControl/>
              <w:jc w:val="left"/>
              <w:rPr>
                <w:rFonts w:ascii="宋体" w:hAnsi="宋体" w:cs="宋体"/>
                <w:kern w:val="0"/>
                <w:sz w:val="18"/>
                <w:szCs w:val="18"/>
              </w:rPr>
            </w:pPr>
          </w:p>
        </w:tc>
        <w:tc>
          <w:tcPr>
            <w:tcW w:w="1031" w:type="dxa"/>
            <w:vMerge w:val="continue"/>
            <w:tcBorders>
              <w:top w:val="nil"/>
              <w:left w:val="single" w:color="auto" w:sz="4" w:space="0"/>
              <w:bottom w:val="single" w:color="000000" w:sz="4" w:space="0"/>
              <w:right w:val="single" w:color="auto" w:sz="4" w:space="0"/>
            </w:tcBorders>
            <w:vAlign w:val="center"/>
          </w:tcPr>
          <w:p w14:paraId="687FFA5E">
            <w:pPr>
              <w:widowControl/>
              <w:jc w:val="left"/>
              <w:rPr>
                <w:kern w:val="0"/>
                <w:sz w:val="24"/>
              </w:rPr>
            </w:pPr>
          </w:p>
        </w:tc>
        <w:tc>
          <w:tcPr>
            <w:tcW w:w="1037" w:type="dxa"/>
            <w:tcBorders>
              <w:top w:val="nil"/>
              <w:left w:val="nil"/>
              <w:bottom w:val="single" w:color="auto" w:sz="4" w:space="0"/>
              <w:right w:val="single" w:color="auto" w:sz="4" w:space="0"/>
            </w:tcBorders>
            <w:shd w:val="clear" w:color="auto" w:fill="auto"/>
            <w:vAlign w:val="center"/>
          </w:tcPr>
          <w:p w14:paraId="3453CB01">
            <w:pPr>
              <w:widowControl/>
              <w:jc w:val="center"/>
              <w:rPr>
                <w:rFonts w:ascii="仿宋_GB2312" w:hAnsi="宋体" w:eastAsia="仿宋_GB2312" w:cs="宋体"/>
                <w:kern w:val="0"/>
                <w:sz w:val="24"/>
              </w:rPr>
            </w:pPr>
            <w:r>
              <w:rPr>
                <w:rFonts w:hint="eastAsia" w:ascii="仿宋_GB2312" w:hAnsi="宋体" w:eastAsia="仿宋_GB2312" w:cs="宋体"/>
                <w:kern w:val="0"/>
                <w:sz w:val="24"/>
              </w:rPr>
              <w:t>二级数据管理平台</w:t>
            </w:r>
          </w:p>
        </w:tc>
        <w:tc>
          <w:tcPr>
            <w:tcW w:w="1051" w:type="dxa"/>
            <w:tcBorders>
              <w:top w:val="nil"/>
              <w:left w:val="nil"/>
              <w:bottom w:val="single" w:color="auto" w:sz="4" w:space="0"/>
              <w:right w:val="single" w:color="auto" w:sz="4" w:space="0"/>
            </w:tcBorders>
            <w:shd w:val="clear" w:color="auto" w:fill="auto"/>
            <w:vAlign w:val="center"/>
          </w:tcPr>
          <w:p w14:paraId="1D345FED">
            <w:pPr>
              <w:widowControl/>
              <w:jc w:val="left"/>
              <w:rPr>
                <w:kern w:val="0"/>
                <w:sz w:val="24"/>
              </w:rPr>
            </w:pPr>
            <w:r>
              <w:rPr>
                <w:kern w:val="0"/>
                <w:sz w:val="24"/>
              </w:rPr>
              <w:t>9</w:t>
            </w:r>
            <w:r>
              <w:rPr>
                <w:rFonts w:hint="eastAsia" w:ascii="宋体" w:hAnsi="宋体"/>
                <w:kern w:val="0"/>
                <w:sz w:val="24"/>
              </w:rPr>
              <w:t>套</w:t>
            </w:r>
          </w:p>
        </w:tc>
        <w:tc>
          <w:tcPr>
            <w:tcW w:w="1056" w:type="dxa"/>
            <w:tcBorders>
              <w:top w:val="nil"/>
              <w:left w:val="nil"/>
              <w:bottom w:val="single" w:color="auto" w:sz="4" w:space="0"/>
              <w:right w:val="single" w:color="auto" w:sz="4" w:space="0"/>
            </w:tcBorders>
            <w:shd w:val="clear" w:color="auto" w:fill="auto"/>
            <w:vAlign w:val="center"/>
          </w:tcPr>
          <w:p w14:paraId="71EE41F7">
            <w:pPr>
              <w:widowControl/>
              <w:jc w:val="left"/>
              <w:rPr>
                <w:kern w:val="0"/>
                <w:sz w:val="24"/>
              </w:rPr>
            </w:pPr>
            <w:r>
              <w:rPr>
                <w:kern w:val="0"/>
                <w:sz w:val="24"/>
              </w:rPr>
              <w:t>9</w:t>
            </w:r>
            <w:r>
              <w:rPr>
                <w:rFonts w:hint="eastAsia" w:ascii="宋体" w:hAnsi="宋体"/>
                <w:kern w:val="0"/>
                <w:sz w:val="24"/>
              </w:rPr>
              <w:t>套</w:t>
            </w:r>
          </w:p>
        </w:tc>
        <w:tc>
          <w:tcPr>
            <w:tcW w:w="1053" w:type="dxa"/>
            <w:tcBorders>
              <w:top w:val="nil"/>
              <w:left w:val="nil"/>
              <w:bottom w:val="single" w:color="auto" w:sz="4" w:space="0"/>
              <w:right w:val="single" w:color="auto" w:sz="4" w:space="0"/>
            </w:tcBorders>
            <w:shd w:val="clear" w:color="auto" w:fill="auto"/>
            <w:vAlign w:val="center"/>
          </w:tcPr>
          <w:p w14:paraId="44CCE2E6">
            <w:pPr>
              <w:widowControl/>
              <w:jc w:val="right"/>
              <w:rPr>
                <w:kern w:val="0"/>
                <w:sz w:val="24"/>
              </w:rPr>
            </w:pPr>
            <w:r>
              <w:rPr>
                <w:kern w:val="0"/>
                <w:sz w:val="24"/>
              </w:rPr>
              <w:t>100%</w:t>
            </w:r>
          </w:p>
        </w:tc>
        <w:tc>
          <w:tcPr>
            <w:tcW w:w="1350" w:type="dxa"/>
            <w:tcBorders>
              <w:top w:val="nil"/>
              <w:left w:val="nil"/>
              <w:bottom w:val="single" w:color="auto" w:sz="4" w:space="0"/>
              <w:right w:val="single" w:color="auto" w:sz="4" w:space="0"/>
            </w:tcBorders>
            <w:shd w:val="clear" w:color="auto" w:fill="auto"/>
            <w:noWrap/>
            <w:vAlign w:val="bottom"/>
          </w:tcPr>
          <w:p w14:paraId="432DF382">
            <w:pPr>
              <w:widowControl/>
              <w:jc w:val="left"/>
              <w:rPr>
                <w:rFonts w:ascii="宋体" w:hAnsi="宋体" w:cs="宋体"/>
                <w:kern w:val="0"/>
                <w:sz w:val="22"/>
                <w:szCs w:val="22"/>
              </w:rPr>
            </w:pPr>
            <w:r>
              <w:rPr>
                <w:rFonts w:hint="eastAsia" w:ascii="宋体" w:hAnsi="宋体" w:cs="宋体"/>
                <w:kern w:val="0"/>
                <w:sz w:val="22"/>
                <w:szCs w:val="22"/>
              </w:rPr>
              <w:t>　</w:t>
            </w:r>
          </w:p>
        </w:tc>
      </w:tr>
      <w:tr w14:paraId="35C669E6">
        <w:tblPrEx>
          <w:tblCellMar>
            <w:top w:w="0" w:type="dxa"/>
            <w:left w:w="108" w:type="dxa"/>
            <w:bottom w:w="0" w:type="dxa"/>
            <w:right w:w="108" w:type="dxa"/>
          </w:tblCellMar>
        </w:tblPrEx>
        <w:trPr>
          <w:trHeight w:val="885"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373428D4">
            <w:pPr>
              <w:widowControl/>
              <w:jc w:val="left"/>
              <w:rPr>
                <w:rFonts w:ascii="宋体" w:hAnsi="宋体" w:cs="宋体"/>
                <w:kern w:val="0"/>
                <w:sz w:val="24"/>
              </w:rPr>
            </w:pPr>
          </w:p>
        </w:tc>
        <w:tc>
          <w:tcPr>
            <w:tcW w:w="1031" w:type="dxa"/>
            <w:vMerge w:val="continue"/>
            <w:tcBorders>
              <w:top w:val="single" w:color="000000" w:sz="4" w:space="0"/>
              <w:left w:val="nil"/>
              <w:bottom w:val="single" w:color="000000" w:sz="4" w:space="0"/>
              <w:right w:val="single" w:color="auto" w:sz="4" w:space="0"/>
            </w:tcBorders>
            <w:vAlign w:val="center"/>
          </w:tcPr>
          <w:p w14:paraId="43E661BC">
            <w:pPr>
              <w:widowControl/>
              <w:jc w:val="left"/>
              <w:rPr>
                <w:rFonts w:ascii="宋体" w:hAnsi="宋体" w:cs="宋体"/>
                <w:kern w:val="0"/>
                <w:sz w:val="18"/>
                <w:szCs w:val="18"/>
              </w:rPr>
            </w:pPr>
          </w:p>
        </w:tc>
        <w:tc>
          <w:tcPr>
            <w:tcW w:w="1031" w:type="dxa"/>
            <w:tcBorders>
              <w:top w:val="nil"/>
              <w:left w:val="nil"/>
              <w:bottom w:val="single" w:color="auto" w:sz="4" w:space="0"/>
              <w:right w:val="single" w:color="auto" w:sz="4" w:space="0"/>
            </w:tcBorders>
            <w:shd w:val="clear" w:color="auto" w:fill="auto"/>
            <w:vAlign w:val="center"/>
          </w:tcPr>
          <w:p w14:paraId="261138F1">
            <w:pPr>
              <w:widowControl/>
              <w:jc w:val="center"/>
              <w:rPr>
                <w:kern w:val="0"/>
                <w:sz w:val="24"/>
              </w:rPr>
            </w:pPr>
            <w:r>
              <w:rPr>
                <w:rFonts w:hint="eastAsia" w:ascii="仿宋_GB2312" w:eastAsia="仿宋_GB2312"/>
                <w:kern w:val="0"/>
                <w:sz w:val="24"/>
              </w:rPr>
              <w:t>质量指标</w:t>
            </w:r>
          </w:p>
        </w:tc>
        <w:tc>
          <w:tcPr>
            <w:tcW w:w="1037" w:type="dxa"/>
            <w:tcBorders>
              <w:top w:val="nil"/>
              <w:left w:val="nil"/>
              <w:bottom w:val="single" w:color="auto" w:sz="4" w:space="0"/>
              <w:right w:val="single" w:color="auto" w:sz="4" w:space="0"/>
            </w:tcBorders>
            <w:shd w:val="clear" w:color="auto" w:fill="auto"/>
            <w:vAlign w:val="center"/>
          </w:tcPr>
          <w:p w14:paraId="5A580B9E">
            <w:pPr>
              <w:widowControl/>
              <w:jc w:val="center"/>
              <w:rPr>
                <w:kern w:val="0"/>
                <w:sz w:val="24"/>
              </w:rPr>
            </w:pPr>
            <w:r>
              <w:rPr>
                <w:kern w:val="0"/>
                <w:sz w:val="24"/>
              </w:rPr>
              <w:t xml:space="preserve"> </w:t>
            </w:r>
            <w:r>
              <w:rPr>
                <w:rFonts w:hint="eastAsia" w:ascii="仿宋_GB2312" w:eastAsia="仿宋_GB2312"/>
                <w:kern w:val="0"/>
                <w:sz w:val="24"/>
              </w:rPr>
              <w:t>错误数据处理情况</w:t>
            </w:r>
          </w:p>
        </w:tc>
        <w:tc>
          <w:tcPr>
            <w:tcW w:w="1051" w:type="dxa"/>
            <w:tcBorders>
              <w:top w:val="nil"/>
              <w:left w:val="nil"/>
              <w:bottom w:val="single" w:color="auto" w:sz="4" w:space="0"/>
              <w:right w:val="single" w:color="auto" w:sz="4" w:space="0"/>
            </w:tcBorders>
            <w:shd w:val="clear" w:color="auto" w:fill="auto"/>
            <w:vAlign w:val="center"/>
          </w:tcPr>
          <w:p w14:paraId="089CFB5F">
            <w:pPr>
              <w:widowControl/>
              <w:jc w:val="left"/>
              <w:rPr>
                <w:kern w:val="0"/>
                <w:sz w:val="24"/>
              </w:rPr>
            </w:pPr>
            <w:r>
              <w:rPr>
                <w:rFonts w:hint="eastAsia" w:ascii="仿宋_GB2312" w:eastAsia="仿宋_GB2312"/>
                <w:kern w:val="0"/>
                <w:sz w:val="24"/>
              </w:rPr>
              <w:t>好</w:t>
            </w:r>
          </w:p>
        </w:tc>
        <w:tc>
          <w:tcPr>
            <w:tcW w:w="1056" w:type="dxa"/>
            <w:tcBorders>
              <w:top w:val="nil"/>
              <w:left w:val="nil"/>
              <w:bottom w:val="single" w:color="auto" w:sz="4" w:space="0"/>
              <w:right w:val="single" w:color="auto" w:sz="4" w:space="0"/>
            </w:tcBorders>
            <w:shd w:val="clear" w:color="auto" w:fill="auto"/>
            <w:vAlign w:val="center"/>
          </w:tcPr>
          <w:p w14:paraId="7CB806A5">
            <w:pPr>
              <w:widowControl/>
              <w:jc w:val="left"/>
              <w:rPr>
                <w:kern w:val="0"/>
                <w:sz w:val="24"/>
              </w:rPr>
            </w:pPr>
            <w:r>
              <w:rPr>
                <w:rFonts w:hint="eastAsia" w:ascii="仿宋_GB2312" w:eastAsia="仿宋_GB2312"/>
                <w:kern w:val="0"/>
                <w:sz w:val="24"/>
              </w:rPr>
              <w:t>好</w:t>
            </w:r>
          </w:p>
        </w:tc>
        <w:tc>
          <w:tcPr>
            <w:tcW w:w="1053" w:type="dxa"/>
            <w:tcBorders>
              <w:top w:val="nil"/>
              <w:left w:val="nil"/>
              <w:bottom w:val="single" w:color="auto" w:sz="4" w:space="0"/>
              <w:right w:val="single" w:color="auto" w:sz="4" w:space="0"/>
            </w:tcBorders>
            <w:shd w:val="clear" w:color="auto" w:fill="auto"/>
            <w:vAlign w:val="center"/>
          </w:tcPr>
          <w:p w14:paraId="48804DB6">
            <w:pPr>
              <w:widowControl/>
              <w:jc w:val="right"/>
              <w:rPr>
                <w:kern w:val="0"/>
                <w:sz w:val="24"/>
              </w:rPr>
            </w:pPr>
            <w:r>
              <w:rPr>
                <w:kern w:val="0"/>
                <w:sz w:val="24"/>
              </w:rPr>
              <w:t>100%</w:t>
            </w:r>
          </w:p>
        </w:tc>
        <w:tc>
          <w:tcPr>
            <w:tcW w:w="1350" w:type="dxa"/>
            <w:tcBorders>
              <w:top w:val="nil"/>
              <w:left w:val="nil"/>
              <w:bottom w:val="single" w:color="auto" w:sz="4" w:space="0"/>
              <w:right w:val="single" w:color="auto" w:sz="4" w:space="0"/>
            </w:tcBorders>
            <w:shd w:val="clear" w:color="auto" w:fill="auto"/>
            <w:noWrap/>
            <w:vAlign w:val="bottom"/>
          </w:tcPr>
          <w:p w14:paraId="5F611C9A">
            <w:pPr>
              <w:widowControl/>
              <w:jc w:val="left"/>
              <w:rPr>
                <w:rFonts w:ascii="宋体" w:hAnsi="宋体" w:cs="宋体"/>
                <w:kern w:val="0"/>
                <w:sz w:val="22"/>
                <w:szCs w:val="22"/>
              </w:rPr>
            </w:pPr>
            <w:r>
              <w:rPr>
                <w:rFonts w:hint="eastAsia" w:ascii="宋体" w:hAnsi="宋体" w:cs="宋体"/>
                <w:kern w:val="0"/>
                <w:sz w:val="22"/>
                <w:szCs w:val="22"/>
              </w:rPr>
              <w:t>　</w:t>
            </w:r>
          </w:p>
        </w:tc>
      </w:tr>
      <w:tr w14:paraId="2B4CEBCB">
        <w:tblPrEx>
          <w:tblCellMar>
            <w:top w:w="0" w:type="dxa"/>
            <w:left w:w="108" w:type="dxa"/>
            <w:bottom w:w="0" w:type="dxa"/>
            <w:right w:w="108" w:type="dxa"/>
          </w:tblCellMar>
        </w:tblPrEx>
        <w:trPr>
          <w:trHeight w:val="315"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03BB77D8">
            <w:pPr>
              <w:widowControl/>
              <w:jc w:val="left"/>
              <w:rPr>
                <w:rFonts w:ascii="宋体" w:hAnsi="宋体" w:cs="宋体"/>
                <w:kern w:val="0"/>
                <w:sz w:val="24"/>
              </w:rPr>
            </w:pPr>
          </w:p>
        </w:tc>
        <w:tc>
          <w:tcPr>
            <w:tcW w:w="1031" w:type="dxa"/>
            <w:vMerge w:val="continue"/>
            <w:tcBorders>
              <w:top w:val="single" w:color="000000" w:sz="4" w:space="0"/>
              <w:left w:val="nil"/>
              <w:bottom w:val="single" w:color="000000" w:sz="4" w:space="0"/>
              <w:right w:val="single" w:color="auto" w:sz="4" w:space="0"/>
            </w:tcBorders>
            <w:vAlign w:val="center"/>
          </w:tcPr>
          <w:p w14:paraId="7D50B77B">
            <w:pPr>
              <w:widowControl/>
              <w:jc w:val="left"/>
              <w:rPr>
                <w:rFonts w:ascii="宋体" w:hAnsi="宋体" w:cs="宋体"/>
                <w:kern w:val="0"/>
                <w:sz w:val="18"/>
                <w:szCs w:val="18"/>
              </w:rPr>
            </w:pPr>
          </w:p>
        </w:tc>
        <w:tc>
          <w:tcPr>
            <w:tcW w:w="1031" w:type="dxa"/>
            <w:tcBorders>
              <w:top w:val="nil"/>
              <w:left w:val="nil"/>
              <w:bottom w:val="single" w:color="auto" w:sz="4" w:space="0"/>
              <w:right w:val="single" w:color="auto" w:sz="4" w:space="0"/>
            </w:tcBorders>
            <w:shd w:val="clear" w:color="auto" w:fill="auto"/>
            <w:vAlign w:val="center"/>
          </w:tcPr>
          <w:p w14:paraId="5CDAD9E7">
            <w:pPr>
              <w:widowControl/>
              <w:jc w:val="center"/>
              <w:rPr>
                <w:kern w:val="0"/>
                <w:sz w:val="24"/>
              </w:rPr>
            </w:pPr>
            <w:r>
              <w:rPr>
                <w:rFonts w:hint="eastAsia" w:ascii="仿宋_GB2312" w:eastAsia="仿宋_GB2312"/>
                <w:kern w:val="0"/>
                <w:sz w:val="24"/>
              </w:rPr>
              <w:t>时效指标</w:t>
            </w:r>
          </w:p>
        </w:tc>
        <w:tc>
          <w:tcPr>
            <w:tcW w:w="1037" w:type="dxa"/>
            <w:tcBorders>
              <w:top w:val="nil"/>
              <w:left w:val="nil"/>
              <w:bottom w:val="single" w:color="auto" w:sz="4" w:space="0"/>
              <w:right w:val="single" w:color="auto" w:sz="4" w:space="0"/>
            </w:tcBorders>
            <w:shd w:val="clear" w:color="auto" w:fill="auto"/>
            <w:vAlign w:val="center"/>
          </w:tcPr>
          <w:p w14:paraId="0CBD2760">
            <w:pPr>
              <w:widowControl/>
              <w:jc w:val="center"/>
              <w:rPr>
                <w:kern w:val="0"/>
                <w:sz w:val="24"/>
              </w:rPr>
            </w:pPr>
            <w:r>
              <w:rPr>
                <w:rFonts w:hint="eastAsia" w:ascii="仿宋_GB2312" w:eastAsia="仿宋_GB2312"/>
                <w:kern w:val="0"/>
                <w:sz w:val="24"/>
              </w:rPr>
              <w:t>完成年限</w:t>
            </w:r>
          </w:p>
        </w:tc>
        <w:tc>
          <w:tcPr>
            <w:tcW w:w="1051" w:type="dxa"/>
            <w:tcBorders>
              <w:top w:val="nil"/>
              <w:left w:val="nil"/>
              <w:bottom w:val="single" w:color="auto" w:sz="4" w:space="0"/>
              <w:right w:val="single" w:color="auto" w:sz="4" w:space="0"/>
            </w:tcBorders>
            <w:shd w:val="clear" w:color="auto" w:fill="auto"/>
            <w:vAlign w:val="center"/>
          </w:tcPr>
          <w:p w14:paraId="2E4E9C84">
            <w:pPr>
              <w:widowControl/>
              <w:jc w:val="left"/>
              <w:rPr>
                <w:kern w:val="0"/>
                <w:sz w:val="24"/>
              </w:rPr>
            </w:pPr>
            <w:r>
              <w:rPr>
                <w:kern w:val="0"/>
                <w:sz w:val="24"/>
              </w:rPr>
              <w:t>2023</w:t>
            </w:r>
            <w:r>
              <w:rPr>
                <w:rFonts w:hint="eastAsia" w:ascii="仿宋_GB2312" w:eastAsia="仿宋_GB2312"/>
                <w:kern w:val="0"/>
                <w:sz w:val="24"/>
              </w:rPr>
              <w:t>年</w:t>
            </w:r>
          </w:p>
        </w:tc>
        <w:tc>
          <w:tcPr>
            <w:tcW w:w="1056" w:type="dxa"/>
            <w:tcBorders>
              <w:top w:val="nil"/>
              <w:left w:val="nil"/>
              <w:bottom w:val="single" w:color="auto" w:sz="4" w:space="0"/>
              <w:right w:val="single" w:color="auto" w:sz="4" w:space="0"/>
            </w:tcBorders>
            <w:shd w:val="clear" w:color="auto" w:fill="auto"/>
            <w:vAlign w:val="center"/>
          </w:tcPr>
          <w:p w14:paraId="0F3CF017">
            <w:pPr>
              <w:widowControl/>
              <w:jc w:val="left"/>
              <w:rPr>
                <w:kern w:val="0"/>
                <w:sz w:val="24"/>
              </w:rPr>
            </w:pPr>
            <w:r>
              <w:rPr>
                <w:kern w:val="0"/>
                <w:sz w:val="24"/>
              </w:rPr>
              <w:t>2023</w:t>
            </w:r>
            <w:r>
              <w:rPr>
                <w:rFonts w:hint="eastAsia" w:ascii="仿宋_GB2312" w:eastAsia="仿宋_GB2312"/>
                <w:kern w:val="0"/>
                <w:sz w:val="24"/>
              </w:rPr>
              <w:t>年</w:t>
            </w:r>
          </w:p>
        </w:tc>
        <w:tc>
          <w:tcPr>
            <w:tcW w:w="1053" w:type="dxa"/>
            <w:tcBorders>
              <w:top w:val="nil"/>
              <w:left w:val="nil"/>
              <w:bottom w:val="single" w:color="auto" w:sz="4" w:space="0"/>
              <w:right w:val="single" w:color="auto" w:sz="4" w:space="0"/>
            </w:tcBorders>
            <w:shd w:val="clear" w:color="auto" w:fill="auto"/>
            <w:vAlign w:val="center"/>
          </w:tcPr>
          <w:p w14:paraId="2AACD676">
            <w:pPr>
              <w:widowControl/>
              <w:jc w:val="right"/>
              <w:rPr>
                <w:kern w:val="0"/>
                <w:sz w:val="24"/>
              </w:rPr>
            </w:pPr>
            <w:r>
              <w:rPr>
                <w:kern w:val="0"/>
                <w:sz w:val="24"/>
              </w:rPr>
              <w:t>100%</w:t>
            </w:r>
          </w:p>
        </w:tc>
        <w:tc>
          <w:tcPr>
            <w:tcW w:w="1350" w:type="dxa"/>
            <w:tcBorders>
              <w:top w:val="nil"/>
              <w:left w:val="nil"/>
              <w:bottom w:val="single" w:color="auto" w:sz="4" w:space="0"/>
              <w:right w:val="single" w:color="auto" w:sz="4" w:space="0"/>
            </w:tcBorders>
            <w:shd w:val="clear" w:color="auto" w:fill="auto"/>
            <w:noWrap/>
            <w:vAlign w:val="bottom"/>
          </w:tcPr>
          <w:p w14:paraId="6C180148">
            <w:pPr>
              <w:widowControl/>
              <w:jc w:val="left"/>
              <w:rPr>
                <w:rFonts w:ascii="宋体" w:hAnsi="宋体" w:cs="宋体"/>
                <w:kern w:val="0"/>
                <w:sz w:val="22"/>
                <w:szCs w:val="22"/>
              </w:rPr>
            </w:pPr>
            <w:r>
              <w:rPr>
                <w:rFonts w:hint="eastAsia" w:ascii="宋体" w:hAnsi="宋体" w:cs="宋体"/>
                <w:kern w:val="0"/>
                <w:sz w:val="22"/>
                <w:szCs w:val="22"/>
              </w:rPr>
              <w:t>　</w:t>
            </w:r>
          </w:p>
        </w:tc>
      </w:tr>
      <w:tr w14:paraId="0967CE1A">
        <w:tblPrEx>
          <w:tblCellMar>
            <w:top w:w="0" w:type="dxa"/>
            <w:left w:w="108" w:type="dxa"/>
            <w:bottom w:w="0" w:type="dxa"/>
            <w:right w:w="108" w:type="dxa"/>
          </w:tblCellMar>
        </w:tblPrEx>
        <w:trPr>
          <w:trHeight w:val="600"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55BEF8F8">
            <w:pPr>
              <w:widowControl/>
              <w:jc w:val="left"/>
              <w:rPr>
                <w:rFonts w:ascii="宋体" w:hAnsi="宋体" w:cs="宋体"/>
                <w:kern w:val="0"/>
                <w:sz w:val="24"/>
              </w:rPr>
            </w:pPr>
          </w:p>
        </w:tc>
        <w:tc>
          <w:tcPr>
            <w:tcW w:w="1031" w:type="dxa"/>
            <w:vMerge w:val="continue"/>
            <w:tcBorders>
              <w:top w:val="single" w:color="000000" w:sz="4" w:space="0"/>
              <w:left w:val="nil"/>
              <w:bottom w:val="single" w:color="000000" w:sz="4" w:space="0"/>
              <w:right w:val="single" w:color="auto" w:sz="4" w:space="0"/>
            </w:tcBorders>
            <w:vAlign w:val="center"/>
          </w:tcPr>
          <w:p w14:paraId="509FFC4F">
            <w:pPr>
              <w:widowControl/>
              <w:jc w:val="left"/>
              <w:rPr>
                <w:rFonts w:ascii="宋体" w:hAnsi="宋体" w:cs="宋体"/>
                <w:kern w:val="0"/>
                <w:sz w:val="18"/>
                <w:szCs w:val="18"/>
              </w:rPr>
            </w:pPr>
          </w:p>
        </w:tc>
        <w:tc>
          <w:tcPr>
            <w:tcW w:w="1031" w:type="dxa"/>
            <w:tcBorders>
              <w:top w:val="nil"/>
              <w:left w:val="nil"/>
              <w:bottom w:val="single" w:color="auto" w:sz="4" w:space="0"/>
              <w:right w:val="single" w:color="auto" w:sz="4" w:space="0"/>
            </w:tcBorders>
            <w:shd w:val="clear" w:color="auto" w:fill="auto"/>
            <w:vAlign w:val="center"/>
          </w:tcPr>
          <w:p w14:paraId="4C33C21E">
            <w:pPr>
              <w:widowControl/>
              <w:jc w:val="center"/>
              <w:rPr>
                <w:kern w:val="0"/>
                <w:sz w:val="24"/>
              </w:rPr>
            </w:pPr>
            <w:r>
              <w:rPr>
                <w:rFonts w:hint="eastAsia" w:ascii="仿宋_GB2312" w:eastAsia="仿宋_GB2312"/>
                <w:kern w:val="0"/>
                <w:sz w:val="24"/>
              </w:rPr>
              <w:t>成本指标</w:t>
            </w:r>
          </w:p>
        </w:tc>
        <w:tc>
          <w:tcPr>
            <w:tcW w:w="1037" w:type="dxa"/>
            <w:tcBorders>
              <w:top w:val="nil"/>
              <w:left w:val="nil"/>
              <w:bottom w:val="single" w:color="auto" w:sz="4" w:space="0"/>
              <w:right w:val="single" w:color="auto" w:sz="4" w:space="0"/>
            </w:tcBorders>
            <w:shd w:val="clear" w:color="auto" w:fill="auto"/>
            <w:vAlign w:val="center"/>
          </w:tcPr>
          <w:p w14:paraId="3021F445">
            <w:pPr>
              <w:widowControl/>
              <w:jc w:val="center"/>
              <w:rPr>
                <w:kern w:val="0"/>
                <w:sz w:val="24"/>
              </w:rPr>
            </w:pPr>
            <w:r>
              <w:rPr>
                <w:rFonts w:hint="eastAsia" w:ascii="仿宋_GB2312" w:eastAsia="仿宋_GB2312"/>
                <w:kern w:val="0"/>
                <w:sz w:val="24"/>
              </w:rPr>
              <w:t>财政资金投入</w:t>
            </w:r>
          </w:p>
        </w:tc>
        <w:tc>
          <w:tcPr>
            <w:tcW w:w="1051" w:type="dxa"/>
            <w:tcBorders>
              <w:top w:val="nil"/>
              <w:left w:val="nil"/>
              <w:bottom w:val="single" w:color="auto" w:sz="4" w:space="0"/>
              <w:right w:val="single" w:color="auto" w:sz="4" w:space="0"/>
            </w:tcBorders>
            <w:shd w:val="clear" w:color="auto" w:fill="auto"/>
            <w:vAlign w:val="center"/>
          </w:tcPr>
          <w:p w14:paraId="365D46FB">
            <w:pPr>
              <w:widowControl/>
              <w:jc w:val="left"/>
              <w:rPr>
                <w:kern w:val="0"/>
                <w:sz w:val="24"/>
              </w:rPr>
            </w:pPr>
            <w:r>
              <w:rPr>
                <w:kern w:val="0"/>
                <w:sz w:val="24"/>
              </w:rPr>
              <w:t>159.5</w:t>
            </w:r>
            <w:r>
              <w:rPr>
                <w:rFonts w:hint="eastAsia" w:ascii="宋体" w:hAnsi="宋体"/>
                <w:kern w:val="0"/>
                <w:sz w:val="24"/>
              </w:rPr>
              <w:t>万</w:t>
            </w:r>
            <w:r>
              <w:rPr>
                <w:rFonts w:hint="eastAsia" w:ascii="仿宋_GB2312" w:eastAsia="仿宋_GB2312"/>
                <w:kern w:val="0"/>
                <w:sz w:val="24"/>
              </w:rPr>
              <w:t>元</w:t>
            </w:r>
          </w:p>
        </w:tc>
        <w:tc>
          <w:tcPr>
            <w:tcW w:w="1056" w:type="dxa"/>
            <w:tcBorders>
              <w:top w:val="nil"/>
              <w:left w:val="nil"/>
              <w:bottom w:val="single" w:color="auto" w:sz="4" w:space="0"/>
              <w:right w:val="single" w:color="auto" w:sz="4" w:space="0"/>
            </w:tcBorders>
            <w:shd w:val="clear" w:color="auto" w:fill="auto"/>
            <w:vAlign w:val="center"/>
          </w:tcPr>
          <w:p w14:paraId="7FC6908F">
            <w:pPr>
              <w:widowControl/>
              <w:jc w:val="left"/>
              <w:rPr>
                <w:kern w:val="0"/>
                <w:sz w:val="24"/>
              </w:rPr>
            </w:pPr>
            <w:r>
              <w:rPr>
                <w:kern w:val="0"/>
                <w:sz w:val="24"/>
              </w:rPr>
              <w:t>151.53</w:t>
            </w:r>
            <w:r>
              <w:rPr>
                <w:rFonts w:hint="eastAsia" w:ascii="宋体" w:hAnsi="宋体"/>
                <w:kern w:val="0"/>
                <w:sz w:val="24"/>
              </w:rPr>
              <w:t>万</w:t>
            </w:r>
            <w:r>
              <w:rPr>
                <w:rFonts w:hint="eastAsia" w:ascii="仿宋_GB2312" w:eastAsia="仿宋_GB2312"/>
                <w:kern w:val="0"/>
                <w:sz w:val="24"/>
              </w:rPr>
              <w:t>元</w:t>
            </w:r>
          </w:p>
        </w:tc>
        <w:tc>
          <w:tcPr>
            <w:tcW w:w="1053" w:type="dxa"/>
            <w:tcBorders>
              <w:top w:val="nil"/>
              <w:left w:val="nil"/>
              <w:bottom w:val="single" w:color="auto" w:sz="4" w:space="0"/>
              <w:right w:val="single" w:color="auto" w:sz="4" w:space="0"/>
            </w:tcBorders>
            <w:shd w:val="clear" w:color="auto" w:fill="auto"/>
            <w:vAlign w:val="center"/>
          </w:tcPr>
          <w:p w14:paraId="04A18381">
            <w:pPr>
              <w:widowControl/>
              <w:jc w:val="right"/>
              <w:rPr>
                <w:kern w:val="0"/>
                <w:sz w:val="24"/>
              </w:rPr>
            </w:pPr>
            <w:r>
              <w:rPr>
                <w:kern w:val="0"/>
                <w:sz w:val="24"/>
              </w:rPr>
              <w:t>95%</w:t>
            </w:r>
          </w:p>
        </w:tc>
        <w:tc>
          <w:tcPr>
            <w:tcW w:w="1350" w:type="dxa"/>
            <w:tcBorders>
              <w:top w:val="nil"/>
              <w:left w:val="nil"/>
              <w:bottom w:val="single" w:color="auto" w:sz="4" w:space="0"/>
              <w:right w:val="single" w:color="auto" w:sz="4" w:space="0"/>
            </w:tcBorders>
            <w:shd w:val="clear" w:color="auto" w:fill="auto"/>
            <w:noWrap/>
            <w:vAlign w:val="bottom"/>
          </w:tcPr>
          <w:p w14:paraId="06081E4A">
            <w:pPr>
              <w:widowControl/>
              <w:jc w:val="left"/>
              <w:rPr>
                <w:rFonts w:ascii="宋体" w:hAnsi="宋体" w:cs="宋体"/>
                <w:kern w:val="0"/>
                <w:sz w:val="22"/>
                <w:szCs w:val="22"/>
              </w:rPr>
            </w:pPr>
            <w:r>
              <w:rPr>
                <w:rFonts w:hint="eastAsia" w:ascii="宋体" w:hAnsi="宋体" w:cs="宋体"/>
                <w:kern w:val="0"/>
                <w:sz w:val="22"/>
                <w:szCs w:val="22"/>
              </w:rPr>
              <w:t>项目验收整改</w:t>
            </w:r>
          </w:p>
        </w:tc>
      </w:tr>
      <w:tr w14:paraId="44C36BDB">
        <w:tblPrEx>
          <w:tblCellMar>
            <w:top w:w="0" w:type="dxa"/>
            <w:left w:w="108" w:type="dxa"/>
            <w:bottom w:w="0" w:type="dxa"/>
            <w:right w:w="108" w:type="dxa"/>
          </w:tblCellMar>
        </w:tblPrEx>
        <w:trPr>
          <w:trHeight w:val="1170"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26485607">
            <w:pPr>
              <w:widowControl/>
              <w:jc w:val="left"/>
              <w:rPr>
                <w:rFonts w:ascii="宋体" w:hAnsi="宋体" w:cs="宋体"/>
                <w:kern w:val="0"/>
                <w:sz w:val="24"/>
              </w:rPr>
            </w:pPr>
          </w:p>
        </w:tc>
        <w:tc>
          <w:tcPr>
            <w:tcW w:w="1031" w:type="dxa"/>
            <w:tcBorders>
              <w:top w:val="nil"/>
              <w:left w:val="nil"/>
              <w:bottom w:val="single" w:color="000000" w:sz="4" w:space="0"/>
              <w:right w:val="single" w:color="000000" w:sz="4" w:space="0"/>
            </w:tcBorders>
            <w:shd w:val="clear" w:color="auto" w:fill="auto"/>
            <w:vAlign w:val="center"/>
          </w:tcPr>
          <w:p w14:paraId="558C4F7F">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031" w:type="dxa"/>
            <w:tcBorders>
              <w:top w:val="nil"/>
              <w:left w:val="nil"/>
              <w:bottom w:val="single" w:color="auto" w:sz="4" w:space="0"/>
              <w:right w:val="single" w:color="auto" w:sz="4" w:space="0"/>
            </w:tcBorders>
            <w:shd w:val="clear" w:color="auto" w:fill="auto"/>
            <w:vAlign w:val="center"/>
          </w:tcPr>
          <w:p w14:paraId="5A253F79">
            <w:pPr>
              <w:widowControl/>
              <w:jc w:val="center"/>
              <w:rPr>
                <w:rFonts w:ascii="仿宋_GB2312" w:hAnsi="宋体" w:eastAsia="仿宋_GB2312" w:cs="宋体"/>
                <w:kern w:val="0"/>
                <w:sz w:val="24"/>
              </w:rPr>
            </w:pPr>
            <w:r>
              <w:rPr>
                <w:rFonts w:hint="eastAsia" w:ascii="仿宋_GB2312" w:hAnsi="宋体" w:eastAsia="仿宋_GB2312" w:cs="宋体"/>
                <w:kern w:val="0"/>
                <w:sz w:val="24"/>
              </w:rPr>
              <w:t>社会效益指标</w:t>
            </w:r>
          </w:p>
        </w:tc>
        <w:tc>
          <w:tcPr>
            <w:tcW w:w="1037" w:type="dxa"/>
            <w:tcBorders>
              <w:top w:val="nil"/>
              <w:left w:val="nil"/>
              <w:bottom w:val="single" w:color="auto" w:sz="4" w:space="0"/>
              <w:right w:val="single" w:color="auto" w:sz="4" w:space="0"/>
            </w:tcBorders>
            <w:shd w:val="clear" w:color="auto" w:fill="auto"/>
            <w:vAlign w:val="center"/>
          </w:tcPr>
          <w:p w14:paraId="60F7DBAB">
            <w:pPr>
              <w:widowControl/>
              <w:jc w:val="center"/>
              <w:rPr>
                <w:kern w:val="0"/>
                <w:sz w:val="24"/>
              </w:rPr>
            </w:pPr>
            <w:r>
              <w:rPr>
                <w:rFonts w:hint="eastAsia" w:ascii="仿宋_GB2312" w:eastAsia="仿宋_GB2312"/>
                <w:kern w:val="0"/>
                <w:sz w:val="24"/>
              </w:rPr>
              <w:t>征地系统</w:t>
            </w:r>
            <w:r>
              <w:rPr>
                <w:kern w:val="0"/>
                <w:sz w:val="24"/>
              </w:rPr>
              <w:t>“</w:t>
            </w:r>
            <w:r>
              <w:rPr>
                <w:rFonts w:hint="eastAsia" w:ascii="仿宋_GB2312" w:eastAsia="仿宋_GB2312"/>
                <w:kern w:val="0"/>
                <w:sz w:val="24"/>
              </w:rPr>
              <w:t>一张图</w:t>
            </w:r>
            <w:r>
              <w:rPr>
                <w:kern w:val="0"/>
                <w:sz w:val="24"/>
              </w:rPr>
              <w:t>”</w:t>
            </w:r>
            <w:r>
              <w:rPr>
                <w:rFonts w:hint="eastAsia" w:ascii="仿宋_GB2312" w:eastAsia="仿宋_GB2312"/>
                <w:kern w:val="0"/>
                <w:sz w:val="24"/>
              </w:rPr>
              <w:t>管理实现率</w:t>
            </w:r>
          </w:p>
        </w:tc>
        <w:tc>
          <w:tcPr>
            <w:tcW w:w="1051" w:type="dxa"/>
            <w:tcBorders>
              <w:top w:val="nil"/>
              <w:left w:val="nil"/>
              <w:bottom w:val="single" w:color="auto" w:sz="4" w:space="0"/>
              <w:right w:val="single" w:color="auto" w:sz="4" w:space="0"/>
            </w:tcBorders>
            <w:shd w:val="clear" w:color="auto" w:fill="auto"/>
            <w:vAlign w:val="center"/>
          </w:tcPr>
          <w:p w14:paraId="2BBB3C9E">
            <w:pPr>
              <w:widowControl/>
              <w:jc w:val="left"/>
              <w:rPr>
                <w:kern w:val="0"/>
                <w:sz w:val="24"/>
              </w:rPr>
            </w:pPr>
            <w:r>
              <w:rPr>
                <w:rFonts w:hint="eastAsia" w:ascii="仿宋_GB2312" w:eastAsia="仿宋_GB2312"/>
                <w:kern w:val="0"/>
                <w:sz w:val="24"/>
              </w:rPr>
              <w:t>实现率</w:t>
            </w:r>
            <w:r>
              <w:rPr>
                <w:kern w:val="0"/>
                <w:sz w:val="24"/>
              </w:rPr>
              <w:t>≥95%</w:t>
            </w:r>
          </w:p>
        </w:tc>
        <w:tc>
          <w:tcPr>
            <w:tcW w:w="1056" w:type="dxa"/>
            <w:tcBorders>
              <w:top w:val="nil"/>
              <w:left w:val="nil"/>
              <w:bottom w:val="single" w:color="auto" w:sz="4" w:space="0"/>
              <w:right w:val="single" w:color="auto" w:sz="4" w:space="0"/>
            </w:tcBorders>
            <w:shd w:val="clear" w:color="auto" w:fill="auto"/>
            <w:vAlign w:val="center"/>
          </w:tcPr>
          <w:p w14:paraId="3681A853">
            <w:pPr>
              <w:widowControl/>
              <w:jc w:val="left"/>
              <w:rPr>
                <w:kern w:val="0"/>
                <w:sz w:val="24"/>
              </w:rPr>
            </w:pPr>
            <w:r>
              <w:rPr>
                <w:rFonts w:hint="eastAsia" w:ascii="仿宋_GB2312" w:eastAsia="仿宋_GB2312"/>
                <w:kern w:val="0"/>
                <w:sz w:val="24"/>
              </w:rPr>
              <w:t>实现率</w:t>
            </w:r>
            <w:r>
              <w:rPr>
                <w:kern w:val="0"/>
                <w:sz w:val="24"/>
              </w:rPr>
              <w:t>≥95%</w:t>
            </w:r>
          </w:p>
        </w:tc>
        <w:tc>
          <w:tcPr>
            <w:tcW w:w="1053" w:type="dxa"/>
            <w:tcBorders>
              <w:top w:val="nil"/>
              <w:left w:val="nil"/>
              <w:bottom w:val="single" w:color="auto" w:sz="4" w:space="0"/>
              <w:right w:val="single" w:color="auto" w:sz="4" w:space="0"/>
            </w:tcBorders>
            <w:shd w:val="clear" w:color="auto" w:fill="auto"/>
            <w:vAlign w:val="center"/>
          </w:tcPr>
          <w:p w14:paraId="532163DC">
            <w:pPr>
              <w:widowControl/>
              <w:jc w:val="right"/>
              <w:rPr>
                <w:kern w:val="0"/>
                <w:sz w:val="24"/>
              </w:rPr>
            </w:pPr>
            <w:r>
              <w:rPr>
                <w:kern w:val="0"/>
                <w:sz w:val="24"/>
              </w:rPr>
              <w:t>100%</w:t>
            </w:r>
          </w:p>
        </w:tc>
        <w:tc>
          <w:tcPr>
            <w:tcW w:w="1350" w:type="dxa"/>
            <w:tcBorders>
              <w:top w:val="nil"/>
              <w:left w:val="nil"/>
              <w:bottom w:val="single" w:color="auto" w:sz="4" w:space="0"/>
              <w:right w:val="single" w:color="auto" w:sz="4" w:space="0"/>
            </w:tcBorders>
            <w:shd w:val="clear" w:color="auto" w:fill="auto"/>
            <w:noWrap/>
            <w:vAlign w:val="bottom"/>
          </w:tcPr>
          <w:p w14:paraId="72F028AE">
            <w:pPr>
              <w:widowControl/>
              <w:jc w:val="left"/>
              <w:rPr>
                <w:rFonts w:ascii="宋体" w:hAnsi="宋体" w:cs="宋体"/>
                <w:kern w:val="0"/>
                <w:sz w:val="22"/>
                <w:szCs w:val="22"/>
              </w:rPr>
            </w:pPr>
            <w:r>
              <w:rPr>
                <w:rFonts w:hint="eastAsia" w:ascii="宋体" w:hAnsi="宋体" w:cs="宋体"/>
                <w:kern w:val="0"/>
                <w:sz w:val="22"/>
                <w:szCs w:val="22"/>
              </w:rPr>
              <w:t>　</w:t>
            </w:r>
          </w:p>
        </w:tc>
      </w:tr>
      <w:tr w14:paraId="5C301D3D">
        <w:tblPrEx>
          <w:tblCellMar>
            <w:top w:w="0" w:type="dxa"/>
            <w:left w:w="108" w:type="dxa"/>
            <w:bottom w:w="0" w:type="dxa"/>
            <w:right w:w="108" w:type="dxa"/>
          </w:tblCellMar>
        </w:tblPrEx>
        <w:trPr>
          <w:trHeight w:val="1425" w:hRule="atLeast"/>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71D43740">
            <w:pPr>
              <w:widowControl/>
              <w:jc w:val="left"/>
              <w:rPr>
                <w:rFonts w:ascii="宋体" w:hAnsi="宋体" w:cs="宋体"/>
                <w:kern w:val="0"/>
                <w:sz w:val="24"/>
              </w:rPr>
            </w:pPr>
          </w:p>
        </w:tc>
        <w:tc>
          <w:tcPr>
            <w:tcW w:w="1031" w:type="dxa"/>
            <w:tcBorders>
              <w:top w:val="nil"/>
              <w:left w:val="nil"/>
              <w:bottom w:val="single" w:color="000000" w:sz="4" w:space="0"/>
              <w:right w:val="single" w:color="000000" w:sz="4" w:space="0"/>
            </w:tcBorders>
            <w:shd w:val="clear" w:color="auto" w:fill="auto"/>
            <w:vAlign w:val="center"/>
          </w:tcPr>
          <w:p w14:paraId="69DE8703">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031" w:type="dxa"/>
            <w:tcBorders>
              <w:top w:val="nil"/>
              <w:left w:val="nil"/>
              <w:bottom w:val="single" w:color="auto" w:sz="4" w:space="0"/>
              <w:right w:val="single" w:color="auto" w:sz="4" w:space="0"/>
            </w:tcBorders>
            <w:shd w:val="clear" w:color="auto" w:fill="auto"/>
            <w:vAlign w:val="center"/>
          </w:tcPr>
          <w:p w14:paraId="2188ECCA">
            <w:pPr>
              <w:widowControl/>
              <w:jc w:val="center"/>
              <w:rPr>
                <w:kern w:val="0"/>
                <w:sz w:val="24"/>
              </w:rPr>
            </w:pPr>
            <w:r>
              <w:rPr>
                <w:rFonts w:hint="eastAsia" w:ascii="仿宋_GB2312" w:eastAsia="仿宋_GB2312"/>
                <w:kern w:val="0"/>
                <w:sz w:val="24"/>
              </w:rPr>
              <w:t>满意度指标</w:t>
            </w:r>
          </w:p>
        </w:tc>
        <w:tc>
          <w:tcPr>
            <w:tcW w:w="1037" w:type="dxa"/>
            <w:tcBorders>
              <w:top w:val="nil"/>
              <w:left w:val="nil"/>
              <w:bottom w:val="single" w:color="auto" w:sz="4" w:space="0"/>
              <w:right w:val="single" w:color="auto" w:sz="4" w:space="0"/>
            </w:tcBorders>
            <w:shd w:val="clear" w:color="auto" w:fill="auto"/>
            <w:vAlign w:val="center"/>
          </w:tcPr>
          <w:p w14:paraId="7F28A126">
            <w:pPr>
              <w:widowControl/>
              <w:jc w:val="center"/>
              <w:rPr>
                <w:rFonts w:ascii="仿宋_GB2312" w:hAnsi="宋体" w:eastAsia="仿宋_GB2312" w:cs="宋体"/>
                <w:kern w:val="0"/>
                <w:sz w:val="24"/>
              </w:rPr>
            </w:pPr>
            <w:r>
              <w:rPr>
                <w:rFonts w:hint="eastAsia" w:ascii="仿宋_GB2312" w:hAnsi="宋体" w:eastAsia="仿宋_GB2312" w:cs="宋体"/>
                <w:kern w:val="0"/>
                <w:sz w:val="24"/>
              </w:rPr>
              <w:t>征收中心及涉及征地系统建设乡镇满意度</w:t>
            </w:r>
          </w:p>
        </w:tc>
        <w:tc>
          <w:tcPr>
            <w:tcW w:w="1051" w:type="dxa"/>
            <w:tcBorders>
              <w:top w:val="nil"/>
              <w:left w:val="nil"/>
              <w:bottom w:val="single" w:color="auto" w:sz="4" w:space="0"/>
              <w:right w:val="single" w:color="auto" w:sz="4" w:space="0"/>
            </w:tcBorders>
            <w:shd w:val="clear" w:color="auto" w:fill="auto"/>
            <w:vAlign w:val="center"/>
          </w:tcPr>
          <w:p w14:paraId="532AF5E8">
            <w:pPr>
              <w:widowControl/>
              <w:jc w:val="left"/>
              <w:rPr>
                <w:rFonts w:ascii="仿宋_GB2312" w:hAnsi="宋体" w:eastAsia="仿宋_GB2312" w:cs="宋体"/>
                <w:kern w:val="0"/>
                <w:sz w:val="24"/>
              </w:rPr>
            </w:pPr>
            <w:r>
              <w:rPr>
                <w:rFonts w:hint="eastAsia" w:ascii="仿宋_GB2312" w:hAnsi="宋体" w:eastAsia="仿宋_GB2312" w:cs="宋体"/>
                <w:kern w:val="0"/>
                <w:sz w:val="24"/>
              </w:rPr>
              <w:t>满意度≥95%</w:t>
            </w:r>
          </w:p>
        </w:tc>
        <w:tc>
          <w:tcPr>
            <w:tcW w:w="1056" w:type="dxa"/>
            <w:tcBorders>
              <w:top w:val="nil"/>
              <w:left w:val="nil"/>
              <w:bottom w:val="single" w:color="auto" w:sz="4" w:space="0"/>
              <w:right w:val="single" w:color="auto" w:sz="4" w:space="0"/>
            </w:tcBorders>
            <w:shd w:val="clear" w:color="auto" w:fill="auto"/>
            <w:vAlign w:val="center"/>
          </w:tcPr>
          <w:p w14:paraId="70D9FEE6">
            <w:pPr>
              <w:widowControl/>
              <w:jc w:val="left"/>
              <w:rPr>
                <w:rFonts w:ascii="仿宋_GB2312" w:hAnsi="宋体" w:eastAsia="仿宋_GB2312" w:cs="宋体"/>
                <w:kern w:val="0"/>
                <w:sz w:val="24"/>
              </w:rPr>
            </w:pPr>
            <w:r>
              <w:rPr>
                <w:rFonts w:hint="eastAsia" w:ascii="仿宋_GB2312" w:hAnsi="宋体" w:eastAsia="仿宋_GB2312" w:cs="宋体"/>
                <w:kern w:val="0"/>
                <w:sz w:val="24"/>
              </w:rPr>
              <w:t>满意度≥95%</w:t>
            </w:r>
          </w:p>
        </w:tc>
        <w:tc>
          <w:tcPr>
            <w:tcW w:w="1053" w:type="dxa"/>
            <w:tcBorders>
              <w:top w:val="nil"/>
              <w:left w:val="nil"/>
              <w:bottom w:val="single" w:color="auto" w:sz="4" w:space="0"/>
              <w:right w:val="single" w:color="auto" w:sz="4" w:space="0"/>
            </w:tcBorders>
            <w:shd w:val="clear" w:color="auto" w:fill="auto"/>
            <w:vAlign w:val="center"/>
          </w:tcPr>
          <w:p w14:paraId="25E5A051">
            <w:pPr>
              <w:widowControl/>
              <w:jc w:val="right"/>
              <w:rPr>
                <w:kern w:val="0"/>
                <w:sz w:val="24"/>
              </w:rPr>
            </w:pPr>
            <w:r>
              <w:rPr>
                <w:kern w:val="0"/>
                <w:sz w:val="24"/>
              </w:rPr>
              <w:t>100%</w:t>
            </w:r>
          </w:p>
        </w:tc>
        <w:tc>
          <w:tcPr>
            <w:tcW w:w="1350" w:type="dxa"/>
            <w:tcBorders>
              <w:top w:val="nil"/>
              <w:left w:val="nil"/>
              <w:bottom w:val="single" w:color="auto" w:sz="4" w:space="0"/>
              <w:right w:val="single" w:color="auto" w:sz="4" w:space="0"/>
            </w:tcBorders>
            <w:shd w:val="clear" w:color="auto" w:fill="auto"/>
            <w:noWrap/>
            <w:vAlign w:val="bottom"/>
          </w:tcPr>
          <w:p w14:paraId="42B0ADFE">
            <w:pPr>
              <w:widowControl/>
              <w:jc w:val="left"/>
              <w:rPr>
                <w:rFonts w:ascii="宋体" w:hAnsi="宋体" w:cs="宋体"/>
                <w:kern w:val="0"/>
                <w:sz w:val="22"/>
                <w:szCs w:val="22"/>
              </w:rPr>
            </w:pPr>
            <w:r>
              <w:rPr>
                <w:rFonts w:hint="eastAsia" w:ascii="宋体" w:hAnsi="宋体" w:cs="宋体"/>
                <w:kern w:val="0"/>
                <w:sz w:val="22"/>
                <w:szCs w:val="22"/>
              </w:rPr>
              <w:t>　</w:t>
            </w:r>
          </w:p>
        </w:tc>
      </w:tr>
    </w:tbl>
    <w:p w14:paraId="6A029E15">
      <w:pPr>
        <w:pStyle w:val="13"/>
      </w:pPr>
    </w:p>
    <w:p w14:paraId="72AC0F66">
      <w:pPr>
        <w:spacing w:line="578" w:lineRule="exact"/>
        <w:ind w:firstLine="640"/>
        <w:rPr>
          <w:rFonts w:ascii="楷体_GB2312" w:hAnsi="宋体" w:eastAsia="楷体_GB2312"/>
          <w:b/>
          <w:sz w:val="32"/>
          <w:szCs w:val="32"/>
        </w:rPr>
      </w:pPr>
      <w:r>
        <w:rPr>
          <w:rFonts w:hint="eastAsia" w:ascii="楷体_GB2312" w:hAnsi="宋体" w:eastAsia="楷体_GB2312"/>
          <w:b/>
          <w:sz w:val="32"/>
          <w:szCs w:val="32"/>
          <w:lang w:val="zh-CN"/>
        </w:rPr>
        <w:t>（一）</w:t>
      </w:r>
      <w:r>
        <w:rPr>
          <w:rFonts w:hint="eastAsia" w:ascii="楷体_GB2312" w:hAnsi="宋体" w:eastAsia="楷体_GB2312"/>
          <w:b/>
          <w:sz w:val="32"/>
          <w:szCs w:val="32"/>
        </w:rPr>
        <w:t>通用指标</w:t>
      </w:r>
      <w:r>
        <w:rPr>
          <w:rFonts w:eastAsia="楷体_GB2312"/>
          <w:b/>
          <w:bCs/>
          <w:kern w:val="0"/>
          <w:sz w:val="32"/>
          <w:szCs w:val="32"/>
          <w:shd w:val="clear" w:color="auto" w:fill="FFFFFF"/>
          <w:lang w:val="zh-CN"/>
        </w:rPr>
        <w:t>绩效分析。</w:t>
      </w:r>
    </w:p>
    <w:p w14:paraId="585F587F">
      <w:pPr>
        <w:spacing w:line="600" w:lineRule="exact"/>
        <w:ind w:firstLine="640" w:firstLineChars="200"/>
        <w:textAlignment w:val="baseline"/>
        <w:rPr>
          <w:rFonts w:ascii="Calibri" w:hAnsi="Calibri" w:eastAsia="仿宋_GB2312"/>
          <w:sz w:val="32"/>
          <w:szCs w:val="32"/>
        </w:rPr>
      </w:pPr>
      <w:r>
        <w:rPr>
          <w:rFonts w:hint="eastAsia" w:ascii="楷体_GB2312" w:hAnsi="楷体_GB2312" w:eastAsia="楷体_GB2312" w:cs="楷体_GB2312"/>
          <w:sz w:val="32"/>
          <w:szCs w:val="32"/>
        </w:rPr>
        <w:t>1.项目决策。</w:t>
      </w:r>
      <w:bookmarkStart w:id="93" w:name="OLE_LINK30"/>
      <w:bookmarkStart w:id="94" w:name="OLE_LINK29"/>
      <w:r>
        <w:rPr>
          <w:rFonts w:hint="eastAsia" w:ascii="楷体_GB2312" w:hAnsi="楷体_GB2312" w:eastAsia="楷体_GB2312" w:cs="楷体_GB2312"/>
          <w:sz w:val="32"/>
          <w:szCs w:val="32"/>
        </w:rPr>
        <w:t>根据</w:t>
      </w:r>
      <w:r>
        <w:rPr>
          <w:rFonts w:hint="eastAsia" w:eastAsia="仿宋_GB2312"/>
          <w:sz w:val="32"/>
          <w:szCs w:val="32"/>
          <w:lang w:val="zh-CN"/>
        </w:rPr>
        <w:t>《米易县委财经委员会</w:t>
      </w:r>
      <w:r>
        <w:rPr>
          <w:rFonts w:eastAsia="仿宋_GB2312"/>
          <w:sz w:val="32"/>
          <w:szCs w:val="32"/>
          <w:lang w:val="zh-CN"/>
        </w:rPr>
        <w:t>2022</w:t>
      </w:r>
      <w:r>
        <w:rPr>
          <w:rFonts w:hint="eastAsia" w:eastAsia="仿宋_GB2312"/>
          <w:sz w:val="32"/>
          <w:szCs w:val="32"/>
          <w:lang w:val="zh-CN"/>
        </w:rPr>
        <w:t>年第一次会议纪要》、《米易县人民政府第一百一十六次常务会议纪要》（米府纪［</w:t>
      </w:r>
      <w:r>
        <w:rPr>
          <w:rFonts w:eastAsia="仿宋_GB2312"/>
          <w:sz w:val="32"/>
          <w:szCs w:val="32"/>
          <w:lang w:val="zh-CN"/>
        </w:rPr>
        <w:t>2021</w:t>
      </w:r>
      <w:r>
        <w:rPr>
          <w:rFonts w:hint="eastAsia" w:eastAsia="仿宋_GB2312"/>
          <w:sz w:val="32"/>
          <w:szCs w:val="32"/>
          <w:lang w:val="zh-CN"/>
        </w:rPr>
        <w:t>］</w:t>
      </w:r>
      <w:r>
        <w:rPr>
          <w:rFonts w:eastAsia="仿宋_GB2312"/>
          <w:sz w:val="32"/>
          <w:szCs w:val="32"/>
          <w:lang w:val="zh-CN"/>
        </w:rPr>
        <w:t>21</w:t>
      </w:r>
      <w:r>
        <w:rPr>
          <w:rFonts w:hint="eastAsia" w:eastAsia="仿宋_GB2312"/>
          <w:sz w:val="32"/>
          <w:szCs w:val="32"/>
          <w:lang w:val="zh-CN"/>
        </w:rPr>
        <w:t>号），</w:t>
      </w:r>
      <w:r>
        <w:rPr>
          <w:rFonts w:hint="eastAsia" w:eastAsia="仿宋_GB2312"/>
          <w:sz w:val="32"/>
          <w:szCs w:val="32"/>
        </w:rPr>
        <w:t>项目以软件建设为抓手，将集体土地征收所有流程、政策、档案、实现流程化、模块化，实现征地计划精准管理、征地程序模块化运行、征地数据精准化管理、征地档案规范化和系统化、征地系统＂一张图＂管理、补偿款发放和人员安置实现在线监管。项目设置监管层、管理层和业务部门三层结构，形成县集体土地征收补偿安置中心作监管，乡（镇）土地征收部门为执行主体，社区、村组、征地小组、第三方拆迁机构为业务主体的三级信息化管理联动平台。投入财政资金</w:t>
      </w:r>
      <w:r>
        <w:rPr>
          <w:rFonts w:eastAsia="仿宋_GB2312"/>
          <w:sz w:val="32"/>
          <w:szCs w:val="32"/>
        </w:rPr>
        <w:t xml:space="preserve"> 159.5</w:t>
      </w:r>
      <w:r>
        <w:rPr>
          <w:rFonts w:hint="eastAsia" w:eastAsia="仿宋_GB2312"/>
          <w:sz w:val="32"/>
          <w:szCs w:val="32"/>
        </w:rPr>
        <w:t>万元。财政投资</w:t>
      </w:r>
      <w:r>
        <w:rPr>
          <w:rFonts w:eastAsia="仿宋_GB2312"/>
          <w:sz w:val="32"/>
          <w:szCs w:val="32"/>
        </w:rPr>
        <w:t>159.5</w:t>
      </w:r>
      <w:r>
        <w:rPr>
          <w:rFonts w:hint="eastAsia" w:eastAsia="仿宋_GB2312"/>
          <w:sz w:val="32"/>
          <w:szCs w:val="32"/>
        </w:rPr>
        <w:t>万元均为县级资金，其中软件系统建设</w:t>
      </w:r>
      <w:r>
        <w:rPr>
          <w:rFonts w:eastAsia="仿宋_GB2312"/>
          <w:sz w:val="32"/>
          <w:szCs w:val="32"/>
        </w:rPr>
        <w:t>148.5</w:t>
      </w:r>
      <w:r>
        <w:rPr>
          <w:rFonts w:hint="eastAsia" w:eastAsia="仿宋_GB2312"/>
          <w:sz w:val="32"/>
          <w:szCs w:val="32"/>
        </w:rPr>
        <w:t>万元，配套通用办公设备</w:t>
      </w:r>
      <w:r>
        <w:rPr>
          <w:rFonts w:eastAsia="仿宋_GB2312"/>
          <w:sz w:val="32"/>
          <w:szCs w:val="32"/>
        </w:rPr>
        <w:t>11</w:t>
      </w:r>
      <w:r>
        <w:rPr>
          <w:rFonts w:hint="eastAsia" w:eastAsia="仿宋_GB2312"/>
          <w:sz w:val="32"/>
          <w:szCs w:val="32"/>
        </w:rPr>
        <w:t>万元</w:t>
      </w:r>
      <w:bookmarkEnd w:id="93"/>
      <w:bookmarkEnd w:id="94"/>
      <w:r>
        <w:rPr>
          <w:rFonts w:hint="eastAsia" w:ascii="仿宋_GB2312" w:hAnsi="仿宋_GB2312" w:eastAsia="仿宋_GB2312" w:cs="仿宋_GB2312"/>
          <w:kern w:val="0"/>
          <w:sz w:val="32"/>
          <w:szCs w:val="32"/>
          <w:lang w:val="zh-CN"/>
        </w:rPr>
        <w:t>。</w:t>
      </w:r>
    </w:p>
    <w:p w14:paraId="5651A17B">
      <w:pPr>
        <w:spacing w:line="578" w:lineRule="exact"/>
        <w:ind w:firstLine="640"/>
        <w:rPr>
          <w:rFonts w:ascii="仿宋_GB2312" w:hAnsi="仿宋_GB2312" w:eastAsia="仿宋_GB2312" w:cs="仿宋_GB2312"/>
          <w:kern w:val="0"/>
          <w:sz w:val="32"/>
          <w:szCs w:val="32"/>
          <w:lang w:val="zh-CN"/>
        </w:rPr>
      </w:pPr>
      <w:r>
        <w:rPr>
          <w:rFonts w:hint="eastAsia" w:ascii="楷体_GB2312" w:hAnsi="楷体_GB2312" w:eastAsia="楷体_GB2312" w:cs="楷体_GB2312"/>
          <w:sz w:val="32"/>
          <w:szCs w:val="32"/>
        </w:rPr>
        <w:t>2.项目管理。严格按照政府采购程序及政府会计制度进行项目管理，</w:t>
      </w:r>
      <w:r>
        <w:rPr>
          <w:rFonts w:hint="eastAsia" w:ascii="仿宋_GB2312" w:hAnsi="仿宋_GB2312" w:eastAsia="仿宋_GB2312" w:cs="仿宋_GB2312"/>
          <w:kern w:val="0"/>
          <w:sz w:val="32"/>
          <w:szCs w:val="32"/>
          <w:lang w:val="zh-CN"/>
        </w:rPr>
        <w:t>对项目进行事前、事中绩效评估绩效监管，项目顺利推进，绩效评估良好。</w:t>
      </w:r>
    </w:p>
    <w:p w14:paraId="749D31DC">
      <w:pPr>
        <w:rPr>
          <w:kern w:val="0"/>
          <w:sz w:val="24"/>
        </w:rPr>
      </w:pPr>
      <w:r>
        <w:rPr>
          <w:rFonts w:hint="eastAsia" w:ascii="楷体_GB2312" w:hAnsi="楷体_GB2312" w:eastAsia="楷体_GB2312" w:cs="楷体_GB2312"/>
          <w:sz w:val="32"/>
          <w:szCs w:val="32"/>
        </w:rPr>
        <w:t>3.项目实施。</w:t>
      </w:r>
      <w:bookmarkStart w:id="95" w:name="OLE_LINK58"/>
      <w:bookmarkStart w:id="96" w:name="OLE_LINK59"/>
      <w:r>
        <w:rPr>
          <w:rFonts w:hint="eastAsia" w:ascii="楷体_GB2312" w:hAnsi="楷体_GB2312" w:eastAsia="楷体_GB2312" w:cs="楷体_GB2312"/>
          <w:sz w:val="32"/>
          <w:szCs w:val="32"/>
        </w:rPr>
        <w:t>项目</w:t>
      </w:r>
      <w:r>
        <w:rPr>
          <w:rFonts w:hint="eastAsia" w:eastAsia="仿宋_GB2312"/>
          <w:sz w:val="32"/>
          <w:szCs w:val="32"/>
        </w:rPr>
        <w:t>投入财政县级资金</w:t>
      </w:r>
      <w:r>
        <w:rPr>
          <w:rFonts w:eastAsia="仿宋_GB2312"/>
          <w:sz w:val="32"/>
          <w:szCs w:val="32"/>
        </w:rPr>
        <w:t xml:space="preserve"> 159.5</w:t>
      </w:r>
      <w:r>
        <w:rPr>
          <w:rFonts w:hint="eastAsia" w:eastAsia="仿宋_GB2312"/>
          <w:sz w:val="32"/>
          <w:szCs w:val="32"/>
        </w:rPr>
        <w:t>万元，其中软件系统建设</w:t>
      </w:r>
      <w:r>
        <w:rPr>
          <w:rFonts w:eastAsia="仿宋_GB2312"/>
          <w:sz w:val="32"/>
          <w:szCs w:val="32"/>
        </w:rPr>
        <w:t>148.5</w:t>
      </w:r>
      <w:r>
        <w:rPr>
          <w:rFonts w:hint="eastAsia" w:eastAsia="仿宋_GB2312"/>
          <w:sz w:val="32"/>
          <w:szCs w:val="32"/>
        </w:rPr>
        <w:t>万元，配套通用办公设备</w:t>
      </w:r>
      <w:r>
        <w:rPr>
          <w:rFonts w:eastAsia="仿宋_GB2312"/>
          <w:sz w:val="32"/>
          <w:szCs w:val="32"/>
        </w:rPr>
        <w:t>11</w:t>
      </w:r>
      <w:r>
        <w:rPr>
          <w:rFonts w:hint="eastAsia" w:eastAsia="仿宋_GB2312"/>
          <w:sz w:val="32"/>
          <w:szCs w:val="32"/>
        </w:rPr>
        <w:t>万元</w:t>
      </w:r>
      <w:bookmarkEnd w:id="95"/>
      <w:bookmarkEnd w:id="96"/>
      <w:r>
        <w:rPr>
          <w:rFonts w:hint="eastAsia" w:eastAsia="仿宋_GB2312"/>
          <w:sz w:val="32"/>
          <w:szCs w:val="32"/>
        </w:rPr>
        <w:t>，截至</w:t>
      </w:r>
      <w:r>
        <w:rPr>
          <w:rFonts w:eastAsia="仿宋_GB2312"/>
          <w:sz w:val="32"/>
          <w:szCs w:val="32"/>
        </w:rPr>
        <w:t>2023</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日，已拨付</w:t>
      </w:r>
      <w:r>
        <w:rPr>
          <w:rFonts w:eastAsia="仿宋_GB2312"/>
          <w:sz w:val="32"/>
          <w:szCs w:val="32"/>
        </w:rPr>
        <w:t>151.525</w:t>
      </w:r>
      <w:r>
        <w:rPr>
          <w:rFonts w:hint="eastAsia" w:eastAsia="仿宋_GB2312"/>
          <w:sz w:val="32"/>
          <w:szCs w:val="32"/>
        </w:rPr>
        <w:t>万元，未拨付</w:t>
      </w:r>
      <w:r>
        <w:rPr>
          <w:rFonts w:eastAsia="仿宋_GB2312"/>
          <w:sz w:val="32"/>
          <w:szCs w:val="32"/>
        </w:rPr>
        <w:t>7.975</w:t>
      </w:r>
      <w:r>
        <w:rPr>
          <w:rFonts w:hint="eastAsia" w:eastAsia="仿宋_GB2312"/>
          <w:sz w:val="32"/>
          <w:szCs w:val="32"/>
        </w:rPr>
        <w:t>万元，</w:t>
      </w:r>
      <w:r>
        <w:rPr>
          <w:rFonts w:hint="eastAsia" w:ascii="仿宋_GB2312" w:eastAsia="仿宋_GB2312"/>
          <w:sz w:val="32"/>
          <w:szCs w:val="32"/>
        </w:rPr>
        <w:t>完成率</w:t>
      </w:r>
      <w:r>
        <w:rPr>
          <w:rFonts w:hint="eastAsia" w:ascii="仿宋_GB2312" w:eastAsia="仿宋_GB2312"/>
          <w:kern w:val="0"/>
          <w:sz w:val="32"/>
          <w:szCs w:val="32"/>
        </w:rPr>
        <w:t>95%。</w:t>
      </w:r>
    </w:p>
    <w:p w14:paraId="0DB8783C">
      <w:pPr>
        <w:spacing w:line="578" w:lineRule="exact"/>
        <w:ind w:firstLine="640" w:firstLineChars="200"/>
        <w:rPr>
          <w:rFonts w:ascii="仿宋_GB2312" w:hAnsi="仿宋_GB2312" w:eastAsia="仿宋_GB2312" w:cs="仿宋_GB2312"/>
          <w:kern w:val="0"/>
          <w:sz w:val="32"/>
          <w:szCs w:val="32"/>
          <w:lang w:val="zh-CN"/>
        </w:rPr>
      </w:pPr>
      <w:r>
        <w:rPr>
          <w:rFonts w:hint="eastAsia" w:ascii="楷体_GB2312" w:hAnsi="楷体_GB2312" w:eastAsia="楷体_GB2312" w:cs="楷体_GB2312"/>
          <w:sz w:val="32"/>
          <w:szCs w:val="32"/>
        </w:rPr>
        <w:t>4.项目结果。完成年度设定目标：县集体土土地征收智能系统建设顺利推进，保障征地拆迁工作支出，有效解决征地拆迁不准确数据。完成时效指标（2023年底完成），完成率100%。</w:t>
      </w:r>
    </w:p>
    <w:p w14:paraId="7556801F">
      <w:pPr>
        <w:spacing w:line="578" w:lineRule="exact"/>
        <w:ind w:firstLine="643" w:firstLineChars="200"/>
        <w:rPr>
          <w:rFonts w:ascii="仿宋_GB2312" w:hAnsi="仿宋_GB2312" w:eastAsia="仿宋_GB2312" w:cs="仿宋_GB2312"/>
          <w:kern w:val="0"/>
          <w:sz w:val="32"/>
          <w:szCs w:val="32"/>
        </w:rPr>
      </w:pPr>
      <w:r>
        <w:rPr>
          <w:rFonts w:hint="eastAsia" w:ascii="楷体_GB2312" w:hAnsi="宋体" w:eastAsia="楷体_GB2312"/>
          <w:b/>
          <w:sz w:val="32"/>
          <w:szCs w:val="32"/>
          <w:lang w:val="zh-CN"/>
        </w:rPr>
        <w:t>（二）</w:t>
      </w:r>
      <w:r>
        <w:rPr>
          <w:rFonts w:hint="eastAsia" w:ascii="楷体_GB2312" w:hAnsi="宋体" w:eastAsia="楷体_GB2312"/>
          <w:b/>
          <w:sz w:val="32"/>
          <w:szCs w:val="32"/>
        </w:rPr>
        <w:t>专用指标</w:t>
      </w:r>
      <w:r>
        <w:rPr>
          <w:rFonts w:eastAsia="楷体_GB2312"/>
          <w:b/>
          <w:bCs/>
          <w:kern w:val="0"/>
          <w:sz w:val="32"/>
          <w:szCs w:val="32"/>
          <w:shd w:val="clear" w:color="auto" w:fill="FFFFFF"/>
          <w:lang w:val="zh-CN"/>
        </w:rPr>
        <w:t>绩效分析。</w:t>
      </w:r>
      <w:r>
        <w:rPr>
          <w:rFonts w:hint="eastAsia" w:ascii="仿宋_GB2312" w:hAnsi="仿宋_GB2312" w:eastAsia="仿宋_GB2312" w:cs="仿宋_GB2312"/>
          <w:kern w:val="0"/>
          <w:sz w:val="32"/>
          <w:szCs w:val="32"/>
          <w:lang w:val="zh-CN"/>
        </w:rPr>
        <w:t>项目为事业运行类支持对象</w:t>
      </w:r>
      <w:r>
        <w:rPr>
          <w:rFonts w:hint="eastAsia" w:ascii="仿宋_GB2312" w:hAnsi="仿宋_GB2312" w:eastAsia="仿宋_GB2312" w:cs="仿宋_GB2312"/>
          <w:kern w:val="0"/>
          <w:sz w:val="32"/>
          <w:szCs w:val="32"/>
        </w:rPr>
        <w:t>，实施用途、程序、标准合规。</w:t>
      </w:r>
    </w:p>
    <w:p w14:paraId="376D9222">
      <w:pPr>
        <w:spacing w:line="578" w:lineRule="exact"/>
        <w:ind w:firstLine="643" w:firstLineChars="200"/>
        <w:rPr>
          <w:rFonts w:ascii="楷体_GB2312" w:hAnsi="楷体_GB2312" w:eastAsia="楷体_GB2312" w:cs="楷体_GB2312"/>
          <w:sz w:val="32"/>
          <w:szCs w:val="32"/>
        </w:rPr>
      </w:pPr>
      <w:r>
        <w:rPr>
          <w:rFonts w:hint="eastAsia" w:ascii="楷体_GB2312" w:hAnsi="宋体" w:eastAsia="楷体_GB2312"/>
          <w:b/>
          <w:sz w:val="32"/>
          <w:szCs w:val="32"/>
          <w:lang w:val="zh-CN"/>
        </w:rPr>
        <w:t>（三）</w:t>
      </w:r>
      <w:r>
        <w:rPr>
          <w:rFonts w:hint="eastAsia" w:ascii="楷体_GB2312" w:hAnsi="宋体" w:eastAsia="楷体_GB2312"/>
          <w:b/>
          <w:sz w:val="32"/>
          <w:szCs w:val="32"/>
        </w:rPr>
        <w:t>个性指标</w:t>
      </w:r>
      <w:r>
        <w:rPr>
          <w:rFonts w:eastAsia="楷体_GB2312"/>
          <w:b/>
          <w:bCs/>
          <w:kern w:val="0"/>
          <w:sz w:val="32"/>
          <w:szCs w:val="32"/>
          <w:shd w:val="clear" w:color="auto" w:fill="FFFFFF"/>
          <w:lang w:val="zh-CN"/>
        </w:rPr>
        <w:t>绩效分析。</w:t>
      </w:r>
      <w:r>
        <w:rPr>
          <w:rFonts w:eastAsia="楷体_GB2312"/>
          <w:bCs/>
          <w:kern w:val="0"/>
          <w:sz w:val="32"/>
          <w:szCs w:val="32"/>
          <w:shd w:val="clear" w:color="auto" w:fill="FFFFFF"/>
          <w:lang w:val="zh-CN"/>
        </w:rPr>
        <w:t>项目社会效益指标为</w:t>
      </w:r>
      <w:r>
        <w:rPr>
          <w:rFonts w:hint="eastAsia" w:eastAsia="楷体_GB2312"/>
          <w:bCs/>
          <w:kern w:val="0"/>
          <w:sz w:val="32"/>
          <w:szCs w:val="32"/>
          <w:shd w:val="clear" w:color="auto" w:fill="FFFFFF"/>
          <w:lang w:val="zh-CN"/>
        </w:rPr>
        <w:t>征地系统“一张图”管理实现率，实现率≥95%</w:t>
      </w:r>
      <w:r>
        <w:rPr>
          <w:rFonts w:hint="eastAsia" w:ascii="仿宋_GB2312" w:hAnsi="仿宋_GB2312" w:eastAsia="仿宋_GB2312" w:cs="仿宋_GB2312"/>
          <w:kern w:val="0"/>
          <w:sz w:val="32"/>
          <w:szCs w:val="32"/>
          <w:lang w:val="zh-CN"/>
        </w:rPr>
        <w:t>，该项指标执行完成情况良好。</w:t>
      </w:r>
    </w:p>
    <w:p w14:paraId="30C9B241">
      <w:pPr>
        <w:pStyle w:val="6"/>
        <w:tabs>
          <w:tab w:val="left" w:pos="2160"/>
        </w:tabs>
        <w:spacing w:before="93" w:line="600" w:lineRule="exact"/>
        <w:ind w:firstLine="640" w:firstLineChars="200"/>
        <w:rPr>
          <w:rFonts w:ascii="黑体" w:hAnsi="宋体" w:eastAsia="黑体"/>
          <w:sz w:val="32"/>
          <w:szCs w:val="32"/>
        </w:rPr>
      </w:pPr>
      <w:r>
        <w:rPr>
          <w:rFonts w:hint="eastAsia" w:ascii="黑体" w:hAnsi="宋体" w:eastAsia="黑体"/>
          <w:sz w:val="32"/>
          <w:szCs w:val="32"/>
        </w:rPr>
        <w:t>四、评价结论</w:t>
      </w:r>
    </w:p>
    <w:p w14:paraId="4CE42C65">
      <w:pPr>
        <w:adjustRightInd w:val="0"/>
        <w:snapToGrid w:val="0"/>
        <w:spacing w:line="600" w:lineRule="exact"/>
        <w:ind w:firstLine="720"/>
        <w:rPr>
          <w:rFonts w:ascii="Calibri" w:hAnsi="Calibri" w:eastAsia="仿宋_GB2312"/>
          <w:kern w:val="0"/>
          <w:sz w:val="32"/>
          <w:szCs w:val="32"/>
        </w:rPr>
      </w:pPr>
      <w:r>
        <w:rPr>
          <w:rFonts w:hint="eastAsia" w:eastAsia="仿宋_GB2312"/>
          <w:kern w:val="0"/>
          <w:sz w:val="32"/>
          <w:szCs w:val="32"/>
        </w:rPr>
        <w:t>项目决策符合国家政策方针，管理符合相关制度，严格完成集体土地征收智能信息系统建设任务，项目的实施达到了预期的社会效益，</w:t>
      </w:r>
      <w:r>
        <w:rPr>
          <w:rFonts w:hint="eastAsia" w:eastAsia="仿宋_GB2312"/>
          <w:kern w:val="0"/>
          <w:sz w:val="32"/>
          <w:szCs w:val="32"/>
          <w:lang w:val="zh-CN"/>
        </w:rPr>
        <w:t>圆满完成米易县集体土地征收智能信息管理系统建设，实现征地计划精准管理、征地程序模块化运行、征地数据精准化管理、征地档案规范化和系统化、征地系统</w:t>
      </w:r>
      <w:r>
        <w:rPr>
          <w:rFonts w:eastAsia="仿宋_GB2312"/>
          <w:kern w:val="0"/>
          <w:sz w:val="32"/>
          <w:szCs w:val="32"/>
          <w:lang w:val="zh-CN"/>
        </w:rPr>
        <w:t>"</w:t>
      </w:r>
      <w:r>
        <w:rPr>
          <w:rFonts w:hint="eastAsia" w:eastAsia="仿宋_GB2312"/>
          <w:kern w:val="0"/>
          <w:sz w:val="32"/>
          <w:szCs w:val="32"/>
          <w:lang w:val="zh-CN"/>
        </w:rPr>
        <w:t>一张图</w:t>
      </w:r>
      <w:r>
        <w:rPr>
          <w:rFonts w:eastAsia="仿宋_GB2312"/>
          <w:kern w:val="0"/>
          <w:sz w:val="32"/>
          <w:szCs w:val="32"/>
          <w:lang w:val="zh-CN"/>
        </w:rPr>
        <w:t>"</w:t>
      </w:r>
      <w:r>
        <w:rPr>
          <w:rFonts w:hint="eastAsia" w:eastAsia="仿宋_GB2312"/>
          <w:kern w:val="0"/>
          <w:sz w:val="32"/>
          <w:szCs w:val="32"/>
          <w:lang w:val="zh-CN"/>
        </w:rPr>
        <w:t>管理、补偿款发放和人员安置实现在线监管，服务</w:t>
      </w:r>
      <w:r>
        <w:rPr>
          <w:rFonts w:hint="eastAsia" w:eastAsia="仿宋_GB2312"/>
          <w:kern w:val="0"/>
          <w:sz w:val="32"/>
          <w:szCs w:val="32"/>
        </w:rPr>
        <w:t>满意度较好</w:t>
      </w:r>
      <w:r>
        <w:rPr>
          <w:rFonts w:hint="eastAsia" w:ascii="仿宋_GB2312" w:hAnsi="仿宋_GB2312" w:eastAsia="仿宋_GB2312" w:cs="仿宋_GB2312"/>
          <w:kern w:val="0"/>
          <w:sz w:val="32"/>
          <w:szCs w:val="32"/>
          <w:lang w:val="zh-CN"/>
        </w:rPr>
        <w:t>。</w:t>
      </w:r>
    </w:p>
    <w:p w14:paraId="5C68F065">
      <w:pPr>
        <w:pStyle w:val="6"/>
        <w:tabs>
          <w:tab w:val="left" w:pos="2160"/>
        </w:tabs>
        <w:spacing w:before="93" w:line="600" w:lineRule="exact"/>
        <w:ind w:firstLine="640" w:firstLineChars="200"/>
        <w:rPr>
          <w:rFonts w:ascii="黑体" w:hAnsi="宋体" w:eastAsia="黑体"/>
          <w:sz w:val="32"/>
          <w:szCs w:val="32"/>
        </w:rPr>
      </w:pPr>
      <w:r>
        <w:rPr>
          <w:rFonts w:hint="eastAsia" w:ascii="黑体" w:hAnsi="宋体" w:eastAsia="黑体"/>
          <w:sz w:val="32"/>
          <w:szCs w:val="32"/>
        </w:rPr>
        <w:t>五、存在主要问题</w:t>
      </w:r>
    </w:p>
    <w:p w14:paraId="2BD0D53A">
      <w:pPr>
        <w:adjustRightInd w:val="0"/>
        <w:snapToGrid w:val="0"/>
        <w:spacing w:line="600" w:lineRule="exact"/>
        <w:ind w:firstLine="640" w:firstLineChars="200"/>
        <w:rPr>
          <w:rFonts w:ascii="Calibri" w:hAnsi="Calibri" w:eastAsia="仿宋_GB2312"/>
          <w:sz w:val="32"/>
          <w:szCs w:val="32"/>
          <w:lang w:val="zh-CN"/>
        </w:rPr>
      </w:pPr>
      <w:r>
        <w:rPr>
          <w:rFonts w:hint="eastAsia" w:eastAsia="仿宋_GB2312"/>
          <w:sz w:val="32"/>
          <w:szCs w:val="32"/>
          <w:lang w:val="zh-CN"/>
        </w:rPr>
        <w:t>项目质保金支付进度延</w:t>
      </w:r>
      <w:r>
        <w:rPr>
          <w:rFonts w:hint="eastAsia" w:ascii="仿宋_GB2312" w:hAnsi="仿宋_GB2312" w:eastAsia="仿宋_GB2312" w:cs="仿宋_GB2312"/>
          <w:kern w:val="0"/>
          <w:sz w:val="32"/>
          <w:szCs w:val="32"/>
        </w:rPr>
        <w:t>。</w:t>
      </w:r>
    </w:p>
    <w:p w14:paraId="648AE5ED">
      <w:pPr>
        <w:pStyle w:val="6"/>
        <w:tabs>
          <w:tab w:val="left" w:pos="2160"/>
        </w:tabs>
        <w:spacing w:before="93" w:line="600" w:lineRule="exact"/>
        <w:ind w:firstLine="640" w:firstLineChars="200"/>
        <w:rPr>
          <w:rFonts w:ascii="黑体" w:hAnsi="宋体" w:eastAsia="黑体"/>
          <w:position w:val="3"/>
          <w:sz w:val="32"/>
          <w:szCs w:val="32"/>
          <w:lang w:val="zh-CN"/>
        </w:rPr>
      </w:pPr>
      <w:r>
        <w:rPr>
          <w:rFonts w:hint="eastAsia" w:ascii="黑体" w:hAnsi="宋体" w:eastAsia="黑体"/>
          <w:position w:val="3"/>
          <w:sz w:val="32"/>
          <w:szCs w:val="32"/>
          <w:lang w:val="zh-CN"/>
        </w:rPr>
        <w:t>六、改进建议</w:t>
      </w:r>
    </w:p>
    <w:p w14:paraId="61B6E28F">
      <w:pPr>
        <w:tabs>
          <w:tab w:val="left" w:pos="1911"/>
        </w:tabs>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rPr>
        <w:t xml:space="preserve">  </w:t>
      </w:r>
      <w:r>
        <w:rPr>
          <w:rFonts w:hint="eastAsia" w:eastAsia="仿宋_GB2312"/>
          <w:sz w:val="32"/>
          <w:szCs w:val="32"/>
          <w:lang w:val="zh-CN"/>
        </w:rPr>
        <w:t>加强项目建设进度的监督，及时完成项目质保验收，按进度使用项目资金</w:t>
      </w:r>
      <w:r>
        <w:rPr>
          <w:rFonts w:hint="eastAsia" w:ascii="仿宋_GB2312" w:hAnsi="仿宋_GB2312" w:eastAsia="仿宋_GB2312" w:cs="仿宋_GB2312"/>
          <w:kern w:val="0"/>
          <w:sz w:val="32"/>
          <w:szCs w:val="32"/>
        </w:rPr>
        <w:t>。</w:t>
      </w:r>
    </w:p>
    <w:bookmarkEnd w:id="73"/>
    <w:bookmarkEnd w:id="74"/>
    <w:p w14:paraId="2B9FC694">
      <w:pPr>
        <w:snapToGrid w:val="0"/>
        <w:spacing w:line="578" w:lineRule="exact"/>
        <w:ind w:firstLine="420" w:firstLineChars="200"/>
        <w:rPr>
          <w:color w:val="000000"/>
          <w:kern w:val="0"/>
          <w:szCs w:val="32"/>
          <w:shd w:val="clear" w:color="auto" w:fill="FFFFFF"/>
          <w:lang w:val="zh-CN"/>
        </w:rPr>
      </w:pPr>
    </w:p>
    <w:p w14:paraId="73C82CC6">
      <w:pPr>
        <w:autoSpaceDE w:val="0"/>
        <w:autoSpaceDN w:val="0"/>
        <w:adjustRightInd w:val="0"/>
        <w:spacing w:line="600" w:lineRule="exact"/>
        <w:ind w:firstLine="643" w:firstLineChars="200"/>
        <w:rPr>
          <w:rFonts w:ascii="仿宋" w:hAnsi="仿宋" w:eastAsia="仿宋"/>
          <w:b/>
          <w:sz w:val="32"/>
          <w:szCs w:val="32"/>
        </w:rPr>
      </w:pPr>
    </w:p>
    <w:p w14:paraId="42DBF4A2"/>
    <w:p w14:paraId="25753F62">
      <w:pPr>
        <w:widowControl/>
        <w:jc w:val="left"/>
        <w:rPr>
          <w:rFonts w:ascii="黑体" w:hAnsi="黑体" w:eastAsia="黑体"/>
          <w:bCs/>
          <w:kern w:val="44"/>
          <w:sz w:val="44"/>
          <w:szCs w:val="44"/>
        </w:rPr>
      </w:pPr>
    </w:p>
    <w:p w14:paraId="4F252A29">
      <w:pPr>
        <w:adjustRightInd w:val="0"/>
        <w:snapToGrid w:val="0"/>
        <w:spacing w:line="560" w:lineRule="exact"/>
        <w:ind w:firstLine="640" w:firstLineChars="200"/>
        <w:rPr>
          <w:rFonts w:ascii="仿宋_GB2312" w:hAnsi="宋体" w:eastAsia="仿宋_GB2312" w:cs="宋体"/>
          <w:kern w:val="0"/>
          <w:sz w:val="32"/>
          <w:szCs w:val="32"/>
          <w:shd w:val="clear" w:color="auto" w:fill="FFFFFF"/>
        </w:rPr>
      </w:pPr>
    </w:p>
    <w:p w14:paraId="7E0A9CB7">
      <w:pPr>
        <w:pStyle w:val="6"/>
        <w:spacing w:before="93"/>
        <w:rPr>
          <w:rFonts w:hAnsi="宋体" w:cs="宋体"/>
          <w:sz w:val="32"/>
          <w:szCs w:val="32"/>
          <w:shd w:val="clear" w:color="auto" w:fill="FFFFFF"/>
          <w:lang w:val="zh-CN"/>
        </w:rPr>
      </w:pPr>
    </w:p>
    <w:p w14:paraId="2D71B532">
      <w:pPr>
        <w:pStyle w:val="5"/>
        <w:ind w:left="1680"/>
        <w:rPr>
          <w:rFonts w:ascii="仿宋_GB2312" w:hAnsi="宋体" w:cs="宋体"/>
          <w:kern w:val="0"/>
          <w:sz w:val="32"/>
          <w:szCs w:val="32"/>
          <w:shd w:val="clear" w:color="auto" w:fill="FFFFFF"/>
          <w:lang w:val="zh-CN"/>
        </w:rPr>
      </w:pPr>
    </w:p>
    <w:p w14:paraId="65D10289">
      <w:pPr>
        <w:rPr>
          <w:rFonts w:ascii="仿宋_GB2312" w:hAnsi="宋体" w:eastAsia="仿宋_GB2312" w:cs="宋体"/>
          <w:kern w:val="0"/>
          <w:sz w:val="32"/>
          <w:szCs w:val="32"/>
          <w:shd w:val="clear" w:color="auto" w:fill="FFFFFF"/>
          <w:lang w:val="zh-CN"/>
        </w:rPr>
      </w:pPr>
    </w:p>
    <w:p w14:paraId="00ACD3C8">
      <w:pPr>
        <w:pStyle w:val="6"/>
        <w:spacing w:before="93"/>
        <w:rPr>
          <w:lang w:val="zh-CN"/>
        </w:rPr>
      </w:pPr>
      <w:r>
        <w:rPr>
          <w:lang w:val="zh-CN"/>
        </w:rPr>
        <w:t>、</w:t>
      </w:r>
    </w:p>
    <w:p w14:paraId="1E86705C">
      <w:pPr>
        <w:pStyle w:val="6"/>
        <w:spacing w:before="93"/>
        <w:rPr>
          <w:lang w:val="zh-CN"/>
        </w:rPr>
      </w:pPr>
    </w:p>
    <w:p w14:paraId="3DE395F7">
      <w:pPr>
        <w:pStyle w:val="5"/>
        <w:ind w:left="1680"/>
        <w:rPr>
          <w:lang w:val="zh-CN"/>
        </w:rPr>
      </w:pPr>
    </w:p>
    <w:p w14:paraId="09B27381">
      <w:pPr>
        <w:spacing w:line="600" w:lineRule="exact"/>
        <w:jc w:val="center"/>
        <w:outlineLvl w:val="0"/>
        <w:rPr>
          <w:rFonts w:ascii="仿宋" w:hAnsi="仿宋" w:eastAsia="仿宋"/>
        </w:rPr>
      </w:pPr>
      <w:bookmarkStart w:id="97" w:name="_Toc15396618"/>
      <w:r>
        <w:rPr>
          <w:rFonts w:hint="eastAsia" w:ascii="黑体" w:hAnsi="黑体" w:eastAsia="黑体"/>
          <w:sz w:val="44"/>
          <w:szCs w:val="44"/>
        </w:rPr>
        <w:t>第</w:t>
      </w:r>
      <w:r>
        <w:rPr>
          <w:rStyle w:val="30"/>
          <w:rFonts w:hint="eastAsia" w:ascii="黑体" w:hAnsi="黑体" w:eastAsia="黑体"/>
          <w:b w:val="0"/>
        </w:rPr>
        <w:t>五部分 附表</w:t>
      </w:r>
      <w:bookmarkEnd w:id="69"/>
      <w:bookmarkEnd w:id="97"/>
      <w:bookmarkStart w:id="98" w:name="_Toc15396619"/>
    </w:p>
    <w:p w14:paraId="0326A158">
      <w:pPr>
        <w:pStyle w:val="3"/>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98"/>
    </w:p>
    <w:p w14:paraId="4689F32E">
      <w:pPr>
        <w:pStyle w:val="3"/>
        <w:rPr>
          <w:rFonts w:ascii="仿宋" w:hAnsi="仿宋" w:eastAsia="仿宋"/>
        </w:rPr>
      </w:pPr>
      <w:bookmarkStart w:id="99" w:name="_Toc15396620"/>
      <w:r>
        <w:rPr>
          <w:rFonts w:hint="eastAsia" w:ascii="仿宋" w:hAnsi="仿宋" w:eastAsia="仿宋"/>
          <w:b w:val="0"/>
        </w:rPr>
        <w:t>二、收</w:t>
      </w:r>
      <w:r>
        <w:rPr>
          <w:rStyle w:val="31"/>
          <w:rFonts w:hint="eastAsia" w:ascii="仿宋" w:hAnsi="仿宋" w:eastAsia="仿宋"/>
          <w:b w:val="0"/>
          <w:bCs w:val="0"/>
        </w:rPr>
        <w:t>入决算表</w:t>
      </w:r>
      <w:bookmarkEnd w:id="99"/>
    </w:p>
    <w:p w14:paraId="28317545">
      <w:pPr>
        <w:pStyle w:val="3"/>
        <w:rPr>
          <w:rFonts w:ascii="仿宋" w:hAnsi="仿宋" w:eastAsia="仿宋"/>
        </w:rPr>
      </w:pPr>
      <w:bookmarkStart w:id="100"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100"/>
    </w:p>
    <w:p w14:paraId="3D5A6693">
      <w:pPr>
        <w:pStyle w:val="3"/>
        <w:rPr>
          <w:rFonts w:ascii="仿宋" w:hAnsi="仿宋" w:eastAsia="仿宋"/>
          <w:b w:val="0"/>
        </w:rPr>
      </w:pPr>
      <w:bookmarkStart w:id="101"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101"/>
    </w:p>
    <w:p w14:paraId="2F44A93A">
      <w:pPr>
        <w:pStyle w:val="3"/>
        <w:rPr>
          <w:rStyle w:val="31"/>
          <w:rFonts w:ascii="仿宋" w:hAnsi="仿宋" w:eastAsia="仿宋"/>
          <w:b w:val="0"/>
          <w:bCs w:val="0"/>
        </w:rPr>
      </w:pPr>
      <w:bookmarkStart w:id="102"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102"/>
      <w:bookmarkStart w:id="103" w:name="_Toc15396624"/>
    </w:p>
    <w:p w14:paraId="571E814B">
      <w:pPr>
        <w:pStyle w:val="3"/>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103"/>
    </w:p>
    <w:p w14:paraId="10D4E64E">
      <w:pPr>
        <w:pStyle w:val="3"/>
        <w:rPr>
          <w:rFonts w:ascii="仿宋" w:hAnsi="仿宋" w:eastAsia="仿宋"/>
        </w:rPr>
      </w:pPr>
      <w:bookmarkStart w:id="104"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104"/>
    </w:p>
    <w:p w14:paraId="1ABDCB06">
      <w:pPr>
        <w:pStyle w:val="3"/>
        <w:rPr>
          <w:rFonts w:ascii="仿宋" w:hAnsi="仿宋" w:eastAsia="仿宋"/>
        </w:rPr>
      </w:pPr>
      <w:bookmarkStart w:id="105"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105"/>
    </w:p>
    <w:p w14:paraId="6FD3F9EB">
      <w:pPr>
        <w:pStyle w:val="3"/>
        <w:rPr>
          <w:rFonts w:ascii="仿宋" w:hAnsi="仿宋" w:eastAsia="仿宋"/>
        </w:rPr>
      </w:pPr>
      <w:bookmarkStart w:id="106"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106"/>
    </w:p>
    <w:p w14:paraId="225D239A">
      <w:pPr>
        <w:pStyle w:val="3"/>
        <w:rPr>
          <w:rFonts w:ascii="仿宋" w:hAnsi="仿宋" w:eastAsia="仿宋"/>
        </w:rPr>
      </w:pPr>
      <w:bookmarkStart w:id="107" w:name="_Toc15396628"/>
      <w:r>
        <w:rPr>
          <w:rStyle w:val="31"/>
          <w:rFonts w:hint="eastAsia" w:ascii="仿宋" w:hAnsi="仿宋" w:eastAsia="仿宋"/>
          <w:b w:val="0"/>
          <w:bCs w:val="0"/>
        </w:rPr>
        <w:t>十、</w:t>
      </w:r>
      <w:bookmarkEnd w:id="107"/>
      <w:r>
        <w:rPr>
          <w:rFonts w:hint="eastAsia" w:ascii="仿宋" w:hAnsi="仿宋" w:eastAsia="仿宋"/>
          <w:b w:val="0"/>
        </w:rPr>
        <w:t>政</w:t>
      </w:r>
      <w:r>
        <w:rPr>
          <w:rStyle w:val="31"/>
          <w:rFonts w:hint="eastAsia" w:ascii="仿宋" w:hAnsi="仿宋" w:eastAsia="仿宋"/>
          <w:b w:val="0"/>
          <w:bCs w:val="0"/>
        </w:rPr>
        <w:t>府性基金预算财政拨款收入支出决算表</w:t>
      </w:r>
    </w:p>
    <w:p w14:paraId="367725FD">
      <w:pPr>
        <w:pStyle w:val="3"/>
        <w:rPr>
          <w:rFonts w:ascii="仿宋" w:hAnsi="仿宋" w:eastAsia="仿宋"/>
        </w:rPr>
      </w:pPr>
      <w:bookmarkStart w:id="108" w:name="_Toc15396629"/>
      <w:r>
        <w:rPr>
          <w:rStyle w:val="31"/>
          <w:rFonts w:hint="eastAsia" w:ascii="仿宋" w:hAnsi="仿宋" w:eastAsia="仿宋"/>
          <w:b w:val="0"/>
          <w:bCs w:val="0"/>
        </w:rPr>
        <w:t>十一、</w:t>
      </w:r>
      <w:bookmarkEnd w:id="108"/>
      <w:r>
        <w:rPr>
          <w:rFonts w:hint="eastAsia" w:ascii="仿宋" w:hAnsi="仿宋" w:eastAsia="仿宋"/>
          <w:b w:val="0"/>
        </w:rPr>
        <w:t>国</w:t>
      </w:r>
      <w:r>
        <w:rPr>
          <w:rStyle w:val="31"/>
          <w:rFonts w:hint="eastAsia" w:ascii="仿宋" w:hAnsi="仿宋" w:eastAsia="仿宋"/>
          <w:b w:val="0"/>
          <w:bCs w:val="0"/>
        </w:rPr>
        <w:t>有资本经营预算财政拨款收入支出决算表</w:t>
      </w:r>
    </w:p>
    <w:p w14:paraId="22E80C4F">
      <w:pPr>
        <w:pStyle w:val="3"/>
        <w:rPr>
          <w:rFonts w:ascii="仿宋" w:hAnsi="仿宋" w:eastAsia="仿宋"/>
        </w:rPr>
      </w:pPr>
      <w:bookmarkStart w:id="109" w:name="_Toc15396630"/>
      <w:r>
        <w:rPr>
          <w:rStyle w:val="31"/>
          <w:rFonts w:hint="eastAsia" w:ascii="仿宋" w:hAnsi="仿宋" w:eastAsia="仿宋"/>
          <w:b w:val="0"/>
          <w:bCs w:val="0"/>
        </w:rPr>
        <w:t>十二、</w:t>
      </w:r>
      <w:bookmarkEnd w:id="109"/>
      <w:r>
        <w:rPr>
          <w:rStyle w:val="31"/>
          <w:rFonts w:hint="eastAsia" w:ascii="仿宋" w:hAnsi="仿宋" w:eastAsia="仿宋"/>
          <w:b w:val="0"/>
          <w:bCs w:val="0"/>
        </w:rPr>
        <w:t>国有资本经营预算财政拨款支出决算表</w:t>
      </w:r>
    </w:p>
    <w:p w14:paraId="458D2445">
      <w:pPr>
        <w:pStyle w:val="3"/>
        <w:rPr>
          <w:rFonts w:eastAsia="仿宋"/>
        </w:rPr>
      </w:pPr>
      <w:bookmarkStart w:id="110" w:name="_Toc15396631"/>
      <w:r>
        <w:rPr>
          <w:rStyle w:val="31"/>
          <w:rFonts w:hint="eastAsia" w:ascii="仿宋" w:hAnsi="仿宋" w:eastAsia="仿宋"/>
          <w:b w:val="0"/>
          <w:bCs w:val="0"/>
        </w:rPr>
        <w:t>十三、</w:t>
      </w:r>
      <w:bookmarkEnd w:id="110"/>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00006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6AE1009">
        <w:pPr>
          <w:pStyle w:val="10"/>
          <w:jc w:val="center"/>
        </w:pPr>
        <w:r>
          <w:fldChar w:fldCharType="begin"/>
        </w:r>
        <w:r>
          <w:instrText xml:space="preserve">PAGE   \* MERGEFORMAT</w:instrText>
        </w:r>
        <w:r>
          <w:fldChar w:fldCharType="separate"/>
        </w:r>
        <w:r>
          <w:rPr>
            <w:lang w:val="zh-CN"/>
          </w:rPr>
          <w:t>29</w:t>
        </w:r>
        <w:r>
          <w:rPr>
            <w:lang w:val="zh-CN"/>
          </w:rPr>
          <w:fldChar w:fldCharType="end"/>
        </w:r>
      </w:p>
    </w:sdtContent>
  </w:sdt>
  <w:p w14:paraId="5AEA144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8DE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mIyNzliOGEwMGQwMzAwMWNhNGUwY2M0NTExYWM4ZTYifQ=="/>
  </w:docVars>
  <w:rsids>
    <w:rsidRoot w:val="00F1361C"/>
    <w:rsid w:val="000013B8"/>
    <w:rsid w:val="00006DA9"/>
    <w:rsid w:val="00010C2F"/>
    <w:rsid w:val="00012A27"/>
    <w:rsid w:val="000222C6"/>
    <w:rsid w:val="0002549F"/>
    <w:rsid w:val="000415DD"/>
    <w:rsid w:val="000468DB"/>
    <w:rsid w:val="00047344"/>
    <w:rsid w:val="000548C1"/>
    <w:rsid w:val="0006487A"/>
    <w:rsid w:val="00065F8F"/>
    <w:rsid w:val="00070A43"/>
    <w:rsid w:val="000768F2"/>
    <w:rsid w:val="00082CED"/>
    <w:rsid w:val="0009184B"/>
    <w:rsid w:val="00094236"/>
    <w:rsid w:val="0009593C"/>
    <w:rsid w:val="00097322"/>
    <w:rsid w:val="000A1D04"/>
    <w:rsid w:val="000A6A92"/>
    <w:rsid w:val="000A6BDA"/>
    <w:rsid w:val="000B047F"/>
    <w:rsid w:val="000B2462"/>
    <w:rsid w:val="000B5923"/>
    <w:rsid w:val="000B5A48"/>
    <w:rsid w:val="000B6FF3"/>
    <w:rsid w:val="000C3467"/>
    <w:rsid w:val="000C3CA6"/>
    <w:rsid w:val="000C40AC"/>
    <w:rsid w:val="000C40BE"/>
    <w:rsid w:val="000D1267"/>
    <w:rsid w:val="000D1D50"/>
    <w:rsid w:val="000D5782"/>
    <w:rsid w:val="000E6613"/>
    <w:rsid w:val="000E7119"/>
    <w:rsid w:val="000E7779"/>
    <w:rsid w:val="000F0A4C"/>
    <w:rsid w:val="0011096D"/>
    <w:rsid w:val="00114E9B"/>
    <w:rsid w:val="00123DF7"/>
    <w:rsid w:val="00134B69"/>
    <w:rsid w:val="00142216"/>
    <w:rsid w:val="00144D6A"/>
    <w:rsid w:val="001462B9"/>
    <w:rsid w:val="0014729F"/>
    <w:rsid w:val="00155743"/>
    <w:rsid w:val="00157BAB"/>
    <w:rsid w:val="001654D1"/>
    <w:rsid w:val="001726B0"/>
    <w:rsid w:val="00174518"/>
    <w:rsid w:val="0018106D"/>
    <w:rsid w:val="00182DE8"/>
    <w:rsid w:val="001877A7"/>
    <w:rsid w:val="00191536"/>
    <w:rsid w:val="00192495"/>
    <w:rsid w:val="00196687"/>
    <w:rsid w:val="001B07E9"/>
    <w:rsid w:val="001B4986"/>
    <w:rsid w:val="001C0962"/>
    <w:rsid w:val="001D715B"/>
    <w:rsid w:val="001D7531"/>
    <w:rsid w:val="001E737D"/>
    <w:rsid w:val="001F0592"/>
    <w:rsid w:val="001F7506"/>
    <w:rsid w:val="002006CD"/>
    <w:rsid w:val="00202B36"/>
    <w:rsid w:val="00204B7A"/>
    <w:rsid w:val="00204CDE"/>
    <w:rsid w:val="0021101A"/>
    <w:rsid w:val="002112C2"/>
    <w:rsid w:val="0021677D"/>
    <w:rsid w:val="00220536"/>
    <w:rsid w:val="00223677"/>
    <w:rsid w:val="00230BB7"/>
    <w:rsid w:val="00235629"/>
    <w:rsid w:val="00235F0F"/>
    <w:rsid w:val="002578E3"/>
    <w:rsid w:val="00260C38"/>
    <w:rsid w:val="002616C0"/>
    <w:rsid w:val="00265372"/>
    <w:rsid w:val="002662AA"/>
    <w:rsid w:val="00280496"/>
    <w:rsid w:val="002816B7"/>
    <w:rsid w:val="00281954"/>
    <w:rsid w:val="00294DC9"/>
    <w:rsid w:val="00295495"/>
    <w:rsid w:val="002A0DBA"/>
    <w:rsid w:val="002A31DE"/>
    <w:rsid w:val="002A35BF"/>
    <w:rsid w:val="002A7FC3"/>
    <w:rsid w:val="002B2613"/>
    <w:rsid w:val="002C0B0B"/>
    <w:rsid w:val="002D6D05"/>
    <w:rsid w:val="002F1818"/>
    <w:rsid w:val="002F567B"/>
    <w:rsid w:val="002F6542"/>
    <w:rsid w:val="003072BB"/>
    <w:rsid w:val="00312679"/>
    <w:rsid w:val="003216A9"/>
    <w:rsid w:val="00323156"/>
    <w:rsid w:val="0032795C"/>
    <w:rsid w:val="00335A74"/>
    <w:rsid w:val="00362BEF"/>
    <w:rsid w:val="0036561B"/>
    <w:rsid w:val="0037013F"/>
    <w:rsid w:val="00370640"/>
    <w:rsid w:val="00376B80"/>
    <w:rsid w:val="00380C92"/>
    <w:rsid w:val="003A3732"/>
    <w:rsid w:val="003A484F"/>
    <w:rsid w:val="003A4883"/>
    <w:rsid w:val="003B0BE0"/>
    <w:rsid w:val="003B0C1B"/>
    <w:rsid w:val="003B688C"/>
    <w:rsid w:val="003C0291"/>
    <w:rsid w:val="003C39AE"/>
    <w:rsid w:val="003C7B60"/>
    <w:rsid w:val="003D0C0F"/>
    <w:rsid w:val="003D13F1"/>
    <w:rsid w:val="003D1FB2"/>
    <w:rsid w:val="003D66DA"/>
    <w:rsid w:val="003E1310"/>
    <w:rsid w:val="003E6F55"/>
    <w:rsid w:val="003F2E34"/>
    <w:rsid w:val="00406254"/>
    <w:rsid w:val="00420216"/>
    <w:rsid w:val="004205FD"/>
    <w:rsid w:val="004223DE"/>
    <w:rsid w:val="004271A1"/>
    <w:rsid w:val="00434489"/>
    <w:rsid w:val="00437085"/>
    <w:rsid w:val="00443880"/>
    <w:rsid w:val="00445995"/>
    <w:rsid w:val="004464F4"/>
    <w:rsid w:val="00470198"/>
    <w:rsid w:val="00471401"/>
    <w:rsid w:val="00473B31"/>
    <w:rsid w:val="00473F31"/>
    <w:rsid w:val="00475C68"/>
    <w:rsid w:val="0048263A"/>
    <w:rsid w:val="00487E5D"/>
    <w:rsid w:val="004A711F"/>
    <w:rsid w:val="004B0F57"/>
    <w:rsid w:val="004B199D"/>
    <w:rsid w:val="004B4690"/>
    <w:rsid w:val="004D4EDE"/>
    <w:rsid w:val="004E0A2D"/>
    <w:rsid w:val="004E206B"/>
    <w:rsid w:val="004E2FCB"/>
    <w:rsid w:val="004E6DF7"/>
    <w:rsid w:val="004F0FBD"/>
    <w:rsid w:val="004F5CC9"/>
    <w:rsid w:val="00505A47"/>
    <w:rsid w:val="00512FDA"/>
    <w:rsid w:val="00513A89"/>
    <w:rsid w:val="00520DA0"/>
    <w:rsid w:val="00525233"/>
    <w:rsid w:val="00541B0C"/>
    <w:rsid w:val="00551514"/>
    <w:rsid w:val="005653DF"/>
    <w:rsid w:val="00566368"/>
    <w:rsid w:val="005664BB"/>
    <w:rsid w:val="00566FFA"/>
    <w:rsid w:val="00567840"/>
    <w:rsid w:val="0057332F"/>
    <w:rsid w:val="0057481D"/>
    <w:rsid w:val="0058256C"/>
    <w:rsid w:val="0058486E"/>
    <w:rsid w:val="00585B33"/>
    <w:rsid w:val="0059014D"/>
    <w:rsid w:val="005930A0"/>
    <w:rsid w:val="005B5C64"/>
    <w:rsid w:val="005C5337"/>
    <w:rsid w:val="005C6BD0"/>
    <w:rsid w:val="005D1C8B"/>
    <w:rsid w:val="005D468D"/>
    <w:rsid w:val="005D5CED"/>
    <w:rsid w:val="005F1A4C"/>
    <w:rsid w:val="005F38C8"/>
    <w:rsid w:val="00605688"/>
    <w:rsid w:val="006059C2"/>
    <w:rsid w:val="006070AF"/>
    <w:rsid w:val="00607E6C"/>
    <w:rsid w:val="006101B1"/>
    <w:rsid w:val="00614E44"/>
    <w:rsid w:val="0062270A"/>
    <w:rsid w:val="00622830"/>
    <w:rsid w:val="00623DA0"/>
    <w:rsid w:val="00630AEF"/>
    <w:rsid w:val="006325F8"/>
    <w:rsid w:val="00633463"/>
    <w:rsid w:val="00634221"/>
    <w:rsid w:val="00634C9A"/>
    <w:rsid w:val="00635C22"/>
    <w:rsid w:val="006440E4"/>
    <w:rsid w:val="00651A68"/>
    <w:rsid w:val="0066343B"/>
    <w:rsid w:val="00664777"/>
    <w:rsid w:val="00665C66"/>
    <w:rsid w:val="006748A4"/>
    <w:rsid w:val="00675C9B"/>
    <w:rsid w:val="00681A31"/>
    <w:rsid w:val="00683E73"/>
    <w:rsid w:val="006A3141"/>
    <w:rsid w:val="006A5924"/>
    <w:rsid w:val="006A5E34"/>
    <w:rsid w:val="006B2422"/>
    <w:rsid w:val="006B2B9A"/>
    <w:rsid w:val="006B32F8"/>
    <w:rsid w:val="006B3510"/>
    <w:rsid w:val="006C1937"/>
    <w:rsid w:val="006C59C5"/>
    <w:rsid w:val="006D67DA"/>
    <w:rsid w:val="006F020C"/>
    <w:rsid w:val="006F04E5"/>
    <w:rsid w:val="006F3ECC"/>
    <w:rsid w:val="00702487"/>
    <w:rsid w:val="007127B7"/>
    <w:rsid w:val="0071780F"/>
    <w:rsid w:val="0071798E"/>
    <w:rsid w:val="007416B6"/>
    <w:rsid w:val="00743181"/>
    <w:rsid w:val="00746F48"/>
    <w:rsid w:val="0075404D"/>
    <w:rsid w:val="00755F35"/>
    <w:rsid w:val="0076182A"/>
    <w:rsid w:val="00767B7E"/>
    <w:rsid w:val="00767F94"/>
    <w:rsid w:val="007753EC"/>
    <w:rsid w:val="007770C3"/>
    <w:rsid w:val="007819E2"/>
    <w:rsid w:val="00784D24"/>
    <w:rsid w:val="00785FBA"/>
    <w:rsid w:val="00786E4A"/>
    <w:rsid w:val="007875EB"/>
    <w:rsid w:val="0079426B"/>
    <w:rsid w:val="00795936"/>
    <w:rsid w:val="007C5C3B"/>
    <w:rsid w:val="007D1682"/>
    <w:rsid w:val="007D312A"/>
    <w:rsid w:val="007D3F19"/>
    <w:rsid w:val="007E23B0"/>
    <w:rsid w:val="007E23E5"/>
    <w:rsid w:val="007F1991"/>
    <w:rsid w:val="007F2C2F"/>
    <w:rsid w:val="007F43B6"/>
    <w:rsid w:val="007F55FC"/>
    <w:rsid w:val="007F5665"/>
    <w:rsid w:val="00800112"/>
    <w:rsid w:val="00813348"/>
    <w:rsid w:val="00815EF8"/>
    <w:rsid w:val="008253BB"/>
    <w:rsid w:val="0083706E"/>
    <w:rsid w:val="008408F6"/>
    <w:rsid w:val="00841741"/>
    <w:rsid w:val="008423A5"/>
    <w:rsid w:val="00850625"/>
    <w:rsid w:val="00853718"/>
    <w:rsid w:val="00853E65"/>
    <w:rsid w:val="00855221"/>
    <w:rsid w:val="00860645"/>
    <w:rsid w:val="00871F71"/>
    <w:rsid w:val="00872FD8"/>
    <w:rsid w:val="00880706"/>
    <w:rsid w:val="00885AF4"/>
    <w:rsid w:val="008939CD"/>
    <w:rsid w:val="00894AB3"/>
    <w:rsid w:val="008A7ACA"/>
    <w:rsid w:val="008B768C"/>
    <w:rsid w:val="008C4DB1"/>
    <w:rsid w:val="008C4EAF"/>
    <w:rsid w:val="008C5176"/>
    <w:rsid w:val="008C7FD0"/>
    <w:rsid w:val="008E1DE7"/>
    <w:rsid w:val="008E707C"/>
    <w:rsid w:val="008F32E5"/>
    <w:rsid w:val="00900B08"/>
    <w:rsid w:val="00902155"/>
    <w:rsid w:val="00902FA3"/>
    <w:rsid w:val="00913AC5"/>
    <w:rsid w:val="00923564"/>
    <w:rsid w:val="0092392E"/>
    <w:rsid w:val="009315F9"/>
    <w:rsid w:val="00933499"/>
    <w:rsid w:val="00935C98"/>
    <w:rsid w:val="00941900"/>
    <w:rsid w:val="009446EC"/>
    <w:rsid w:val="00946945"/>
    <w:rsid w:val="00951248"/>
    <w:rsid w:val="0095152F"/>
    <w:rsid w:val="00954C49"/>
    <w:rsid w:val="00955E37"/>
    <w:rsid w:val="00957961"/>
    <w:rsid w:val="00966D53"/>
    <w:rsid w:val="0097099F"/>
    <w:rsid w:val="00971997"/>
    <w:rsid w:val="00971FFC"/>
    <w:rsid w:val="0097232C"/>
    <w:rsid w:val="00980757"/>
    <w:rsid w:val="0098660A"/>
    <w:rsid w:val="00990586"/>
    <w:rsid w:val="009931C3"/>
    <w:rsid w:val="009B2C43"/>
    <w:rsid w:val="009B4EAE"/>
    <w:rsid w:val="009B7573"/>
    <w:rsid w:val="009C22F4"/>
    <w:rsid w:val="009C2A4B"/>
    <w:rsid w:val="009C2E98"/>
    <w:rsid w:val="009D3447"/>
    <w:rsid w:val="009D4711"/>
    <w:rsid w:val="009D6BD3"/>
    <w:rsid w:val="009E1061"/>
    <w:rsid w:val="009E1BB3"/>
    <w:rsid w:val="009E6788"/>
    <w:rsid w:val="009F1185"/>
    <w:rsid w:val="009F18CD"/>
    <w:rsid w:val="009F2A13"/>
    <w:rsid w:val="009F7527"/>
    <w:rsid w:val="00A04EB0"/>
    <w:rsid w:val="00A13CC1"/>
    <w:rsid w:val="00A16847"/>
    <w:rsid w:val="00A237D8"/>
    <w:rsid w:val="00A23E75"/>
    <w:rsid w:val="00A268C4"/>
    <w:rsid w:val="00A307CD"/>
    <w:rsid w:val="00A331C8"/>
    <w:rsid w:val="00A40A00"/>
    <w:rsid w:val="00A4142F"/>
    <w:rsid w:val="00A422EB"/>
    <w:rsid w:val="00A45BB7"/>
    <w:rsid w:val="00A50277"/>
    <w:rsid w:val="00A56DF2"/>
    <w:rsid w:val="00A56E6E"/>
    <w:rsid w:val="00A67AB5"/>
    <w:rsid w:val="00A67BDC"/>
    <w:rsid w:val="00A733B2"/>
    <w:rsid w:val="00A741C2"/>
    <w:rsid w:val="00A91760"/>
    <w:rsid w:val="00A93B00"/>
    <w:rsid w:val="00A93C21"/>
    <w:rsid w:val="00AB64C9"/>
    <w:rsid w:val="00AC3C6A"/>
    <w:rsid w:val="00AC4668"/>
    <w:rsid w:val="00AD5620"/>
    <w:rsid w:val="00AD656B"/>
    <w:rsid w:val="00AD7C1B"/>
    <w:rsid w:val="00AE16BA"/>
    <w:rsid w:val="00AE1EBE"/>
    <w:rsid w:val="00AE3038"/>
    <w:rsid w:val="00B03C9D"/>
    <w:rsid w:val="00B060AE"/>
    <w:rsid w:val="00B10517"/>
    <w:rsid w:val="00B14E76"/>
    <w:rsid w:val="00B161B8"/>
    <w:rsid w:val="00B173F2"/>
    <w:rsid w:val="00B2048C"/>
    <w:rsid w:val="00B310B9"/>
    <w:rsid w:val="00B35F3F"/>
    <w:rsid w:val="00B36CBB"/>
    <w:rsid w:val="00B425E0"/>
    <w:rsid w:val="00B440AA"/>
    <w:rsid w:val="00B44B70"/>
    <w:rsid w:val="00B53C56"/>
    <w:rsid w:val="00B57DAF"/>
    <w:rsid w:val="00B62E0C"/>
    <w:rsid w:val="00B663F4"/>
    <w:rsid w:val="00B77EA6"/>
    <w:rsid w:val="00B81598"/>
    <w:rsid w:val="00B83B55"/>
    <w:rsid w:val="00B841F1"/>
    <w:rsid w:val="00B944D6"/>
    <w:rsid w:val="00B95B28"/>
    <w:rsid w:val="00BA26DE"/>
    <w:rsid w:val="00BA6C85"/>
    <w:rsid w:val="00BB4DF0"/>
    <w:rsid w:val="00BC017E"/>
    <w:rsid w:val="00BC01BA"/>
    <w:rsid w:val="00BC0E65"/>
    <w:rsid w:val="00BC289F"/>
    <w:rsid w:val="00BC2D50"/>
    <w:rsid w:val="00BC5361"/>
    <w:rsid w:val="00BC5460"/>
    <w:rsid w:val="00BC6B50"/>
    <w:rsid w:val="00BD0E25"/>
    <w:rsid w:val="00BD31E7"/>
    <w:rsid w:val="00BF5BD6"/>
    <w:rsid w:val="00C03E31"/>
    <w:rsid w:val="00C32D72"/>
    <w:rsid w:val="00C33E72"/>
    <w:rsid w:val="00C354B2"/>
    <w:rsid w:val="00C35554"/>
    <w:rsid w:val="00C42709"/>
    <w:rsid w:val="00C47F7B"/>
    <w:rsid w:val="00C53377"/>
    <w:rsid w:val="00C533CC"/>
    <w:rsid w:val="00C5751C"/>
    <w:rsid w:val="00C61BFC"/>
    <w:rsid w:val="00C62B85"/>
    <w:rsid w:val="00C62EE7"/>
    <w:rsid w:val="00C65438"/>
    <w:rsid w:val="00C65959"/>
    <w:rsid w:val="00C71679"/>
    <w:rsid w:val="00C850C9"/>
    <w:rsid w:val="00C8603B"/>
    <w:rsid w:val="00C87B01"/>
    <w:rsid w:val="00C87FD8"/>
    <w:rsid w:val="00C91381"/>
    <w:rsid w:val="00C91CBB"/>
    <w:rsid w:val="00C94115"/>
    <w:rsid w:val="00CA3804"/>
    <w:rsid w:val="00CB4E70"/>
    <w:rsid w:val="00CC09B6"/>
    <w:rsid w:val="00CC44A9"/>
    <w:rsid w:val="00CC666F"/>
    <w:rsid w:val="00CD1E3F"/>
    <w:rsid w:val="00CE44F6"/>
    <w:rsid w:val="00CE49DA"/>
    <w:rsid w:val="00CE7B61"/>
    <w:rsid w:val="00CF30F4"/>
    <w:rsid w:val="00D00095"/>
    <w:rsid w:val="00D04452"/>
    <w:rsid w:val="00D114F0"/>
    <w:rsid w:val="00D13830"/>
    <w:rsid w:val="00D16C1E"/>
    <w:rsid w:val="00D20620"/>
    <w:rsid w:val="00D22CE3"/>
    <w:rsid w:val="00D254F7"/>
    <w:rsid w:val="00D26091"/>
    <w:rsid w:val="00D2685C"/>
    <w:rsid w:val="00D34E7C"/>
    <w:rsid w:val="00D35489"/>
    <w:rsid w:val="00D36AFE"/>
    <w:rsid w:val="00D41A99"/>
    <w:rsid w:val="00D51276"/>
    <w:rsid w:val="00D7035F"/>
    <w:rsid w:val="00DA0094"/>
    <w:rsid w:val="00DA634F"/>
    <w:rsid w:val="00DA65AC"/>
    <w:rsid w:val="00DB0BB6"/>
    <w:rsid w:val="00DB1913"/>
    <w:rsid w:val="00DB2876"/>
    <w:rsid w:val="00DC38BB"/>
    <w:rsid w:val="00DC410D"/>
    <w:rsid w:val="00DC5A81"/>
    <w:rsid w:val="00DC68CA"/>
    <w:rsid w:val="00DC7CBA"/>
    <w:rsid w:val="00DD4A6B"/>
    <w:rsid w:val="00DD62F3"/>
    <w:rsid w:val="00DD73B7"/>
    <w:rsid w:val="00DE7BF4"/>
    <w:rsid w:val="00DF05F6"/>
    <w:rsid w:val="00DF28BC"/>
    <w:rsid w:val="00DF34B9"/>
    <w:rsid w:val="00E01053"/>
    <w:rsid w:val="00E07ACF"/>
    <w:rsid w:val="00E222B1"/>
    <w:rsid w:val="00E331A1"/>
    <w:rsid w:val="00E33202"/>
    <w:rsid w:val="00E336A9"/>
    <w:rsid w:val="00E472B1"/>
    <w:rsid w:val="00E50624"/>
    <w:rsid w:val="00E51A29"/>
    <w:rsid w:val="00E568DF"/>
    <w:rsid w:val="00E61C50"/>
    <w:rsid w:val="00E64269"/>
    <w:rsid w:val="00E70C82"/>
    <w:rsid w:val="00E71090"/>
    <w:rsid w:val="00E72C08"/>
    <w:rsid w:val="00E82267"/>
    <w:rsid w:val="00E853CE"/>
    <w:rsid w:val="00E867B6"/>
    <w:rsid w:val="00E936DF"/>
    <w:rsid w:val="00EA010F"/>
    <w:rsid w:val="00ED1B63"/>
    <w:rsid w:val="00ED3C1F"/>
    <w:rsid w:val="00ED4085"/>
    <w:rsid w:val="00ED420E"/>
    <w:rsid w:val="00ED6FBE"/>
    <w:rsid w:val="00EE2F57"/>
    <w:rsid w:val="00EF4C34"/>
    <w:rsid w:val="00EF77C6"/>
    <w:rsid w:val="00EF796A"/>
    <w:rsid w:val="00F05438"/>
    <w:rsid w:val="00F1361C"/>
    <w:rsid w:val="00F156F0"/>
    <w:rsid w:val="00F160C7"/>
    <w:rsid w:val="00F24049"/>
    <w:rsid w:val="00F2408F"/>
    <w:rsid w:val="00F240E9"/>
    <w:rsid w:val="00F27D29"/>
    <w:rsid w:val="00F36D8F"/>
    <w:rsid w:val="00F417B1"/>
    <w:rsid w:val="00F45853"/>
    <w:rsid w:val="00F5113F"/>
    <w:rsid w:val="00F602DF"/>
    <w:rsid w:val="00F71E77"/>
    <w:rsid w:val="00F754A1"/>
    <w:rsid w:val="00F81FD9"/>
    <w:rsid w:val="00F830A8"/>
    <w:rsid w:val="00F841AA"/>
    <w:rsid w:val="00F84A94"/>
    <w:rsid w:val="00F87E96"/>
    <w:rsid w:val="00F9062F"/>
    <w:rsid w:val="00FA1720"/>
    <w:rsid w:val="00FA23E8"/>
    <w:rsid w:val="00FA29A5"/>
    <w:rsid w:val="00FD3CC1"/>
    <w:rsid w:val="00FE17C8"/>
    <w:rsid w:val="00FE2179"/>
    <w:rsid w:val="00FE4203"/>
    <w:rsid w:val="00FF03DC"/>
    <w:rsid w:val="00FF1E02"/>
    <w:rsid w:val="00FF30B4"/>
    <w:rsid w:val="015975B8"/>
    <w:rsid w:val="02143E91"/>
    <w:rsid w:val="066E0107"/>
    <w:rsid w:val="07996F6E"/>
    <w:rsid w:val="0891331A"/>
    <w:rsid w:val="090B4F08"/>
    <w:rsid w:val="0A2032A3"/>
    <w:rsid w:val="0C0011BA"/>
    <w:rsid w:val="0D155C39"/>
    <w:rsid w:val="0E0D7056"/>
    <w:rsid w:val="0F98263C"/>
    <w:rsid w:val="101860EC"/>
    <w:rsid w:val="1075103E"/>
    <w:rsid w:val="10C055FF"/>
    <w:rsid w:val="118107EC"/>
    <w:rsid w:val="13D50BC4"/>
    <w:rsid w:val="16BB723D"/>
    <w:rsid w:val="1BE8440E"/>
    <w:rsid w:val="1D155CEE"/>
    <w:rsid w:val="1DB25051"/>
    <w:rsid w:val="1E7444BA"/>
    <w:rsid w:val="1EF852F7"/>
    <w:rsid w:val="1FF35744"/>
    <w:rsid w:val="1FFB197A"/>
    <w:rsid w:val="23860B96"/>
    <w:rsid w:val="240371BF"/>
    <w:rsid w:val="29FD04D3"/>
    <w:rsid w:val="2A176D50"/>
    <w:rsid w:val="2C4164A4"/>
    <w:rsid w:val="2C8A61B5"/>
    <w:rsid w:val="2CDD51B6"/>
    <w:rsid w:val="2DF04E50"/>
    <w:rsid w:val="2F040D46"/>
    <w:rsid w:val="30C666D9"/>
    <w:rsid w:val="319F7F4E"/>
    <w:rsid w:val="3304709D"/>
    <w:rsid w:val="36AA5135"/>
    <w:rsid w:val="376D39B2"/>
    <w:rsid w:val="37E16F03"/>
    <w:rsid w:val="38D469F0"/>
    <w:rsid w:val="3D566323"/>
    <w:rsid w:val="3D98207C"/>
    <w:rsid w:val="3E78745D"/>
    <w:rsid w:val="3EC42A40"/>
    <w:rsid w:val="40B0602D"/>
    <w:rsid w:val="44E268DA"/>
    <w:rsid w:val="4A627F82"/>
    <w:rsid w:val="4B0E749A"/>
    <w:rsid w:val="4B4F25DA"/>
    <w:rsid w:val="4BE068DB"/>
    <w:rsid w:val="4D577224"/>
    <w:rsid w:val="4EAB630A"/>
    <w:rsid w:val="4ECE2238"/>
    <w:rsid w:val="537E6D0A"/>
    <w:rsid w:val="55AC774A"/>
    <w:rsid w:val="599E5682"/>
    <w:rsid w:val="5AF92295"/>
    <w:rsid w:val="5CD71FC4"/>
    <w:rsid w:val="5F3A4BFB"/>
    <w:rsid w:val="5FA814E1"/>
    <w:rsid w:val="63B53257"/>
    <w:rsid w:val="69345A96"/>
    <w:rsid w:val="6BB20381"/>
    <w:rsid w:val="6C4A05C8"/>
    <w:rsid w:val="6E7E3605"/>
    <w:rsid w:val="6FF5CC65"/>
    <w:rsid w:val="715C0E4B"/>
    <w:rsid w:val="72734D90"/>
    <w:rsid w:val="73AD73D5"/>
    <w:rsid w:val="73B6EB34"/>
    <w:rsid w:val="73C80D84"/>
    <w:rsid w:val="73CC366A"/>
    <w:rsid w:val="744731E5"/>
    <w:rsid w:val="76E3355F"/>
    <w:rsid w:val="778769C8"/>
    <w:rsid w:val="79EE5BA4"/>
    <w:rsid w:val="7A7649A0"/>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99"/>
    <w:pPr>
      <w:ind w:left="800" w:leftChars="800"/>
    </w:pPr>
    <w:rPr>
      <w:rFonts w:eastAsia="仿宋_GB2312"/>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link w:val="37"/>
    <w:semiHidden/>
    <w:unhideWhenUsed/>
    <w:qFormat/>
    <w:uiPriority w:val="99"/>
    <w:pPr>
      <w:suppressAutoHyphens/>
      <w:snapToGrid w:val="0"/>
      <w:jc w:val="left"/>
    </w:pPr>
    <w:rPr>
      <w:rFonts w:ascii="Calibri" w:hAnsi="Calibri"/>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jc w:val="left"/>
    </w:pPr>
    <w:rPr>
      <w:rFonts w:ascii="Calibri" w:hAnsi="Calibri"/>
      <w:kern w:val="0"/>
      <w:sz w:val="24"/>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2"/>
    <w:qFormat/>
    <w:uiPriority w:val="9"/>
    <w:rPr>
      <w:rFonts w:ascii="Times New Roman" w:hAnsi="Times New Roman"/>
      <w:b/>
      <w:bCs/>
      <w:kern w:val="44"/>
      <w:sz w:val="44"/>
      <w:szCs w:val="44"/>
    </w:rPr>
  </w:style>
  <w:style w:type="character" w:customStyle="1" w:styleId="31">
    <w:name w:val="标题 2 Char"/>
    <w:basedOn w:val="18"/>
    <w:link w:val="3"/>
    <w:qFormat/>
    <w:uiPriority w:val="9"/>
    <w:rPr>
      <w:rFonts w:asciiTheme="majorHAnsi" w:hAnsiTheme="majorHAnsi" w:eastAsiaTheme="majorEastAsia" w:cstheme="majorBidi"/>
      <w:b/>
      <w:bCs/>
      <w:kern w:val="2"/>
      <w:sz w:val="32"/>
      <w:szCs w:val="32"/>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8"/>
    <w:link w:val="9"/>
    <w:semiHidden/>
    <w:qFormat/>
    <w:uiPriority w:val="99"/>
    <w:rPr>
      <w:rFonts w:ascii="Times New Roman" w:hAnsi="Times New Roman"/>
      <w:kern w:val="2"/>
      <w:sz w:val="18"/>
      <w:szCs w:val="18"/>
    </w:rPr>
  </w:style>
  <w:style w:type="character" w:customStyle="1" w:styleId="34">
    <w:name w:val="标题 3 Char"/>
    <w:basedOn w:val="18"/>
    <w:link w:val="4"/>
    <w:qFormat/>
    <w:uiPriority w:val="9"/>
    <w:rPr>
      <w:rFonts w:ascii="Times New Roman" w:hAnsi="Times New Roman"/>
      <w:b/>
      <w:bCs/>
      <w:kern w:val="2"/>
      <w:sz w:val="32"/>
      <w:szCs w:val="32"/>
    </w:rPr>
  </w:style>
  <w:style w:type="paragraph" w:customStyle="1" w:styleId="3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character" w:customStyle="1" w:styleId="37">
    <w:name w:val="脚注文本 Char"/>
    <w:basedOn w:val="18"/>
    <w:link w:val="1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Sheet1!$N$5</c:f>
              <c:strCache>
                <c:ptCount val="1"/>
                <c:pt idx="0">
                  <c:v>收入</c:v>
                </c:pt>
              </c:strCache>
            </c:strRef>
          </c:tx>
          <c:invertIfNegative val="0"/>
          <c:dLbls>
            <c:delete val="1"/>
          </c:dLbls>
          <c:cat>
            <c:strRef>
              <c:f>Sheet1!$O$4:$P$4</c:f>
              <c:strCache>
                <c:ptCount val="2"/>
                <c:pt idx="0">
                  <c:v>2022年</c:v>
                </c:pt>
                <c:pt idx="1">
                  <c:v>2023年</c:v>
                </c:pt>
              </c:strCache>
            </c:strRef>
          </c:cat>
          <c:val>
            <c:numRef>
              <c:f>Sheet1!$O$5:$P$5</c:f>
              <c:numCache>
                <c:formatCode>General</c:formatCode>
                <c:ptCount val="2"/>
                <c:pt idx="0">
                  <c:v>188.98</c:v>
                </c:pt>
                <c:pt idx="1">
                  <c:v>421.54</c:v>
                </c:pt>
              </c:numCache>
            </c:numRef>
          </c:val>
        </c:ser>
        <c:ser>
          <c:idx val="1"/>
          <c:order val="1"/>
          <c:tx>
            <c:strRef>
              <c:f>Sheet1!$N$6</c:f>
              <c:strCache>
                <c:ptCount val="1"/>
                <c:pt idx="0">
                  <c:v>支出</c:v>
                </c:pt>
              </c:strCache>
            </c:strRef>
          </c:tx>
          <c:invertIfNegative val="0"/>
          <c:dLbls>
            <c:delete val="1"/>
          </c:dLbls>
          <c:cat>
            <c:strRef>
              <c:f>Sheet1!$O$4:$P$4</c:f>
              <c:strCache>
                <c:ptCount val="2"/>
                <c:pt idx="0">
                  <c:v>2022年</c:v>
                </c:pt>
                <c:pt idx="1">
                  <c:v>2023年</c:v>
                </c:pt>
              </c:strCache>
            </c:strRef>
          </c:cat>
          <c:val>
            <c:numRef>
              <c:f>Sheet1!$O$6:$P$6</c:f>
              <c:numCache>
                <c:formatCode>General</c:formatCode>
                <c:ptCount val="2"/>
                <c:pt idx="0">
                  <c:v>188.98</c:v>
                </c:pt>
                <c:pt idx="1">
                  <c:v>421.54</c:v>
                </c:pt>
              </c:numCache>
            </c:numRef>
          </c:val>
        </c:ser>
        <c:dLbls>
          <c:showLegendKey val="0"/>
          <c:showVal val="0"/>
          <c:showCatName val="0"/>
          <c:showSerName val="0"/>
          <c:showPercent val="0"/>
          <c:showBubbleSize val="0"/>
        </c:dLbls>
        <c:gapWidth val="150"/>
        <c:axId val="115158016"/>
        <c:axId val="115598464"/>
      </c:barChart>
      <c:catAx>
        <c:axId val="1151580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598464"/>
        <c:crosses val="autoZero"/>
        <c:auto val="1"/>
        <c:lblAlgn val="ctr"/>
        <c:lblOffset val="100"/>
        <c:noMultiLvlLbl val="0"/>
      </c:catAx>
      <c:valAx>
        <c:axId val="115598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158016"/>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98670b0-23df-46d9-b0e9-29039acf1ae3}"/>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altLang="en-US"/>
              <a:t>202</a:t>
            </a:r>
            <a:r>
              <a:rPr lang="en-US" altLang="en-US"/>
              <a:t>3</a:t>
            </a:r>
            <a:r>
              <a:rPr altLang="en-US"/>
              <a:t>年</a:t>
            </a:r>
            <a:endParaRPr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Sheet1!$M$13</c:f>
              <c:strCache>
                <c:ptCount val="1"/>
                <c:pt idx="0">
                  <c:v>2022年</c:v>
                </c:pt>
              </c:strCache>
            </c:strRef>
          </c:tx>
          <c:explosion val="0"/>
          <c:dPt>
            <c:idx val="0"/>
            <c:bubble3D val="0"/>
          </c:dPt>
          <c:dLbls>
            <c:delete val="1"/>
          </c:dLbls>
          <c:cat>
            <c:strRef>
              <c:f>Sheet1!$N$12</c:f>
              <c:strCache>
                <c:ptCount val="1"/>
                <c:pt idx="0">
                  <c:v>财政补款收入</c:v>
                </c:pt>
              </c:strCache>
            </c:strRef>
          </c:cat>
          <c:val>
            <c:numRef>
              <c:f>Sheet1!$N$13</c:f>
              <c:numCache>
                <c:formatCode>General</c:formatCode>
                <c:ptCount val="1"/>
                <c:pt idx="0">
                  <c:v>188.98</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bdc9aa98-ec14-4dad-bd4a-b9d9deff1c40}"/>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Sheet1!$C$31</c:f>
              <c:strCache>
                <c:ptCount val="1"/>
                <c:pt idx="0">
                  <c:v>2023年支出</c:v>
                </c:pt>
              </c:strCache>
            </c:strRef>
          </c:tx>
          <c:explosion val="0"/>
          <c:dPt>
            <c:idx val="0"/>
            <c:bubble3D val="0"/>
          </c:dPt>
          <c:dPt>
            <c:idx val="1"/>
            <c:bubble3D val="0"/>
          </c:dPt>
          <c:dLbls>
            <c:delete val="1"/>
          </c:dLbls>
          <c:cat>
            <c:strRef>
              <c:f>Sheet1!$B$32:$B$33</c:f>
              <c:strCache>
                <c:ptCount val="2"/>
                <c:pt idx="0">
                  <c:v>基本支出</c:v>
                </c:pt>
                <c:pt idx="1">
                  <c:v>项目支出</c:v>
                </c:pt>
              </c:strCache>
            </c:strRef>
          </c:cat>
          <c:val>
            <c:numRef>
              <c:f>Sheet1!$C$32:$C$33</c:f>
              <c:numCache>
                <c:formatCode>General</c:formatCode>
                <c:ptCount val="2"/>
                <c:pt idx="0">
                  <c:v>250.27</c:v>
                </c:pt>
                <c:pt idx="1">
                  <c:v>171.27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44e8999-3c7b-4c49-9988-c4d2e2621dc4}"/>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Sheet1!$N$5</c:f>
              <c:strCache>
                <c:ptCount val="1"/>
                <c:pt idx="0">
                  <c:v>收入</c:v>
                </c:pt>
              </c:strCache>
            </c:strRef>
          </c:tx>
          <c:invertIfNegative val="0"/>
          <c:dLbls>
            <c:delete val="1"/>
          </c:dLbls>
          <c:cat>
            <c:strRef>
              <c:f>Sheet1!$O$4:$P$4</c:f>
              <c:strCache>
                <c:ptCount val="2"/>
                <c:pt idx="0">
                  <c:v>2022年</c:v>
                </c:pt>
                <c:pt idx="1">
                  <c:v>2023年</c:v>
                </c:pt>
              </c:strCache>
            </c:strRef>
          </c:cat>
          <c:val>
            <c:numRef>
              <c:f>Sheet1!$O$5:$P$5</c:f>
              <c:numCache>
                <c:formatCode>General</c:formatCode>
                <c:ptCount val="2"/>
                <c:pt idx="0">
                  <c:v>188.98</c:v>
                </c:pt>
                <c:pt idx="1">
                  <c:v>421.54</c:v>
                </c:pt>
              </c:numCache>
            </c:numRef>
          </c:val>
        </c:ser>
        <c:ser>
          <c:idx val="1"/>
          <c:order val="1"/>
          <c:tx>
            <c:strRef>
              <c:f>Sheet1!$N$6</c:f>
              <c:strCache>
                <c:ptCount val="1"/>
                <c:pt idx="0">
                  <c:v>支出</c:v>
                </c:pt>
              </c:strCache>
            </c:strRef>
          </c:tx>
          <c:invertIfNegative val="0"/>
          <c:dLbls>
            <c:delete val="1"/>
          </c:dLbls>
          <c:cat>
            <c:strRef>
              <c:f>Sheet1!$O$4:$P$4</c:f>
              <c:strCache>
                <c:ptCount val="2"/>
                <c:pt idx="0">
                  <c:v>2022年</c:v>
                </c:pt>
                <c:pt idx="1">
                  <c:v>2023年</c:v>
                </c:pt>
              </c:strCache>
            </c:strRef>
          </c:cat>
          <c:val>
            <c:numRef>
              <c:f>Sheet1!$O$6:$P$6</c:f>
              <c:numCache>
                <c:formatCode>General</c:formatCode>
                <c:ptCount val="2"/>
                <c:pt idx="0">
                  <c:v>188.98</c:v>
                </c:pt>
                <c:pt idx="1">
                  <c:v>421.54</c:v>
                </c:pt>
              </c:numCache>
            </c:numRef>
          </c:val>
        </c:ser>
        <c:dLbls>
          <c:showLegendKey val="0"/>
          <c:showVal val="0"/>
          <c:showCatName val="0"/>
          <c:showSerName val="0"/>
          <c:showPercent val="0"/>
          <c:showBubbleSize val="0"/>
        </c:dLbls>
        <c:gapWidth val="150"/>
        <c:axId val="54059392"/>
        <c:axId val="54060928"/>
      </c:barChart>
      <c:catAx>
        <c:axId val="5405939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60928"/>
        <c:crosses val="autoZero"/>
        <c:auto val="1"/>
        <c:lblAlgn val="ctr"/>
        <c:lblOffset val="100"/>
        <c:noMultiLvlLbl val="0"/>
      </c:catAx>
      <c:valAx>
        <c:axId val="540609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59392"/>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2e43589-3951-4057-8958-95aa4198d7d3}"/>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Sheet1!$P$17</c:f>
              <c:strCache>
                <c:ptCount val="1"/>
                <c:pt idx="0">
                  <c:v>支出</c:v>
                </c:pt>
              </c:strCache>
            </c:strRef>
          </c:tx>
          <c:invertIfNegative val="0"/>
          <c:dLbls>
            <c:delete val="1"/>
          </c:dLbls>
          <c:cat>
            <c:strRef>
              <c:f>Sheet1!$Q$16:$R$16</c:f>
              <c:strCache>
                <c:ptCount val="2"/>
                <c:pt idx="0">
                  <c:v>2022年</c:v>
                </c:pt>
                <c:pt idx="1">
                  <c:v>2023年</c:v>
                </c:pt>
              </c:strCache>
            </c:strRef>
          </c:cat>
          <c:val>
            <c:numRef>
              <c:f>Sheet1!$Q$17:$R$17</c:f>
              <c:numCache>
                <c:formatCode>General</c:formatCode>
                <c:ptCount val="2"/>
                <c:pt idx="0">
                  <c:v>188.98</c:v>
                </c:pt>
                <c:pt idx="1">
                  <c:v>421.54</c:v>
                </c:pt>
              </c:numCache>
            </c:numRef>
          </c:val>
        </c:ser>
        <c:dLbls>
          <c:showLegendKey val="0"/>
          <c:showVal val="0"/>
          <c:showCatName val="0"/>
          <c:showSerName val="0"/>
          <c:showPercent val="0"/>
          <c:showBubbleSize val="0"/>
        </c:dLbls>
        <c:gapWidth val="150"/>
        <c:axId val="54056064"/>
        <c:axId val="54057600"/>
      </c:barChart>
      <c:catAx>
        <c:axId val="540560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57600"/>
        <c:crosses val="autoZero"/>
        <c:auto val="1"/>
        <c:lblAlgn val="ctr"/>
        <c:lblOffset val="100"/>
        <c:noMultiLvlLbl val="0"/>
      </c:catAx>
      <c:valAx>
        <c:axId val="54057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560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a43cba3-8d35-45d5-8b09-a6bd402d3048}"/>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Lbls>
            <c:delete val="1"/>
          </c:dLbls>
          <c:cat>
            <c:strRef>
              <c:f>Sheet1!$E$9:$E$12</c:f>
              <c:strCache>
                <c:ptCount val="4"/>
                <c:pt idx="0">
                  <c:v>社会保障和就业支出</c:v>
                </c:pt>
                <c:pt idx="1">
                  <c:v>卫生健康支出</c:v>
                </c:pt>
                <c:pt idx="2">
                  <c:v>自然资源海洋气象等支出</c:v>
                </c:pt>
                <c:pt idx="3">
                  <c:v>住房保障支出</c:v>
                </c:pt>
              </c:strCache>
            </c:strRef>
          </c:cat>
          <c:val>
            <c:numRef>
              <c:f>Sheet1!$F$9:$F$12</c:f>
              <c:numCache>
                <c:formatCode>General</c:formatCode>
                <c:ptCount val="4"/>
                <c:pt idx="0">
                  <c:v>24.06</c:v>
                </c:pt>
                <c:pt idx="1">
                  <c:v>16.42</c:v>
                </c:pt>
                <c:pt idx="2">
                  <c:v>366.24</c:v>
                </c:pt>
                <c:pt idx="3">
                  <c:v>14.83</c:v>
                </c:pt>
              </c:numCache>
            </c:numRef>
          </c:val>
        </c:ser>
        <c:ser>
          <c:idx val="1"/>
          <c:order val="1"/>
          <c:explosion val="0"/>
          <c:dPt>
            <c:idx val="0"/>
            <c:bubble3D val="0"/>
          </c:dPt>
          <c:dPt>
            <c:idx val="1"/>
            <c:bubble3D val="0"/>
          </c:dPt>
          <c:dPt>
            <c:idx val="2"/>
            <c:bubble3D val="0"/>
          </c:dPt>
          <c:dPt>
            <c:idx val="3"/>
            <c:bubble3D val="0"/>
          </c:dPt>
          <c:dLbls>
            <c:delete val="1"/>
          </c:dLbls>
          <c:cat>
            <c:strRef>
              <c:f>Sheet1!$E$9:$E$12</c:f>
              <c:strCache>
                <c:ptCount val="4"/>
                <c:pt idx="0">
                  <c:v>社会保障和就业支出</c:v>
                </c:pt>
                <c:pt idx="1">
                  <c:v>卫生健康支出</c:v>
                </c:pt>
                <c:pt idx="2">
                  <c:v>自然资源海洋气象等支出</c:v>
                </c:pt>
                <c:pt idx="3">
                  <c:v>住房保障支出</c:v>
                </c:pt>
              </c:strCache>
            </c:strRef>
          </c:cat>
          <c:val>
            <c:numRef>
              <c:f>Sheet1!$G$9:$G$12</c:f>
              <c:numCache>
                <c:formatCode>0.00%</c:formatCode>
                <c:ptCount val="4"/>
                <c:pt idx="0">
                  <c:v>0.0571</c:v>
                </c:pt>
                <c:pt idx="1">
                  <c:v>0.0389</c:v>
                </c:pt>
                <c:pt idx="2">
                  <c:v>0.868800000000002</c:v>
                </c:pt>
                <c:pt idx="3">
                  <c:v>0.0352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37b38a5-f680-4d9d-824b-25dbbbc438da}"/>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C76B4-0538-4240-BA14-DDA3F9478F75}">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2069</Words>
  <Characters>2325</Characters>
  <Lines>95</Lines>
  <Paragraphs>26</Paragraphs>
  <TotalTime>88</TotalTime>
  <ScaleCrop>false</ScaleCrop>
  <LinksUpToDate>false</LinksUpToDate>
  <CharactersWithSpaces>2370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2024-09-18T03:13:00Z</dcterms:created>
  <dc:creator>曹颖</dc:creator>
  <cp:lastModifiedBy>敦敦</cp:lastModifiedBy>
  <cp:lastPrinted>2024-09-19T01:59:00Z</cp:lastPrinted>
  <dcterms:modified xsi:type="dcterms:W3CDTF">2025-04-03T02:33:32Z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0418B38BE582469A839B65888A8E36CC_12</vt:lpwstr>
  </property>
  <property fmtid="{D5CDD505-2E9C-101B-9397-08002B2CF9AE}" pid="4" name="KSOTemplateDocerSaveRecord">
    <vt:lpwstr>eyJoZGlkIjoiYmIyNzliOGEwMGQwMzAwMWNhNGUwY2M0NTExYWM4ZTYiLCJ1c2VySWQiOiI1ODMwNzE5ODMifQ==</vt:lpwstr>
  </property>
</Properties>
</file>