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7FA5D">
      <w:pPr>
        <w:spacing w:line="600" w:lineRule="exact"/>
        <w:jc w:val="center"/>
        <w:outlineLvl w:val="0"/>
        <w:rPr>
          <w:rFonts w:ascii="方正小标宋简体" w:hAnsi="宋体" w:eastAsia="方正小标宋简体"/>
          <w:color w:val="000000"/>
          <w:sz w:val="72"/>
          <w:szCs w:val="72"/>
        </w:rPr>
      </w:pPr>
      <w:bookmarkStart w:id="67" w:name="_GoBack"/>
      <w:bookmarkEnd w:id="67"/>
      <w:bookmarkStart w:id="0" w:name="_Toc15306267"/>
    </w:p>
    <w:p w14:paraId="4C2778CE">
      <w:pPr>
        <w:spacing w:line="600" w:lineRule="exact"/>
        <w:jc w:val="center"/>
        <w:outlineLvl w:val="0"/>
        <w:rPr>
          <w:rFonts w:ascii="方正小标宋简体" w:hAnsi="宋体" w:eastAsia="方正小标宋简体"/>
          <w:color w:val="000000"/>
          <w:sz w:val="72"/>
          <w:szCs w:val="72"/>
        </w:rPr>
      </w:pPr>
    </w:p>
    <w:p w14:paraId="074FCD1F">
      <w:pPr>
        <w:spacing w:line="600" w:lineRule="exact"/>
        <w:jc w:val="center"/>
        <w:outlineLvl w:val="0"/>
        <w:rPr>
          <w:rFonts w:ascii="方正小标宋简体" w:hAnsi="宋体" w:eastAsia="方正小标宋简体"/>
          <w:color w:val="000000"/>
          <w:sz w:val="72"/>
          <w:szCs w:val="72"/>
        </w:rPr>
      </w:pPr>
    </w:p>
    <w:p w14:paraId="46235DE3">
      <w:pPr>
        <w:spacing w:line="600" w:lineRule="exact"/>
        <w:jc w:val="center"/>
        <w:outlineLvl w:val="0"/>
        <w:rPr>
          <w:rFonts w:ascii="方正小标宋简体" w:hAnsi="宋体" w:eastAsia="方正小标宋简体"/>
          <w:color w:val="000000"/>
          <w:sz w:val="72"/>
          <w:szCs w:val="72"/>
        </w:rPr>
      </w:pPr>
    </w:p>
    <w:bookmarkEnd w:id="0"/>
    <w:p w14:paraId="3B754A62">
      <w:pPr>
        <w:adjustRightInd w:val="0"/>
        <w:snapToGrid w:val="0"/>
        <w:spacing w:line="1040" w:lineRule="exact"/>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14:paraId="714816AF">
      <w:pPr>
        <w:adjustRightInd w:val="0"/>
        <w:snapToGrid w:val="0"/>
        <w:spacing w:line="1040" w:lineRule="exact"/>
        <w:jc w:val="center"/>
        <w:outlineLvl w:val="0"/>
        <w:rPr>
          <w:rFonts w:ascii="方正小标宋简体" w:hAnsi="宋体" w:eastAsia="方正小标宋简体"/>
          <w:color w:val="000000"/>
          <w:sz w:val="72"/>
          <w:szCs w:val="72"/>
        </w:rPr>
      </w:pPr>
      <w:bookmarkStart w:id="6" w:name="_Toc15377426"/>
      <w:bookmarkStart w:id="7" w:name="_Toc15396598"/>
      <w:bookmarkStart w:id="8" w:name="_Toc15396476"/>
      <w:bookmarkStart w:id="9" w:name="_Toc15378442"/>
      <w:bookmarkStart w:id="10" w:name="_Toc15377194"/>
      <w:r>
        <w:rPr>
          <w:rFonts w:hint="eastAsia" w:ascii="方正小标宋简体" w:hAnsi="宋体" w:eastAsia="方正小标宋简体"/>
          <w:color w:val="000000"/>
          <w:sz w:val="72"/>
          <w:szCs w:val="72"/>
        </w:rPr>
        <w:t>四川省米易县</w:t>
      </w:r>
      <w:bookmarkStart w:id="11" w:name="_Toc15306268"/>
      <w:r>
        <w:rPr>
          <w:rFonts w:hint="eastAsia" w:ascii="方正小标宋简体" w:hAnsi="宋体" w:eastAsia="方正小标宋简体"/>
          <w:color w:val="000000"/>
          <w:sz w:val="72"/>
          <w:szCs w:val="72"/>
        </w:rPr>
        <w:t>医疗保障局部门决算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14:paraId="296D78B4">
      <w:pPr>
        <w:adjustRightInd w:val="0"/>
        <w:snapToGrid w:val="0"/>
        <w:spacing w:line="360" w:lineRule="auto"/>
        <w:jc w:val="center"/>
        <w:outlineLvl w:val="0"/>
        <w:rPr>
          <w:rFonts w:ascii="方正小标宋简体" w:hAnsi="宋体" w:eastAsia="方正小标宋简体"/>
          <w:color w:val="000000"/>
          <w:sz w:val="52"/>
          <w:szCs w:val="52"/>
        </w:rPr>
      </w:pPr>
    </w:p>
    <w:p w14:paraId="0148CE5D">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AFDA9AA">
      <w:pPr>
        <w:widowControl/>
        <w:jc w:val="center"/>
        <w:rPr>
          <w:rFonts w:ascii="黑体" w:hAnsi="黑体" w:eastAsia="黑体" w:cstheme="minorBidi"/>
          <w:sz w:val="28"/>
          <w:szCs w:val="28"/>
        </w:rPr>
      </w:pPr>
    </w:p>
    <w:p w14:paraId="50731E6E">
      <w:pPr>
        <w:pStyle w:val="11"/>
      </w:pPr>
      <w:r>
        <w:rPr>
          <w:rFonts w:hint="eastAsia"/>
        </w:rPr>
        <w:t>公开时间：2021年10月26日</w:t>
      </w:r>
    </w:p>
    <w:p w14:paraId="59B4D36B"/>
    <w:p w14:paraId="39F2DFE4">
      <w:pPr>
        <w:pStyle w:val="11"/>
        <w:spacing w:before="0" w:line="560" w:lineRule="exact"/>
        <w:jc w:val="left"/>
        <w:rPr>
          <w:rFonts w:asciiTheme="minorEastAsia" w:hAnsiTheme="minorEastAsia" w:eastAsiaTheme="minorEastAsia" w:cstheme="minorBidi"/>
          <w:b/>
          <w:sz w:val="24"/>
          <w:szCs w:val="24"/>
        </w:rPr>
      </w:pPr>
      <w:r>
        <w:rPr>
          <w:rFonts w:hint="eastAsia" w:asciiTheme="minorEastAsia" w:hAnsiTheme="minorEastAsia" w:eastAsiaTheme="minorEastAsia"/>
          <w:b/>
          <w:sz w:val="24"/>
          <w:szCs w:val="24"/>
        </w:rPr>
        <w:t>第一部分 部门概况</w:t>
      </w:r>
    </w:p>
    <w:p w14:paraId="32D95EDF">
      <w:pPr>
        <w:pStyle w:val="12"/>
        <w:spacing w:line="560" w:lineRule="exact"/>
        <w:jc w:val="left"/>
        <w:rPr>
          <w:rFonts w:ascii="仿宋" w:hAnsi="仿宋" w:eastAsia="仿宋"/>
          <w:sz w:val="24"/>
        </w:rPr>
      </w:pPr>
      <w:r>
        <w:rPr>
          <w:rFonts w:hint="eastAsia"/>
          <w:sz w:val="24"/>
        </w:rPr>
        <w:t>一、基本职能及主要工作</w:t>
      </w:r>
      <w:r>
        <w:rPr>
          <w:sz w:val="24"/>
        </w:rPr>
        <w:t>………………………………………………</w:t>
      </w:r>
      <w:r>
        <w:rPr>
          <w:rFonts w:hint="eastAsia"/>
          <w:sz w:val="24"/>
        </w:rPr>
        <w:t>.4</w:t>
      </w:r>
    </w:p>
    <w:p w14:paraId="55BC5A93">
      <w:pPr>
        <w:pStyle w:val="12"/>
        <w:spacing w:line="560" w:lineRule="exact"/>
        <w:ind w:left="0" w:leftChars="0" w:firstLine="480" w:firstLineChars="200"/>
        <w:jc w:val="left"/>
      </w:pPr>
      <w:r>
        <w:rPr>
          <w:rFonts w:hint="eastAsia"/>
          <w:sz w:val="24"/>
        </w:rPr>
        <w:t>二、机构设置</w:t>
      </w:r>
      <w:r>
        <w:rPr>
          <w:sz w:val="24"/>
        </w:rPr>
        <w:t>……………………………………………………………</w:t>
      </w:r>
      <w:r>
        <w:rPr>
          <w:rFonts w:hint="eastAsia"/>
          <w:sz w:val="24"/>
        </w:rPr>
        <w:t>11</w:t>
      </w:r>
    </w:p>
    <w:p w14:paraId="666EF5F0">
      <w:pPr>
        <w:pStyle w:val="11"/>
        <w:spacing w:before="0" w:line="560" w:lineRule="exact"/>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第二部分2020年度部门决算情况说明</w:t>
      </w:r>
      <w:r>
        <w:rPr>
          <w:sz w:val="24"/>
        </w:rPr>
        <w:t>……………………………………</w:t>
      </w:r>
      <w:r>
        <w:rPr>
          <w:rFonts w:hint="eastAsia"/>
          <w:sz w:val="24"/>
        </w:rPr>
        <w:t>12</w:t>
      </w:r>
    </w:p>
    <w:p w14:paraId="25B3BB96">
      <w:pPr>
        <w:pStyle w:val="12"/>
        <w:spacing w:line="560" w:lineRule="exact"/>
        <w:jc w:val="left"/>
        <w:rPr>
          <w:rFonts w:ascii="仿宋" w:hAnsi="仿宋" w:eastAsia="仿宋" w:cstheme="minorBidi"/>
          <w:sz w:val="24"/>
        </w:rPr>
      </w:pPr>
      <w:r>
        <w:rPr>
          <w:rFonts w:hint="eastAsia"/>
          <w:sz w:val="24"/>
        </w:rPr>
        <w:t>一、收入支出决算总体情况说明</w:t>
      </w:r>
      <w:r>
        <w:rPr>
          <w:sz w:val="24"/>
        </w:rPr>
        <w:t>………………………………………</w:t>
      </w:r>
      <w:r>
        <w:rPr>
          <w:rFonts w:hint="eastAsia"/>
          <w:sz w:val="24"/>
        </w:rPr>
        <w:t>.12</w:t>
      </w:r>
    </w:p>
    <w:p w14:paraId="1F995B5A">
      <w:pPr>
        <w:pStyle w:val="12"/>
        <w:spacing w:line="560" w:lineRule="exact"/>
        <w:jc w:val="left"/>
        <w:rPr>
          <w:rFonts w:ascii="仿宋" w:hAnsi="仿宋" w:eastAsia="仿宋" w:cstheme="minorBidi"/>
          <w:sz w:val="24"/>
        </w:rPr>
      </w:pPr>
      <w:r>
        <w:rPr>
          <w:rFonts w:hint="eastAsia"/>
          <w:sz w:val="24"/>
        </w:rPr>
        <w:t>二、收入决算情况说明</w:t>
      </w:r>
      <w:r>
        <w:rPr>
          <w:sz w:val="24"/>
        </w:rPr>
        <w:t>………………………………………………</w:t>
      </w:r>
      <w:r>
        <w:rPr>
          <w:rFonts w:hint="eastAsia"/>
          <w:sz w:val="24"/>
        </w:rPr>
        <w:t>.</w:t>
      </w:r>
      <w:r>
        <w:rPr>
          <w:sz w:val="24"/>
        </w:rPr>
        <w:t>…</w:t>
      </w:r>
      <w:r>
        <w:rPr>
          <w:rFonts w:hint="eastAsia"/>
          <w:sz w:val="24"/>
        </w:rPr>
        <w:t>12</w:t>
      </w:r>
    </w:p>
    <w:p w14:paraId="23830E0A">
      <w:pPr>
        <w:pStyle w:val="12"/>
        <w:spacing w:line="560" w:lineRule="exact"/>
        <w:jc w:val="left"/>
        <w:rPr>
          <w:rFonts w:ascii="仿宋" w:hAnsi="仿宋" w:eastAsia="仿宋" w:cstheme="minorBidi"/>
          <w:sz w:val="24"/>
        </w:rPr>
      </w:pPr>
      <w:r>
        <w:rPr>
          <w:rFonts w:hint="eastAsia"/>
          <w:sz w:val="24"/>
        </w:rPr>
        <w:t>三、支出决算情况说明</w:t>
      </w:r>
      <w:r>
        <w:rPr>
          <w:sz w:val="24"/>
        </w:rPr>
        <w:t>……………………………………………</w:t>
      </w:r>
      <w:r>
        <w:rPr>
          <w:rFonts w:hint="eastAsia"/>
          <w:sz w:val="24"/>
        </w:rPr>
        <w:t>.</w:t>
      </w:r>
      <w:r>
        <w:rPr>
          <w:sz w:val="24"/>
        </w:rPr>
        <w:t>……</w:t>
      </w:r>
      <w:r>
        <w:rPr>
          <w:rFonts w:hint="eastAsia"/>
          <w:sz w:val="24"/>
        </w:rPr>
        <w:t>13</w:t>
      </w:r>
    </w:p>
    <w:p w14:paraId="4402F047">
      <w:pPr>
        <w:pStyle w:val="12"/>
        <w:spacing w:line="560" w:lineRule="exact"/>
        <w:jc w:val="left"/>
        <w:rPr>
          <w:rFonts w:ascii="仿宋" w:hAnsi="仿宋" w:eastAsia="仿宋" w:cstheme="minorBidi"/>
          <w:sz w:val="24"/>
        </w:rPr>
      </w:pPr>
      <w:r>
        <w:rPr>
          <w:rFonts w:hint="eastAsia"/>
          <w:sz w:val="24"/>
        </w:rPr>
        <w:t>四、财政拨款收入支出决算总体情况说明</w:t>
      </w:r>
      <w:r>
        <w:rPr>
          <w:sz w:val="24"/>
        </w:rPr>
        <w:t>……………………</w:t>
      </w:r>
      <w:r>
        <w:rPr>
          <w:rFonts w:hint="eastAsia"/>
          <w:sz w:val="24"/>
        </w:rPr>
        <w:t>.</w:t>
      </w:r>
      <w:r>
        <w:rPr>
          <w:sz w:val="24"/>
        </w:rPr>
        <w:t>………</w:t>
      </w:r>
      <w:r>
        <w:rPr>
          <w:rFonts w:hint="eastAsia"/>
          <w:sz w:val="24"/>
        </w:rPr>
        <w:t>13</w:t>
      </w:r>
    </w:p>
    <w:p w14:paraId="50002D71">
      <w:pPr>
        <w:pStyle w:val="12"/>
        <w:spacing w:line="560" w:lineRule="exact"/>
        <w:jc w:val="left"/>
        <w:rPr>
          <w:rFonts w:ascii="仿宋" w:hAnsi="仿宋" w:eastAsia="仿宋" w:cstheme="minorBidi"/>
          <w:sz w:val="24"/>
        </w:rPr>
      </w:pPr>
      <w:r>
        <w:rPr>
          <w:rFonts w:hint="eastAsia"/>
          <w:sz w:val="24"/>
        </w:rPr>
        <w:t>五、一般公共预算财政拨款支出决算情况说明</w:t>
      </w:r>
      <w:r>
        <w:rPr>
          <w:sz w:val="24"/>
        </w:rPr>
        <w:t>…………………</w:t>
      </w:r>
      <w:r>
        <w:rPr>
          <w:rFonts w:hint="eastAsia"/>
          <w:sz w:val="24"/>
        </w:rPr>
        <w:t>.</w:t>
      </w:r>
      <w:r>
        <w:rPr>
          <w:sz w:val="24"/>
        </w:rPr>
        <w:t>……</w:t>
      </w:r>
      <w:r>
        <w:rPr>
          <w:rFonts w:hint="eastAsia"/>
          <w:sz w:val="24"/>
        </w:rPr>
        <w:t>14</w:t>
      </w:r>
    </w:p>
    <w:p w14:paraId="7CC22A7B">
      <w:pPr>
        <w:pStyle w:val="12"/>
        <w:spacing w:line="560" w:lineRule="exact"/>
        <w:jc w:val="left"/>
        <w:rPr>
          <w:rFonts w:ascii="仿宋" w:hAnsi="仿宋" w:eastAsia="仿宋" w:cstheme="minorBidi"/>
          <w:sz w:val="24"/>
        </w:rPr>
      </w:pPr>
      <w:r>
        <w:rPr>
          <w:rFonts w:hint="eastAsia"/>
          <w:sz w:val="24"/>
        </w:rPr>
        <w:t>六、一般公共预算财政拨款基本支出决算情况说明</w:t>
      </w:r>
      <w:r>
        <w:rPr>
          <w:sz w:val="24"/>
        </w:rPr>
        <w:t>………</w:t>
      </w:r>
      <w:r>
        <w:rPr>
          <w:rFonts w:hint="eastAsia"/>
          <w:sz w:val="24"/>
        </w:rPr>
        <w:t>.</w:t>
      </w:r>
      <w:r>
        <w:rPr>
          <w:sz w:val="24"/>
        </w:rPr>
        <w:t>…………</w:t>
      </w:r>
      <w:r>
        <w:rPr>
          <w:rFonts w:hint="eastAsia"/>
          <w:sz w:val="24"/>
        </w:rPr>
        <w:t>16</w:t>
      </w:r>
    </w:p>
    <w:p w14:paraId="4C36012A">
      <w:pPr>
        <w:pStyle w:val="12"/>
        <w:spacing w:line="56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w:t>
      </w:r>
      <w:r>
        <w:rPr>
          <w:sz w:val="24"/>
        </w:rPr>
        <w:t>……</w:t>
      </w:r>
      <w:r>
        <w:rPr>
          <w:rFonts w:hint="eastAsia"/>
          <w:sz w:val="24"/>
        </w:rPr>
        <w:t>17</w:t>
      </w:r>
    </w:p>
    <w:p w14:paraId="58B1F911">
      <w:pPr>
        <w:pStyle w:val="12"/>
        <w:spacing w:line="560" w:lineRule="exact"/>
        <w:jc w:val="left"/>
        <w:rPr>
          <w:rFonts w:ascii="仿宋" w:hAnsi="仿宋" w:eastAsia="仿宋" w:cstheme="minorBidi"/>
          <w:sz w:val="24"/>
        </w:rPr>
      </w:pPr>
      <w:r>
        <w:rPr>
          <w:rFonts w:hint="eastAsia"/>
          <w:sz w:val="24"/>
        </w:rPr>
        <w:t>八、政府性基金预算支出决算情况说明</w:t>
      </w:r>
      <w:r>
        <w:rPr>
          <w:sz w:val="24"/>
        </w:rPr>
        <w:t>…………………………</w:t>
      </w:r>
      <w:r>
        <w:rPr>
          <w:rFonts w:hint="eastAsia"/>
          <w:sz w:val="24"/>
        </w:rPr>
        <w:t>..</w:t>
      </w:r>
      <w:r>
        <w:rPr>
          <w:sz w:val="24"/>
        </w:rPr>
        <w:t>……</w:t>
      </w:r>
      <w:r>
        <w:rPr>
          <w:rFonts w:hint="eastAsia"/>
          <w:sz w:val="24"/>
        </w:rPr>
        <w:t>18</w:t>
      </w:r>
    </w:p>
    <w:p w14:paraId="5142C950">
      <w:pPr>
        <w:pStyle w:val="12"/>
        <w:spacing w:line="560" w:lineRule="exact"/>
        <w:ind w:leftChars="0"/>
        <w:jc w:val="left"/>
        <w:rPr>
          <w:rFonts w:ascii="仿宋" w:hAnsi="仿宋" w:eastAsia="仿宋"/>
          <w:sz w:val="24"/>
        </w:rPr>
      </w:pPr>
      <w:r>
        <w:rPr>
          <w:rFonts w:hint="eastAsia" w:ascii="仿宋" w:hAnsi="仿宋" w:eastAsia="仿宋"/>
          <w:sz w:val="24"/>
        </w:rPr>
        <w:t>九、</w:t>
      </w:r>
      <w:r>
        <w:rPr>
          <w:sz w:val="24"/>
        </w:rPr>
        <w:t>国</w:t>
      </w:r>
      <w:r>
        <w:rPr>
          <w:rFonts w:hint="eastAsia"/>
          <w:sz w:val="24"/>
        </w:rPr>
        <w:t>有资本经营预算支出决算情况说明</w:t>
      </w:r>
      <w:r>
        <w:rPr>
          <w:sz w:val="24"/>
        </w:rPr>
        <w:t>…………………………</w:t>
      </w:r>
      <w:r>
        <w:rPr>
          <w:rFonts w:hint="eastAsia"/>
          <w:sz w:val="24"/>
        </w:rPr>
        <w:t>.</w:t>
      </w:r>
      <w:r>
        <w:rPr>
          <w:sz w:val="24"/>
        </w:rPr>
        <w:t>…</w:t>
      </w:r>
      <w:r>
        <w:rPr>
          <w:rFonts w:hint="eastAsia"/>
          <w:sz w:val="24"/>
        </w:rPr>
        <w:t>18</w:t>
      </w:r>
    </w:p>
    <w:p w14:paraId="4AB991D7">
      <w:pPr>
        <w:spacing w:line="560" w:lineRule="exact"/>
        <w:ind w:firstLine="480" w:firstLineChars="200"/>
        <w:jc w:val="left"/>
        <w:rPr>
          <w:rFonts w:ascii="仿宋" w:hAnsi="仿宋" w:eastAsia="仿宋" w:cstheme="minorBidi"/>
          <w:sz w:val="24"/>
        </w:rPr>
      </w:pPr>
      <w:r>
        <w:rPr>
          <w:rStyle w:val="17"/>
          <w:rFonts w:hint="eastAsia" w:ascii="仿宋" w:hAnsi="仿宋" w:eastAsia="仿宋"/>
          <w:color w:val="000000" w:themeColor="text1"/>
          <w:sz w:val="24"/>
          <w:u w:val="none"/>
        </w:rPr>
        <w:t>十、</w:t>
      </w:r>
      <w:r>
        <w:rPr>
          <w:rFonts w:hint="eastAsia"/>
          <w:sz w:val="24"/>
        </w:rPr>
        <w:t>其他重要事项的情况说明</w:t>
      </w:r>
      <w:r>
        <w:rPr>
          <w:sz w:val="24"/>
        </w:rPr>
        <w:t>……………………………………</w:t>
      </w:r>
      <w:r>
        <w:rPr>
          <w:rFonts w:hint="eastAsia"/>
          <w:sz w:val="24"/>
        </w:rPr>
        <w:t>..</w:t>
      </w:r>
      <w:r>
        <w:rPr>
          <w:sz w:val="24"/>
        </w:rPr>
        <w:t>……</w:t>
      </w:r>
      <w:r>
        <w:rPr>
          <w:rFonts w:hint="eastAsia"/>
          <w:sz w:val="24"/>
        </w:rPr>
        <w:t>18</w:t>
      </w:r>
      <w:r>
        <w:rPr>
          <w:rFonts w:ascii="仿宋" w:hAnsi="仿宋" w:eastAsia="仿宋"/>
          <w:sz w:val="24"/>
        </w:rPr>
        <w:tab/>
      </w:r>
    </w:p>
    <w:p w14:paraId="63B941F1">
      <w:pPr>
        <w:pStyle w:val="11"/>
        <w:spacing w:before="0" w:line="560" w:lineRule="exact"/>
        <w:jc w:val="left"/>
        <w:rPr>
          <w:rFonts w:cstheme="minorBidi"/>
          <w:sz w:val="24"/>
          <w:szCs w:val="24"/>
        </w:rPr>
      </w:pPr>
      <w:r>
        <w:rPr>
          <w:rFonts w:hint="eastAsia"/>
          <w:b/>
          <w:sz w:val="24"/>
        </w:rPr>
        <w:t>第三部分</w:t>
      </w:r>
      <w:r>
        <w:rPr>
          <w:b/>
          <w:sz w:val="24"/>
        </w:rPr>
        <w:t xml:space="preserve"> </w:t>
      </w:r>
      <w:r>
        <w:rPr>
          <w:rFonts w:hint="eastAsia"/>
          <w:b/>
          <w:sz w:val="24"/>
        </w:rPr>
        <w:t>名词解释</w:t>
      </w:r>
      <w:r>
        <w:rPr>
          <w:sz w:val="24"/>
        </w:rPr>
        <w:t>……………………………………………………………</w:t>
      </w:r>
      <w:r>
        <w:rPr>
          <w:rFonts w:hint="eastAsia"/>
          <w:sz w:val="24"/>
        </w:rPr>
        <w:t>28</w:t>
      </w:r>
    </w:p>
    <w:p w14:paraId="4371C029">
      <w:pPr>
        <w:pStyle w:val="11"/>
        <w:spacing w:before="0" w:line="560" w:lineRule="exact"/>
        <w:jc w:val="left"/>
        <w:rPr>
          <w:rFonts w:cstheme="minorBidi"/>
          <w:sz w:val="24"/>
          <w:szCs w:val="24"/>
        </w:rPr>
      </w:pPr>
      <w:r>
        <w:rPr>
          <w:rFonts w:hint="eastAsia"/>
          <w:b/>
          <w:sz w:val="24"/>
        </w:rPr>
        <w:t>第四部分</w:t>
      </w:r>
      <w:r>
        <w:rPr>
          <w:b/>
          <w:sz w:val="24"/>
        </w:rPr>
        <w:t xml:space="preserve"> </w:t>
      </w:r>
      <w:r>
        <w:rPr>
          <w:rFonts w:hint="eastAsia"/>
          <w:b/>
          <w:sz w:val="24"/>
        </w:rPr>
        <w:t>附件</w:t>
      </w:r>
      <w:r>
        <w:rPr>
          <w:sz w:val="24"/>
        </w:rPr>
        <w:t>…………………………………………………………………</w:t>
      </w:r>
      <w:r>
        <w:rPr>
          <w:rFonts w:hint="eastAsia"/>
          <w:sz w:val="24"/>
        </w:rPr>
        <w:t>30</w:t>
      </w:r>
    </w:p>
    <w:p w14:paraId="1E873D07">
      <w:pPr>
        <w:pStyle w:val="12"/>
        <w:spacing w:line="560" w:lineRule="exact"/>
        <w:jc w:val="left"/>
        <w:rPr>
          <w:rFonts w:ascii="仿宋" w:hAnsi="仿宋" w:eastAsia="仿宋" w:cstheme="minorBidi"/>
          <w:sz w:val="24"/>
        </w:rPr>
      </w:pPr>
      <w:r>
        <w:rPr>
          <w:rFonts w:hint="eastAsia"/>
          <w:sz w:val="24"/>
        </w:rPr>
        <w:t>附件</w:t>
      </w:r>
      <w:r>
        <w:rPr>
          <w:sz w:val="24"/>
        </w:rPr>
        <w:t>1………………………………………………………………………</w:t>
      </w:r>
      <w:r>
        <w:rPr>
          <w:rFonts w:hint="eastAsia"/>
          <w:sz w:val="24"/>
        </w:rPr>
        <w:t>30</w:t>
      </w:r>
    </w:p>
    <w:p w14:paraId="11065EE1">
      <w:pPr>
        <w:pStyle w:val="12"/>
        <w:spacing w:line="560" w:lineRule="exact"/>
        <w:jc w:val="left"/>
        <w:rPr>
          <w:rFonts w:ascii="仿宋" w:hAnsi="仿宋" w:eastAsia="仿宋" w:cstheme="minorBidi"/>
          <w:sz w:val="24"/>
        </w:rPr>
      </w:pPr>
      <w:r>
        <w:rPr>
          <w:rFonts w:hint="eastAsia"/>
          <w:sz w:val="24"/>
        </w:rPr>
        <w:t>附件</w:t>
      </w:r>
      <w:r>
        <w:rPr>
          <w:sz w:val="24"/>
        </w:rPr>
        <w:t>2………………………………………………………………………</w:t>
      </w:r>
      <w:r>
        <w:rPr>
          <w:rFonts w:hint="eastAsia"/>
          <w:sz w:val="24"/>
        </w:rPr>
        <w:t>50</w:t>
      </w:r>
    </w:p>
    <w:p w14:paraId="6577397B">
      <w:pPr>
        <w:pStyle w:val="11"/>
        <w:spacing w:before="0" w:line="560" w:lineRule="exact"/>
        <w:jc w:val="left"/>
        <w:rPr>
          <w:rFonts w:cstheme="minorBidi"/>
          <w:sz w:val="24"/>
          <w:szCs w:val="24"/>
        </w:rPr>
      </w:pPr>
      <w:r>
        <w:rPr>
          <w:rFonts w:hint="eastAsia"/>
          <w:b/>
          <w:sz w:val="24"/>
        </w:rPr>
        <w:t>第五部分</w:t>
      </w:r>
      <w:r>
        <w:rPr>
          <w:b/>
          <w:sz w:val="24"/>
        </w:rPr>
        <w:t xml:space="preserve"> </w:t>
      </w:r>
      <w:r>
        <w:rPr>
          <w:rFonts w:hint="eastAsia"/>
          <w:b/>
          <w:sz w:val="24"/>
        </w:rPr>
        <w:t>附表</w:t>
      </w:r>
      <w:r>
        <w:rPr>
          <w:sz w:val="24"/>
        </w:rPr>
        <w:t>…………………………………………………………………</w:t>
      </w:r>
      <w:r>
        <w:rPr>
          <w:rFonts w:hint="eastAsia"/>
          <w:sz w:val="24"/>
        </w:rPr>
        <w:t>60</w:t>
      </w:r>
    </w:p>
    <w:p w14:paraId="01DAF242">
      <w:pPr>
        <w:pStyle w:val="12"/>
        <w:spacing w:line="56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04456009">
      <w:pPr>
        <w:pStyle w:val="12"/>
        <w:spacing w:line="56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14:paraId="737032DF">
      <w:pPr>
        <w:pStyle w:val="12"/>
        <w:spacing w:line="56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14:paraId="437DFE81">
      <w:pPr>
        <w:pStyle w:val="12"/>
        <w:spacing w:line="56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14:paraId="68FAF39F">
      <w:pPr>
        <w:pStyle w:val="12"/>
        <w:spacing w:line="560" w:lineRule="exact"/>
        <w:jc w:val="left"/>
        <w:rPr>
          <w:rFonts w:ascii="仿宋" w:hAnsi="仿宋" w:eastAsia="仿宋"/>
          <w:sz w:val="24"/>
        </w:rPr>
      </w:pPr>
      <w:r>
        <w:rPr>
          <w:rFonts w:hint="eastAsia" w:ascii="仿宋" w:hAnsi="仿宋" w:eastAsia="仿宋"/>
          <w:sz w:val="24"/>
        </w:rPr>
        <w:t>五、财政拨款支出决算明细表</w:t>
      </w:r>
    </w:p>
    <w:p w14:paraId="2E412E84">
      <w:pPr>
        <w:pStyle w:val="12"/>
        <w:spacing w:line="56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14:paraId="6E154594">
      <w:pPr>
        <w:pStyle w:val="12"/>
        <w:spacing w:line="56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14:paraId="1F57B30F">
      <w:pPr>
        <w:pStyle w:val="12"/>
        <w:spacing w:line="56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14:paraId="28F3D023">
      <w:pPr>
        <w:pStyle w:val="12"/>
        <w:spacing w:line="56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14:paraId="126B5AB0">
      <w:pPr>
        <w:pStyle w:val="12"/>
        <w:spacing w:line="56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14:paraId="3C893B46">
      <w:pPr>
        <w:pStyle w:val="12"/>
        <w:spacing w:line="56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14:paraId="6DBA95EC">
      <w:pPr>
        <w:pStyle w:val="12"/>
        <w:spacing w:line="56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14:paraId="163B8379">
      <w:pPr>
        <w:pStyle w:val="12"/>
        <w:spacing w:line="560" w:lineRule="exact"/>
        <w:jc w:val="left"/>
        <w:rPr>
          <w:rFonts w:asciiTheme="minorEastAsia" w:hAnsiTheme="minorEastAsia" w:eastAsiaTheme="minorEastAsia"/>
          <w:sz w:val="24"/>
        </w:rPr>
      </w:pPr>
      <w:r>
        <w:rPr>
          <w:rFonts w:hint="eastAsia" w:ascii="仿宋" w:hAnsi="仿宋" w:eastAsia="仿宋"/>
          <w:sz w:val="24"/>
        </w:rPr>
        <w:t>十三、</w:t>
      </w:r>
      <w:r>
        <w:rPr>
          <w:rFonts w:hint="eastAsia" w:asciiTheme="minorEastAsia" w:hAnsiTheme="minorEastAsia" w:eastAsiaTheme="minorEastAsia"/>
          <w:sz w:val="24"/>
        </w:rPr>
        <w:t>国有资本经营预算财政拨款收入支出决算表</w:t>
      </w:r>
    </w:p>
    <w:p w14:paraId="22C0109E">
      <w:pPr>
        <w:spacing w:line="560" w:lineRule="exact"/>
        <w:ind w:firstLine="480" w:firstLineChars="200"/>
        <w:rPr>
          <w:rFonts w:asciiTheme="minorEastAsia" w:hAnsiTheme="minorEastAsia" w:eastAsiaTheme="minorEastAsia"/>
        </w:rPr>
      </w:pPr>
      <w:r>
        <w:rPr>
          <w:rFonts w:hint="eastAsia" w:ascii="仿宋" w:hAnsi="仿宋" w:eastAsia="仿宋"/>
          <w:sz w:val="24"/>
        </w:rPr>
        <w:t>十四、</w:t>
      </w:r>
      <w:r>
        <w:rPr>
          <w:rFonts w:hint="eastAsia" w:asciiTheme="minorEastAsia" w:hAnsiTheme="minorEastAsia" w:eastAsiaTheme="minorEastAsia"/>
          <w:sz w:val="24"/>
        </w:rPr>
        <w:t>国有资本经营预算财政拨款支出决算表</w:t>
      </w:r>
    </w:p>
    <w:p w14:paraId="534BC427">
      <w:pPr>
        <w:pStyle w:val="12"/>
        <w:spacing w:line="560" w:lineRule="exact"/>
        <w:jc w:val="left"/>
        <w:rPr>
          <w:rFonts w:ascii="仿宋" w:hAnsi="仿宋" w:eastAsia="仿宋" w:cstheme="minorBidi"/>
          <w:sz w:val="24"/>
        </w:rPr>
      </w:pPr>
      <w:r>
        <w:rPr>
          <w:rFonts w:hint="eastAsia" w:ascii="仿宋" w:hAnsi="仿宋" w:eastAsia="仿宋"/>
          <w:sz w:val="24"/>
        </w:rPr>
        <w:t>十五、</w:t>
      </w:r>
      <w:r>
        <w:rPr>
          <w:rFonts w:hint="eastAsia"/>
          <w:sz w:val="24"/>
        </w:rPr>
        <w:t>机关运行经费、资产占用情况及政府采购支出信息表</w:t>
      </w:r>
    </w:p>
    <w:p w14:paraId="4C88D1F0"/>
    <w:p w14:paraId="3BA743EB">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5A5187D2">
      <w:pPr>
        <w:spacing w:line="560" w:lineRule="exact"/>
        <w:jc w:val="center"/>
        <w:rPr>
          <w:rStyle w:val="26"/>
          <w:rFonts w:ascii="小标宋" w:hAnsi="黑体" w:eastAsia="小标宋"/>
          <w:b w:val="0"/>
        </w:rPr>
      </w:pPr>
      <w:r>
        <w:rPr>
          <w:rFonts w:hint="eastAsia" w:ascii="小标宋" w:eastAsia="小标宋"/>
          <w:sz w:val="44"/>
          <w:szCs w:val="44"/>
        </w:rPr>
        <w:t xml:space="preserve">第一部分 </w:t>
      </w:r>
      <w:r>
        <w:rPr>
          <w:rStyle w:val="26"/>
          <w:rFonts w:hint="eastAsia" w:ascii="小标宋" w:hAnsi="黑体" w:eastAsia="小标宋"/>
          <w:b w:val="0"/>
        </w:rPr>
        <w:t>部门概况</w:t>
      </w:r>
      <w:bookmarkEnd w:id="12"/>
      <w:bookmarkEnd w:id="13"/>
    </w:p>
    <w:p w14:paraId="5A0205C2">
      <w:pPr>
        <w:spacing w:line="560" w:lineRule="exact"/>
        <w:jc w:val="center"/>
        <w:rPr>
          <w:rStyle w:val="26"/>
          <w:rFonts w:ascii="小标宋" w:hAnsi="黑体" w:eastAsia="小标宋"/>
        </w:rPr>
      </w:pPr>
    </w:p>
    <w:p w14:paraId="1723E2FE">
      <w:pPr>
        <w:spacing w:line="560" w:lineRule="exact"/>
        <w:ind w:firstLine="640" w:firstLineChars="200"/>
        <w:rPr>
          <w:rFonts w:ascii="黑体" w:hAnsi="黑体" w:eastAsia="黑体"/>
          <w:sz w:val="32"/>
          <w:szCs w:val="32"/>
        </w:rPr>
      </w:pPr>
      <w:bookmarkStart w:id="14" w:name="_Toc15396600"/>
      <w:bookmarkStart w:id="15" w:name="_Toc15377197"/>
      <w:r>
        <w:rPr>
          <w:rFonts w:hint="eastAsia" w:ascii="黑体" w:hAnsi="黑体" w:eastAsia="黑体"/>
          <w:color w:val="000000"/>
          <w:sz w:val="32"/>
          <w:szCs w:val="32"/>
        </w:rPr>
        <w:t>一、基</w:t>
      </w:r>
      <w:r>
        <w:rPr>
          <w:rFonts w:hint="eastAsia" w:ascii="黑体" w:hAnsi="黑体" w:eastAsia="黑体"/>
          <w:sz w:val="32"/>
          <w:szCs w:val="32"/>
        </w:rPr>
        <w:t>本职能及主要工作</w:t>
      </w:r>
      <w:bookmarkEnd w:id="14"/>
      <w:bookmarkEnd w:id="15"/>
    </w:p>
    <w:p w14:paraId="1EB96355">
      <w:pPr>
        <w:pStyle w:val="35"/>
        <w:spacing w:line="560" w:lineRule="exact"/>
        <w:ind w:firstLine="630" w:firstLineChars="196"/>
        <w:rPr>
          <w:rFonts w:ascii="仿宋_GB2312" w:hAnsi="仿宋_GB2312" w:eastAsia="仿宋_GB2312"/>
          <w:sz w:val="32"/>
        </w:rPr>
      </w:pPr>
      <w:r>
        <w:rPr>
          <w:rFonts w:hint="eastAsia" w:ascii="仿宋_GB2312" w:hAnsi="仿宋_GB2312" w:eastAsia="仿宋_GB2312"/>
          <w:b/>
          <w:sz w:val="32"/>
        </w:rPr>
        <w:t>（一）主要职能</w:t>
      </w:r>
      <w:r>
        <w:rPr>
          <w:rFonts w:hint="eastAsia" w:ascii="仿宋_GB2312" w:hAnsi="仿宋_GB2312" w:eastAsia="仿宋_GB2312"/>
          <w:sz w:val="32"/>
        </w:rPr>
        <w:t>。</w:t>
      </w:r>
    </w:p>
    <w:p w14:paraId="2DC6A4E4">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1.贯彻执行医疗保险、生育保险、医疗救助等医疗保障法律、法规、规章。拟订全县医疗保障事业发展规划。执行全市统一的医疗保障政策和标准，进行监督检查。</w:t>
      </w:r>
    </w:p>
    <w:p w14:paraId="06FBBFD0">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2.组织实施医疗保障基金监督管理制度，建立健全医疗</w:t>
      </w:r>
      <w:r>
        <w:rPr>
          <w:rFonts w:hint="eastAsia" w:ascii="仿宋_GB2312" w:eastAsia="仿宋_GB2312"/>
          <w:bCs/>
          <w:spacing w:val="-10"/>
          <w:sz w:val="32"/>
          <w:szCs w:val="32"/>
        </w:rPr>
        <w:t>保障基金安全防控机制，监督强化全县医疗保障基金运行管理。</w:t>
      </w:r>
    </w:p>
    <w:p w14:paraId="44D2BC4B">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3.组织实施医疗保障筹资和待遇政策。组织实施长期护理保险制度改革方案。</w:t>
      </w:r>
    </w:p>
    <w:p w14:paraId="1FB181C3">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4.组织实施全省、市统一的药品、医用耗材、医疗服务项目、医疗服务设施等医疗保障目录和支付标准。</w:t>
      </w:r>
    </w:p>
    <w:p w14:paraId="398D2B35">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5.组织实施全市城乡统一的药品、医用耗材价格和医疗服务项目、医疗服务设施收费等政策，建立价格信息监测和</w:t>
      </w:r>
      <w:r>
        <w:rPr>
          <w:rFonts w:hint="eastAsia" w:ascii="仿宋_GB2312" w:eastAsia="仿宋_GB2312"/>
          <w:bCs/>
          <w:spacing w:val="-10"/>
          <w:sz w:val="32"/>
          <w:szCs w:val="32"/>
        </w:rPr>
        <w:t>信息发布制度，推动建立市场主导的社会医药服务价格形成机制。</w:t>
      </w:r>
    </w:p>
    <w:p w14:paraId="0C88797B">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6.组织实施基本医疗保险制度、生育保险制度，及相关联的大病保险、补充医疗保险、公务员医疗补助等政策规定。</w:t>
      </w:r>
    </w:p>
    <w:p w14:paraId="4C03EAA0">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7.组织实施全市城乡医疗救助制度，完善全县医疗救助基金管理办法，推进“一站式服务”机制。</w:t>
      </w:r>
    </w:p>
    <w:p w14:paraId="403AC81B">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8.贯彻执行全省药品、医用耗材的招标采购政策并监</w:t>
      </w:r>
      <w:r>
        <w:rPr>
          <w:rFonts w:hint="eastAsia" w:ascii="仿宋_GB2312" w:eastAsia="仿宋_GB2312"/>
          <w:bCs/>
          <w:spacing w:val="-10"/>
          <w:sz w:val="32"/>
          <w:szCs w:val="32"/>
        </w:rPr>
        <w:t>督实施，按照省、市招标采购平台建设要求，承担相关工作任务。</w:t>
      </w:r>
    </w:p>
    <w:p w14:paraId="0D09700C">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9.推进全县医疗保障基金支付方式改革，实行多元复合式医保支付方式。组织实施基金支付管理办法，保障参保人员基本权益和医保制度长期可持续发展。</w:t>
      </w:r>
    </w:p>
    <w:p w14:paraId="3729249C">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10.负责全县医疗保障定点医药机构管理，制定并组织实施米易县医药机构医疗保障定点工作方案，组织实施定点医药机构服务协议。执行医疗保障信用评价体系和信息披露制度，监督管理纳入医疗保障范围内的医疗服务行为和医疗费用，依法查处医疗保障领域违法违规行为。</w:t>
      </w:r>
    </w:p>
    <w:p w14:paraId="763D41FC">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11.负责全县医疗保障业务经办管理和公共服务体系建设。组织实施异地就医管理和费用结算政策。贯彻执行医疗保障关系转移接续政策。监督管理全县医保经办服务工作。开展医疗保障领域对外合作交流。</w:t>
      </w:r>
    </w:p>
    <w:p w14:paraId="0208B339">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12.</w:t>
      </w:r>
      <w:r>
        <w:rPr>
          <w:rFonts w:hint="eastAsia" w:ascii="仿宋_GB2312" w:eastAsia="仿宋_GB2312"/>
          <w:bCs/>
          <w:spacing w:val="-10"/>
          <w:sz w:val="32"/>
          <w:szCs w:val="32"/>
        </w:rPr>
        <w:t>组织开展医疗保障信息化建设、大数据管理和应用。</w:t>
      </w:r>
    </w:p>
    <w:p w14:paraId="17C47D6E">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13.组织拟订县本级离休干部、六级以上革命伤残军人（警察）的医疗保障政策，以及建国初期参加革命工作和厅级干部、县级干部、高级知识分子的医疗照顾政策。</w:t>
      </w:r>
    </w:p>
    <w:p w14:paraId="00713E69">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14.负责职责范围内的安全生产和职业健康、生态环境保护、审批服务便民化等工作。</w:t>
      </w:r>
    </w:p>
    <w:p w14:paraId="56BD2C8A">
      <w:pPr>
        <w:spacing w:line="560" w:lineRule="exact"/>
        <w:ind w:firstLine="660"/>
        <w:outlineLvl w:val="1"/>
        <w:rPr>
          <w:rFonts w:ascii="仿宋_GB2312" w:eastAsia="仿宋_GB2312"/>
          <w:bCs/>
          <w:sz w:val="32"/>
          <w:szCs w:val="32"/>
        </w:rPr>
      </w:pPr>
      <w:r>
        <w:rPr>
          <w:rFonts w:hint="eastAsia" w:ascii="仿宋_GB2312" w:eastAsia="仿宋_GB2312"/>
          <w:bCs/>
          <w:sz w:val="32"/>
          <w:szCs w:val="32"/>
        </w:rPr>
        <w:t>15.完成县委、县政府交办的其他任务。</w:t>
      </w:r>
    </w:p>
    <w:p w14:paraId="49075876">
      <w:pPr>
        <w:pStyle w:val="35"/>
        <w:spacing w:line="560" w:lineRule="exact"/>
        <w:ind w:firstLine="643"/>
        <w:rPr>
          <w:rFonts w:ascii="仿宋_GB2312" w:hAnsi="楷体" w:eastAsia="仿宋_GB2312"/>
          <w:b/>
          <w:sz w:val="32"/>
        </w:rPr>
      </w:pPr>
      <w:r>
        <w:rPr>
          <w:rFonts w:hint="eastAsia" w:ascii="仿宋_GB2312" w:hAnsi="仿宋_GB2312" w:eastAsia="仿宋_GB2312"/>
          <w:b/>
          <w:sz w:val="32"/>
        </w:rPr>
        <w:t>（二）</w:t>
      </w:r>
      <w:r>
        <w:rPr>
          <w:rFonts w:hint="eastAsia" w:ascii="仿宋_GB2312" w:hAnsi="楷体" w:eastAsia="仿宋_GB2312"/>
          <w:b/>
          <w:sz w:val="32"/>
        </w:rPr>
        <w:t>当年主要工作完成情况</w:t>
      </w:r>
    </w:p>
    <w:p w14:paraId="71CE422C">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1.加强党的建设，保障医保事业发展</w:t>
      </w:r>
    </w:p>
    <w:p w14:paraId="38D89AE2">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研究制定年度党风廉政建设工作计划及各分管领导、股室负责人的党风廉政建设责任清单，党组及党组书记抓党风廉政建设主体责任明确。</w:t>
      </w:r>
    </w:p>
    <w:p w14:paraId="4B764E27">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切实落实“不忘初心、牢记使命”制度，强化理论武装。结合开展“守纪律、提效能、强执行、做表率”活动，推动全局党员及领导干部对照</w:t>
      </w:r>
      <w:r>
        <w:rPr>
          <w:rFonts w:hint="eastAsia" w:ascii="仿宋_GB2312" w:hAnsi="仿宋_GB2312" w:eastAsia="仿宋_GB2312"/>
          <w:sz w:val="32"/>
          <w:lang w:eastAsia="zh-CN"/>
        </w:rPr>
        <w:t>《中国共产党章程》</w:t>
      </w:r>
      <w:r>
        <w:rPr>
          <w:rFonts w:hint="eastAsia" w:ascii="仿宋_GB2312" w:hAnsi="仿宋_GB2312" w:eastAsia="仿宋_GB2312"/>
          <w:sz w:val="32"/>
        </w:rPr>
        <w:t>《准则》《条例》梳理形成问题清单58条，建立整改台账58条，加快对党风、政风、行风等方面存在问题的整改。</w:t>
      </w:r>
    </w:p>
    <w:p w14:paraId="0797695E">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认真开展党 组织和党员“双报到”工作，在新冠肺炎疫情防控、全国文明城市创建、全国城市党建示范县创建、全国人口普查等工作中，主动作为，积极协助攀莲镇城南社区党组织攻坚克难。</w:t>
      </w:r>
    </w:p>
    <w:p w14:paraId="3101BA84">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征收医保基金4435.97万元。其中，为建档立卡贫困人口18067人代缴个人缴费资金397万元（省级资金146万元，县级资金251万元），参保率达100%。</w:t>
      </w:r>
    </w:p>
    <w:p w14:paraId="24C1CFED">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2.强化措施，确保医保改革和政策落实落地</w:t>
      </w:r>
    </w:p>
    <w:p w14:paraId="1B5FD4BF">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b/>
          <w:sz w:val="32"/>
        </w:rPr>
        <w:t>医保征缴与待遇落实工作取得较好成效</w:t>
      </w:r>
      <w:r>
        <w:rPr>
          <w:rFonts w:hint="eastAsia" w:ascii="仿宋_GB2312" w:hAnsi="仿宋_GB2312" w:eastAsia="仿宋_GB2312"/>
          <w:sz w:val="32"/>
        </w:rPr>
        <w:t>。一是全面承接县人社局移交的城镇职工医保征缴工作，</w:t>
      </w:r>
      <w:r>
        <w:rPr>
          <w:rStyle w:val="36"/>
          <w:rFonts w:hint="default" w:hAnsi="仿宋_GB2312"/>
        </w:rPr>
        <w:t>缴费总人数</w:t>
      </w:r>
      <w:r>
        <w:rPr>
          <w:rFonts w:hint="eastAsia" w:ascii="仿宋_GB2312" w:hAnsi="仿宋_GB2312" w:eastAsia="仿宋_GB2312"/>
          <w:sz w:val="32"/>
        </w:rPr>
        <w:t>2.18万人，征缴职工医疗保险资金</w:t>
      </w:r>
      <w:r>
        <w:rPr>
          <w:rStyle w:val="36"/>
          <w:rFonts w:hint="default" w:hAnsi="仿宋_GB2312"/>
        </w:rPr>
        <w:t>10909.11</w:t>
      </w:r>
      <w:r>
        <w:rPr>
          <w:rFonts w:hint="eastAsia" w:ascii="仿宋_GB2312" w:hAnsi="仿宋_GB2312" w:eastAsia="仿宋_GB2312"/>
          <w:sz w:val="32"/>
        </w:rPr>
        <w:t>万元。二是强化落实参保扩面工作，2020年共有</w:t>
      </w:r>
      <w:r>
        <w:rPr>
          <w:rStyle w:val="36"/>
          <w:rFonts w:hint="default" w:hAnsi="仿宋_GB2312"/>
        </w:rPr>
        <w:t>190015</w:t>
      </w:r>
      <w:r>
        <w:rPr>
          <w:rFonts w:hint="eastAsia" w:ascii="仿宋_GB2312" w:hAnsi="仿宋_GB2312" w:eastAsia="仿宋_GB2312"/>
          <w:sz w:val="32"/>
        </w:rPr>
        <w:t>人参加城乡居民医疗保险，征收参保资金5044.36万元，参保率达98%。三是全面落实“一单制结算、一窗口办理、一站式服务”的医保改革服务工作。截至10月，审核13.16万人次的城镇职工医疗费用，支付医保基金2114.65万元，审核37.99万人次的城乡居民医疗费用，支付医保基金7220.63万元。</w:t>
      </w:r>
    </w:p>
    <w:p w14:paraId="7A0A0533">
      <w:pPr>
        <w:pStyle w:val="35"/>
        <w:spacing w:line="560" w:lineRule="exact"/>
        <w:ind w:firstLine="643"/>
        <w:rPr>
          <w:rFonts w:ascii="仿宋_GB2312" w:hAnsi="仿宋_GB2312" w:eastAsia="仿宋_GB2312"/>
          <w:sz w:val="32"/>
        </w:rPr>
      </w:pPr>
      <w:r>
        <w:rPr>
          <w:rStyle w:val="37"/>
          <w:rFonts w:hint="default" w:hAnsi="仿宋_GB2312"/>
          <w:b/>
        </w:rPr>
        <w:t>（2）医保支付方式改革取得明显成效</w:t>
      </w:r>
      <w:r>
        <w:rPr>
          <w:rStyle w:val="37"/>
          <w:rFonts w:hint="default" w:hAnsi="仿宋_GB2312"/>
        </w:rPr>
        <w:t>。一是自2018年实行DRGs（疾病诊断相关分类）支付方式改革国家试点以来，县域内医保基金支出增长更趋合理：2020年职工医保统筹基金支出同比下降8%，城乡居民医保统筹基金支出同比增长仅为4%。二是提升了医疗机构主动控费意识：2020年职工医保同比住院人数下降2%，住院人次下降1%，平均住院床日下降11%，次均费用下降7%，住院总费用下降8%。</w:t>
      </w:r>
    </w:p>
    <w:p w14:paraId="44783C9D">
      <w:pPr>
        <w:pStyle w:val="35"/>
        <w:spacing w:line="560" w:lineRule="exact"/>
        <w:ind w:firstLine="630" w:firstLineChars="196"/>
        <w:rPr>
          <w:rStyle w:val="37"/>
          <w:rFonts w:hint="default" w:hAnsi="仿宋_GB2312"/>
        </w:rPr>
      </w:pPr>
      <w:r>
        <w:rPr>
          <w:rFonts w:hint="eastAsia" w:ascii="仿宋_GB2312" w:hAnsi="仿宋_GB2312" w:eastAsia="仿宋_GB2312"/>
          <w:b/>
          <w:sz w:val="32"/>
        </w:rPr>
        <w:t>（3）中选药品集采预付取得成效。</w:t>
      </w:r>
      <w:r>
        <w:rPr>
          <w:rFonts w:hint="eastAsia" w:ascii="仿宋_GB2312" w:hAnsi="仿宋_GB2312" w:eastAsia="仿宋_GB2312"/>
          <w:sz w:val="32"/>
        </w:rPr>
        <w:t>截至10月,全县有15家定点公立医院在四川省药械采购监管平台上与县医疗保障局19县医疗保障局家中选药品的生产企业（20种中选药品）、12家配送企业签定三方购销合同（第二批集采）136份，采购金额26.06万元；6家公立定点医疗机构增量采购金额37.84万元。</w:t>
      </w:r>
    </w:p>
    <w:p w14:paraId="5BD4F3A5">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（4）多措并举，坚决打赢新冠肺炎疫情防控阻击战。</w:t>
      </w:r>
    </w:p>
    <w:p w14:paraId="511D1A50">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一是建立医保定点医药机构与新冠病毒肺炎相关的奥司他韦、阿奇霉素等82个品规药械销售价格监测“日报告制度”，并开展常态化价格监测。二是及时将100万元医保基金预拨至县医院，并指导县医院切实执行确诊及疑似新冠肺炎患者的医疗费特殊报销政策。</w:t>
      </w:r>
    </w:p>
    <w:p w14:paraId="67E8DD05">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3.持续加强基金监管力度，确保医保基金安全</w:t>
      </w:r>
    </w:p>
    <w:p w14:paraId="3163009D">
      <w:pPr>
        <w:pStyle w:val="35"/>
        <w:spacing w:line="560" w:lineRule="exact"/>
        <w:ind w:firstLine="643"/>
        <w:rPr>
          <w:rFonts w:ascii="仿宋_GB2312" w:hAnsi="仿宋_GB2312" w:eastAsia="仿宋_GB2312"/>
          <w:sz w:val="32"/>
        </w:rPr>
      </w:pPr>
      <w:r>
        <w:rPr>
          <w:rFonts w:hint="eastAsia" w:ascii="仿宋_GB2312" w:hAnsi="仿宋_GB2312" w:eastAsia="仿宋_GB2312"/>
          <w:b/>
          <w:sz w:val="32"/>
        </w:rPr>
        <w:t>（1）建章立制，夯实风险控制基础。</w:t>
      </w:r>
      <w:r>
        <w:rPr>
          <w:rFonts w:hint="eastAsia" w:ascii="仿宋_GB2312" w:hAnsi="仿宋_GB2312" w:eastAsia="仿宋_GB2312"/>
          <w:sz w:val="32"/>
        </w:rPr>
        <w:t>联合县卫健局、县公安局等9部门印发了《关于印发打击欺诈骗取医疗保险基金工作联席会议制度的通知》，建立行政执法与刑事司法有效衔接机制，明确各部门职责，建立各相关部门相互配合、互通信息、协同监管，共同维护医保基金安全综合监管制度。</w:t>
      </w:r>
    </w:p>
    <w:p w14:paraId="06C1ABF3">
      <w:pPr>
        <w:pStyle w:val="35"/>
        <w:spacing w:line="560" w:lineRule="exact"/>
        <w:ind w:firstLine="643"/>
        <w:rPr>
          <w:rStyle w:val="37"/>
          <w:rFonts w:hint="default" w:hAnsi="仿宋_GB2312"/>
        </w:rPr>
      </w:pPr>
      <w:r>
        <w:rPr>
          <w:rFonts w:hint="eastAsia" w:ascii="仿宋_GB2312" w:hAnsi="仿宋_GB2312" w:eastAsia="仿宋_GB2312"/>
          <w:b/>
          <w:sz w:val="32"/>
        </w:rPr>
        <w:t>（2）扎实推进医保基金专项治理工作。</w:t>
      </w:r>
      <w:r>
        <w:rPr>
          <w:rFonts w:hint="eastAsia" w:ascii="仿宋_GB2312" w:hAnsi="仿宋_GB2312" w:eastAsia="仿宋_GB2312"/>
          <w:sz w:val="32"/>
        </w:rPr>
        <w:t>一是全覆盖开展2019年度考核工作。采取全面自查与综合考核的方式对</w:t>
      </w:r>
      <w:r>
        <w:rPr>
          <w:rStyle w:val="36"/>
          <w:rFonts w:hint="default" w:hAnsi="仿宋_GB2312"/>
        </w:rPr>
        <w:t>辖区内96家定点医药机构进行了考评，纳入2019年度考核93家，定点医疗机构评出</w:t>
      </w:r>
      <w:r>
        <w:rPr>
          <w:rFonts w:hint="eastAsia" w:ascii="仿宋_GB2312" w:hAnsi="仿宋_GB2312" w:eastAsia="仿宋_GB2312"/>
          <w:sz w:val="32"/>
        </w:rPr>
        <w:t>优秀等次3家，合格等次20家</w:t>
      </w:r>
      <w:r>
        <w:rPr>
          <w:rStyle w:val="36"/>
          <w:rFonts w:hint="default" w:hAnsi="仿宋_GB2312"/>
        </w:rPr>
        <w:t>；定点零售药店评出</w:t>
      </w:r>
      <w:r>
        <w:rPr>
          <w:rFonts w:hint="eastAsia" w:ascii="仿宋_GB2312" w:hAnsi="仿宋_GB2312" w:eastAsia="仿宋_GB2312"/>
          <w:sz w:val="32"/>
        </w:rPr>
        <w:t>优秀等次17家，合格等次53家。</w:t>
      </w:r>
      <w:r>
        <w:rPr>
          <w:rStyle w:val="36"/>
          <w:rFonts w:hint="default" w:hAnsi="仿宋_GB2312"/>
        </w:rPr>
        <w:t>二是完成2019年住院信息披露工作。通过定点医疗机构自查自纠、核实在床率、针对性抽查住院病历等完成</w:t>
      </w:r>
      <w:r>
        <w:rPr>
          <w:rFonts w:hint="eastAsia" w:ascii="仿宋_GB2312" w:hAnsi="仿宋_GB2312" w:eastAsia="仿宋_GB2312"/>
          <w:sz w:val="32"/>
        </w:rPr>
        <w:t>全市2019年基本医保定点医疗机构住院费用披露信息反映问题的核查处理工作。约谈部分定点医疗机构，追回违规资金1.41万元，处违约金2.19万元。截至10月，通过信息披露、自查自纠、专项检查、</w:t>
      </w:r>
      <w:r>
        <w:rPr>
          <w:rStyle w:val="34"/>
          <w:rFonts w:hint="default" w:hAnsi="仿宋_GB2312"/>
        </w:rPr>
        <w:t>建档立卡贫困人口住院期间门诊缴费、2019年年度考核、市医保局飞检等共查出违规费用、支付违约金总额49.91万元。</w:t>
      </w:r>
    </w:p>
    <w:p w14:paraId="12CF86A0">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4.群策群力，扎实做好医疗保障脱贫攻坚工作</w:t>
      </w:r>
    </w:p>
    <w:p w14:paraId="56A2AADF">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（1）确保资助建档立卡贫困人口100%参加城乡居民基本医疗保险。</w:t>
      </w:r>
    </w:p>
    <w:p w14:paraId="18A8CB47">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一是2020年全面完成建档立卡贫困人口18774人（含凉山自发搬迁贫困户589户2921人）和非建档立卡特殊困难户全额资助参保工作，参保率100%。二是做好动态新增贫困人口资助缴费工作，县医疗保障局和县扶贫开发局建立数据共享和比对机制，做到“日交换、周汇总”。三是联合县卫健局制定《米易县非建档立卡特殊困难户医疗保障工作措</w:t>
      </w:r>
      <w:r>
        <w:rPr>
          <w:rFonts w:hint="eastAsia" w:ascii="仿宋_GB2312" w:hAnsi="仿宋_GB2312" w:eastAsia="仿宋_GB2312"/>
          <w:spacing w:val="-10"/>
          <w:sz w:val="32"/>
        </w:rPr>
        <w:t>施》，将非建档立卡特殊困难户纳入资助参保和医疗救助范围。</w:t>
      </w:r>
    </w:p>
    <w:p w14:paraId="556B0985">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（2）确保贫困人口享受医保待遇</w:t>
      </w:r>
    </w:p>
    <w:p w14:paraId="4F6246C6">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全县定点医疗机构均实行了基本医疗、大病保险、补充保险及基本医疗倾斜支付、医疗救助的“一单制结算”，并实现与卫生扶贫救助基金“一站式服务、一窗口办理”，最大限度减轻困难群众垫付医疗费负担。</w:t>
      </w:r>
    </w:p>
    <w:p w14:paraId="4281A454">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5.坚决落实医疗保障脱贫攻坚领域问题整改工作，确保整改措施有力有效、问题清零销号。</w:t>
      </w:r>
    </w:p>
    <w:p w14:paraId="65A1E37E">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完成2019年国家脱贫攻坚成效考核问题整改工作。通过开通“绿色通道”、实行“容缺受理”、加大宣传力度、制定慢病核查流程，按照“应认尽认”的原则，联合县卫健局、县医疗集团开展现场审核认定。截至10月，全县符合条件的建档立卡贫困人口门特认定备案累计2105人次，其中：一类291人次，二类352人次，三类1416人次。非建档立卡特殊困难户门特认定备案累计153人次，其中：一类30人次，二类33人次，三类90人次。</w:t>
      </w:r>
    </w:p>
    <w:p w14:paraId="4A0FBF1F">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完成2019年脱贫攻坚成效省级交叉考核反馈问题整改工作。为确保动态调整新增贫困人口城乡居民基本医疗保险个人缴费部分实行财政全额代缴，积极与县扶贫开发局对接，及时交换动态调整新增贫困人口信息，及时参保，确保对其参加本年度的城乡居民基本医疗保险个人缴费部分实现财政全额代缴。</w:t>
      </w:r>
    </w:p>
    <w:p w14:paraId="5F712994">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6.工作特色和亮点。</w:t>
      </w:r>
    </w:p>
    <w:p w14:paraId="0AD41B3F">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（1）异地就医结算，助力康养产业。</w:t>
      </w:r>
    </w:p>
    <w:p w14:paraId="634DBE05">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加强与成都市医疗保障局的深入对接，助推米易县与成都市医疗保障局签订深化医疗保障合作备忘录，实现成都市参保人员在米易县住院（包括门诊特殊疾病）不备案、不提高起付线、不降低报销比例。据统计，11月3至13日，在米易县就医住院的成都市康养人员11人，均实现了不备案直接联网结算，医疗总费用17.49万元，医保报销11.13万元，实实在在减轻了成都市参保人员在米易的就医负担。</w:t>
      </w:r>
    </w:p>
    <w:p w14:paraId="09B05C92">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（2）送策入企，助企发展解困。</w:t>
      </w:r>
    </w:p>
    <w:p w14:paraId="6695F767">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通过“清理排查，摸清底数”、“上门服务，送策入企”方式助力企业复工复产，确保职工基本医疗有保障，特别是建档立卡贫困户和非建档立卡特殊困难户的参保和医保待遇享受问题。对县域内参保企业进行全面清理排查，梳理参保企业及职工的缴费状态、企业经营状况及存在的问题和困难。牵头形成部门联合作战的合力，为欠费企业履行社会保险责任量身定做了个性化解决措施，助力企业发展，增强企业发展信心。</w:t>
      </w:r>
    </w:p>
    <w:p w14:paraId="4AA078BD">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（3）“村医通”医保系统打通医保联网即时结算“最后一公里”。</w:t>
      </w:r>
    </w:p>
    <w:p w14:paraId="2A3FDC20">
      <w:pPr>
        <w:pStyle w:val="35"/>
        <w:spacing w:line="560" w:lineRule="exact"/>
        <w:ind w:firstLine="640"/>
        <w:rPr>
          <w:rFonts w:ascii="仿宋_GB2312" w:hAnsi="仿宋_GB2312" w:eastAsia="仿宋_GB2312"/>
          <w:sz w:val="32"/>
        </w:rPr>
      </w:pPr>
      <w:r>
        <w:rPr>
          <w:rFonts w:hint="eastAsia" w:ascii="仿宋_GB2312" w:hAnsi="仿宋_GB2312" w:eastAsia="仿宋_GB2312"/>
          <w:sz w:val="32"/>
        </w:rPr>
        <w:t>解决村卫生室使用“村医通”进行医保结算存在的网络使用、系统维护、刷卡机具购买经费等问题。全县25个贫困村的村卫生室已经实现了“村医通”医保系统的全覆盖，让农村参保群众“足不出村”就能享受医保即时结算服务。截至10月，“村医通”医保系统结算1596人次，医保报销5.49万元。</w:t>
      </w:r>
    </w:p>
    <w:p w14:paraId="4071C35C">
      <w:pPr>
        <w:pStyle w:val="35"/>
        <w:spacing w:line="560" w:lineRule="exact"/>
        <w:ind w:firstLine="643"/>
        <w:rPr>
          <w:rFonts w:ascii="仿宋_GB2312" w:hAnsi="仿宋_GB2312" w:eastAsia="仿宋_GB2312"/>
          <w:b/>
          <w:sz w:val="32"/>
        </w:rPr>
      </w:pPr>
      <w:r>
        <w:rPr>
          <w:rFonts w:hint="eastAsia" w:ascii="仿宋_GB2312" w:hAnsi="仿宋_GB2312" w:eastAsia="仿宋_GB2312"/>
          <w:b/>
          <w:sz w:val="32"/>
        </w:rPr>
        <w:t>（4）积极创新，确保疫情防控期间“医保服务不打烊，群众待遇不耽误”。</w:t>
      </w:r>
    </w:p>
    <w:p w14:paraId="0A27E4D8">
      <w:pPr>
        <w:pStyle w:val="35"/>
        <w:spacing w:line="560" w:lineRule="exact"/>
        <w:ind w:firstLine="640"/>
        <w:rPr>
          <w:rFonts w:ascii="仿宋_GB2312" w:hAnsi="仿宋_GB2312" w:eastAsia="仿宋_GB2312"/>
          <w:b/>
          <w:sz w:val="32"/>
        </w:rPr>
      </w:pPr>
      <w:r>
        <w:rPr>
          <w:rFonts w:hint="eastAsia" w:ascii="仿宋_GB2312" w:hAnsi="仿宋_GB2312" w:eastAsia="仿宋_GB2312"/>
          <w:sz w:val="32"/>
        </w:rPr>
        <w:t>一是主动开展“医保服务上门办”，积极组织业务骨干送预约服务到基层。二是通过推进医保业务“不见面”服务、“电话预约”服务和延后服务等方式。</w:t>
      </w:r>
    </w:p>
    <w:p w14:paraId="51CBD6AC">
      <w:pPr>
        <w:spacing w:line="560" w:lineRule="exact"/>
        <w:ind w:firstLine="640" w:firstLineChars="200"/>
        <w:rPr>
          <w:rFonts w:ascii="黑体" w:hAnsi="黑体" w:eastAsia="黑体"/>
          <w:sz w:val="32"/>
        </w:rPr>
      </w:pPr>
      <w:r>
        <w:rPr>
          <w:rFonts w:hint="eastAsia" w:ascii="黑体" w:hAnsi="黑体" w:eastAsia="黑体"/>
          <w:sz w:val="32"/>
        </w:rPr>
        <w:t>二、机构设置</w:t>
      </w:r>
    </w:p>
    <w:p w14:paraId="7AB1F5FA">
      <w:pPr>
        <w:spacing w:line="560" w:lineRule="exact"/>
        <w:ind w:firstLine="640" w:firstLineChars="200"/>
        <w:rPr>
          <w:rFonts w:ascii="仿宋" w:hAnsi="仿宋" w:eastAsia="仿宋"/>
          <w:sz w:val="32"/>
          <w:szCs w:val="32"/>
        </w:rPr>
      </w:pPr>
      <w:r>
        <w:rPr>
          <w:rFonts w:hint="eastAsia" w:ascii="仿宋" w:hAnsi="仿宋" w:eastAsia="仿宋"/>
          <w:sz w:val="32"/>
          <w:szCs w:val="32"/>
        </w:rPr>
        <w:t>米易县医疗保障局下属二级单位1个，其中行政单位0个，参照公务员法管理的事业单位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个，其他事业单位0个。</w:t>
      </w:r>
    </w:p>
    <w:p w14:paraId="073D68EF">
      <w:pPr>
        <w:pStyle w:val="35"/>
        <w:spacing w:line="560" w:lineRule="exact"/>
        <w:ind w:firstLine="640"/>
        <w:rPr>
          <w:rFonts w:eastAsia="仿宋_GB2312"/>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米易县医疗保障局</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w:t>
      </w:r>
      <w:r>
        <w:rPr>
          <w:rFonts w:hint="eastAsia" w:ascii="仿宋" w:hAnsi="仿宋" w:eastAsia="仿宋"/>
          <w:bCs/>
          <w:sz w:val="32"/>
          <w:szCs w:val="32"/>
        </w:rPr>
        <w:t>1</w:t>
      </w:r>
      <w:r>
        <w:rPr>
          <w:rFonts w:hint="eastAsia" w:ascii="仿宋" w:hAnsi="仿宋" w:eastAsia="仿宋"/>
          <w:sz w:val="32"/>
          <w:szCs w:val="32"/>
        </w:rPr>
        <w:t>个：</w:t>
      </w:r>
      <w:r>
        <w:rPr>
          <w:rFonts w:hint="eastAsia" w:ascii="仿宋" w:hAnsi="仿宋" w:eastAsia="仿宋"/>
          <w:color w:val="000000"/>
          <w:sz w:val="32"/>
          <w:szCs w:val="32"/>
        </w:rPr>
        <w:t>米易县医疗保障事务中心</w:t>
      </w:r>
    </w:p>
    <w:p w14:paraId="57640FA1">
      <w:pPr>
        <w:spacing w:line="560" w:lineRule="exact"/>
        <w:ind w:firstLine="640" w:firstLineChars="200"/>
        <w:rPr>
          <w:rFonts w:ascii="仿宋_GB2312" w:eastAsia="仿宋_GB2312"/>
          <w:sz w:val="32"/>
          <w:szCs w:val="32"/>
        </w:rPr>
      </w:pPr>
    </w:p>
    <w:p w14:paraId="5A60330D">
      <w:pPr>
        <w:widowControl/>
        <w:spacing w:line="560" w:lineRule="exact"/>
        <w:jc w:val="left"/>
        <w:rPr>
          <w:rFonts w:ascii="仿宋" w:hAnsi="仿宋" w:eastAsia="仿宋"/>
          <w:color w:val="000000"/>
          <w:kern w:val="0"/>
          <w:sz w:val="32"/>
          <w:szCs w:val="32"/>
        </w:rPr>
      </w:pPr>
      <w:r>
        <w:rPr>
          <w:rFonts w:ascii="仿宋" w:hAnsi="仿宋" w:eastAsia="仿宋"/>
          <w:color w:val="000000"/>
          <w:sz w:val="32"/>
          <w:szCs w:val="32"/>
        </w:rPr>
        <w:br w:type="page"/>
      </w:r>
    </w:p>
    <w:p w14:paraId="4D4782C1">
      <w:pPr>
        <w:pStyle w:val="2"/>
        <w:spacing w:before="0" w:after="0" w:line="560" w:lineRule="exact"/>
        <w:jc w:val="right"/>
        <w:rPr>
          <w:rStyle w:val="26"/>
          <w:rFonts w:ascii="黑体" w:hAnsi="黑体" w:eastAsia="黑体"/>
          <w:b w:val="0"/>
          <w:bCs w:val="0"/>
        </w:rPr>
      </w:pPr>
      <w:bookmarkStart w:id="16" w:name="_Toc15377204"/>
      <w:bookmarkStart w:id="17" w:name="_Toc15396602"/>
      <w:r>
        <w:rPr>
          <w:rFonts w:hint="eastAsia" w:ascii="黑体" w:hAnsi="黑体" w:eastAsia="黑体"/>
          <w:b w:val="0"/>
          <w:color w:val="000000"/>
        </w:rPr>
        <w:t>第二部分</w:t>
      </w:r>
      <w:r>
        <w:rPr>
          <w:rStyle w:val="26"/>
          <w:rFonts w:eastAsia="黑体"/>
          <w:b w:val="0"/>
          <w:bCs w:val="0"/>
        </w:rPr>
        <w:t>2020</w:t>
      </w:r>
      <w:r>
        <w:rPr>
          <w:rStyle w:val="26"/>
          <w:rFonts w:hint="eastAsia" w:ascii="黑体" w:hAnsi="黑体" w:eastAsia="黑体"/>
          <w:b w:val="0"/>
          <w:bCs w:val="0"/>
        </w:rPr>
        <w:t>年度部门决算情况说明</w:t>
      </w:r>
      <w:bookmarkEnd w:id="16"/>
      <w:bookmarkEnd w:id="17"/>
    </w:p>
    <w:p w14:paraId="34E14387">
      <w:pPr>
        <w:spacing w:line="560" w:lineRule="exact"/>
        <w:outlineLvl w:val="1"/>
      </w:pPr>
      <w:bookmarkStart w:id="18" w:name="_Toc15377205"/>
      <w:bookmarkStart w:id="19" w:name="_Toc15396603"/>
    </w:p>
    <w:p w14:paraId="2728E687">
      <w:pPr>
        <w:spacing w:line="56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一、收</w:t>
      </w:r>
      <w:r>
        <w:rPr>
          <w:rStyle w:val="27"/>
          <w:rFonts w:hint="eastAsia" w:ascii="黑体" w:hAnsi="黑体" w:eastAsia="黑体"/>
          <w:b w:val="0"/>
        </w:rPr>
        <w:t>入支出决算总体情况说明</w:t>
      </w:r>
      <w:bookmarkEnd w:id="18"/>
      <w:bookmarkEnd w:id="19"/>
    </w:p>
    <w:p w14:paraId="76FA2952">
      <w:pPr>
        <w:spacing w:line="560" w:lineRule="exact"/>
        <w:ind w:firstLine="640"/>
        <w:rPr>
          <w:rFonts w:eastAsia="仿宋_GB2312"/>
          <w:sz w:val="32"/>
        </w:rPr>
      </w:pPr>
      <w:r>
        <w:rPr>
          <w:rFonts w:eastAsia="仿宋_GB2312"/>
          <w:sz w:val="32"/>
          <w:szCs w:val="32"/>
        </w:rPr>
        <w:t>2020年本年收入总计2016.19万元（其中本年收入1881.45万元、年初结转和结余134.74万元），本年支出总计2016.19万元（其中本年支出2002.28万元、年末结转和结余13.91万元），与2019年相比，收、支总计</w:t>
      </w:r>
      <w:r>
        <w:rPr>
          <w:rFonts w:hAnsi="仿宋_GB2312" w:eastAsia="仿宋_GB2312"/>
          <w:sz w:val="32"/>
        </w:rPr>
        <w:t>与上年度各增加了</w:t>
      </w:r>
      <w:r>
        <w:rPr>
          <w:rFonts w:eastAsia="仿宋_GB2312"/>
          <w:sz w:val="32"/>
        </w:rPr>
        <w:t>1228.51</w:t>
      </w:r>
      <w:r>
        <w:rPr>
          <w:rFonts w:hAnsi="仿宋_GB2312" w:eastAsia="仿宋_GB2312"/>
          <w:sz w:val="32"/>
        </w:rPr>
        <w:t>万元，增加了</w:t>
      </w:r>
      <w:r>
        <w:rPr>
          <w:rFonts w:eastAsia="仿宋_GB2312"/>
          <w:sz w:val="32"/>
        </w:rPr>
        <w:t>138.86%</w:t>
      </w:r>
      <w:r>
        <w:rPr>
          <w:rFonts w:hAnsi="仿宋_GB2312" w:eastAsia="仿宋_GB2312"/>
          <w:sz w:val="32"/>
        </w:rPr>
        <w:t>，</w:t>
      </w:r>
      <w:r>
        <w:rPr>
          <w:rFonts w:hAnsi="仿宋" w:eastAsia="仿宋"/>
          <w:color w:val="000000"/>
          <w:sz w:val="32"/>
          <w:szCs w:val="32"/>
        </w:rPr>
        <w:t>主要变动原因是</w:t>
      </w:r>
      <w:r>
        <w:rPr>
          <w:rFonts w:eastAsia="仿宋"/>
          <w:color w:val="000000"/>
          <w:sz w:val="32"/>
          <w:szCs w:val="32"/>
        </w:rPr>
        <w:t>2020</w:t>
      </w:r>
      <w:r>
        <w:rPr>
          <w:rFonts w:hAnsi="仿宋" w:eastAsia="仿宋"/>
          <w:color w:val="000000"/>
          <w:sz w:val="32"/>
          <w:szCs w:val="32"/>
        </w:rPr>
        <w:t>年县</w:t>
      </w:r>
      <w:r>
        <w:rPr>
          <w:rFonts w:hAnsi="仿宋_GB2312" w:eastAsia="仿宋_GB2312"/>
          <w:sz w:val="32"/>
        </w:rPr>
        <w:t>医保事务中心与医保局合并为一个财务账套。</w:t>
      </w:r>
    </w:p>
    <w:p w14:paraId="353E708A">
      <w:pPr>
        <w:widowControl/>
        <w:jc w:val="left"/>
        <w:rPr>
          <w:rFonts w:ascii="宋体" w:hAnsi="宋体" w:cs="宋体"/>
          <w:kern w:val="0"/>
          <w:sz w:val="24"/>
        </w:rPr>
      </w:pPr>
      <w:r>
        <w:rPr>
          <w:rFonts w:ascii="宋体" w:hAnsi="宋体" w:cs="宋体"/>
          <w:kern w:val="0"/>
          <w:sz w:val="24"/>
        </w:rPr>
        <w:drawing>
          <wp:inline distT="0" distB="0" distL="0" distR="0">
            <wp:extent cx="5269230" cy="2879725"/>
            <wp:effectExtent l="19050" t="0" r="7620" b="0"/>
            <wp:docPr id="5" name="图片 3" descr="C:\Users\Administrator\AppData\Roaming\Tencent\Users\3495491\QQ\WinTemp\RichOle\X{G2UA9Z~`4R(W{A76~7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AppData\Roaming\Tencent\Users\3495491\QQ\WinTemp\RichOle\X{G2UA9Z~`4R(W{A76~7_}D.png"/>
                    <pic:cNvPicPr>
                      <a:picLocks noChangeAspect="1" noChangeArrowheads="1"/>
                    </pic:cNvPicPr>
                  </pic:nvPicPr>
                  <pic:blipFill>
                    <a:blip r:embed="rId9"/>
                    <a:srcRect/>
                    <a:stretch>
                      <a:fillRect/>
                    </a:stretch>
                  </pic:blipFill>
                  <pic:spPr>
                    <a:xfrm>
                      <a:off x="0" y="0"/>
                      <a:ext cx="5268985" cy="2880000"/>
                    </a:xfrm>
                    <a:prstGeom prst="rect">
                      <a:avLst/>
                    </a:prstGeom>
                    <a:noFill/>
                    <a:ln w="9525">
                      <a:noFill/>
                      <a:miter lim="800000"/>
                      <a:headEnd/>
                      <a:tailEnd/>
                    </a:ln>
                  </pic:spPr>
                </pic:pic>
              </a:graphicData>
            </a:graphic>
          </wp:inline>
        </w:drawing>
      </w:r>
    </w:p>
    <w:p w14:paraId="13E2020C">
      <w:pPr>
        <w:spacing w:line="600" w:lineRule="exact"/>
        <w:ind w:left="640"/>
        <w:jc w:val="center"/>
        <w:outlineLvl w:val="1"/>
        <w:rPr>
          <w:rFonts w:ascii="黑体" w:hAnsi="黑体" w:eastAsia="黑体"/>
          <w:color w:val="000000"/>
          <w:sz w:val="32"/>
          <w:szCs w:val="32"/>
        </w:rPr>
      </w:pPr>
      <w:bookmarkStart w:id="20" w:name="_Toc15377206"/>
      <w:bookmarkStart w:id="21" w:name="_Toc15396604"/>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14:paraId="78431841">
      <w:pPr>
        <w:spacing w:line="600" w:lineRule="exact"/>
        <w:ind w:left="640"/>
        <w:outlineLvl w:val="1"/>
        <w:rPr>
          <w:rStyle w:val="27"/>
          <w:rFonts w:ascii="黑体" w:hAnsi="黑体" w:eastAsia="黑体"/>
          <w:b w:val="0"/>
        </w:rPr>
      </w:pPr>
      <w:r>
        <w:rPr>
          <w:rFonts w:hint="eastAsia" w:ascii="黑体" w:hAnsi="黑体" w:eastAsia="黑体"/>
          <w:color w:val="000000"/>
          <w:sz w:val="32"/>
          <w:szCs w:val="32"/>
        </w:rPr>
        <w:t>二、收</w:t>
      </w:r>
      <w:r>
        <w:rPr>
          <w:rStyle w:val="27"/>
          <w:rFonts w:hint="eastAsia" w:ascii="黑体" w:hAnsi="黑体" w:eastAsia="黑体"/>
          <w:b w:val="0"/>
        </w:rPr>
        <w:t>入决算情况说明</w:t>
      </w:r>
      <w:bookmarkEnd w:id="20"/>
      <w:bookmarkEnd w:id="21"/>
    </w:p>
    <w:p w14:paraId="0AE0AF69">
      <w:pPr>
        <w:spacing w:line="600" w:lineRule="exact"/>
        <w:ind w:firstLine="640" w:firstLineChars="200"/>
        <w:outlineLvl w:val="1"/>
        <w:rPr>
          <w:rFonts w:eastAsia="仿宋_GB2312"/>
          <w:color w:val="000000"/>
          <w:sz w:val="32"/>
          <w:szCs w:val="32"/>
        </w:rPr>
      </w:pPr>
      <w:r>
        <w:rPr>
          <w:rFonts w:eastAsia="仿宋_GB2312"/>
          <w:color w:val="000000"/>
          <w:sz w:val="32"/>
          <w:szCs w:val="32"/>
        </w:rPr>
        <w:t>2020年本年收入合计1881.45万元，其中：一般公共预算财政拨款收入1731.16万元，占92.01%；政府性基金预算财政拨款129.33万元，占6.88%；其他收入20.96万元，占1.11%。</w:t>
      </w:r>
    </w:p>
    <w:p w14:paraId="1067F89C">
      <w:pPr>
        <w:widowControl/>
        <w:jc w:val="left"/>
        <w:rPr>
          <w:rFonts w:ascii="宋体" w:hAnsi="宋体" w:cs="宋体"/>
          <w:kern w:val="0"/>
          <w:sz w:val="24"/>
        </w:rPr>
      </w:pPr>
      <w:r>
        <w:rPr>
          <w:rFonts w:ascii="宋体" w:hAnsi="宋体" w:cs="宋体"/>
          <w:kern w:val="0"/>
          <w:sz w:val="24"/>
        </w:rPr>
        <w:drawing>
          <wp:inline distT="0" distB="0" distL="0" distR="0">
            <wp:extent cx="5238750" cy="2879090"/>
            <wp:effectExtent l="19050" t="0" r="0" b="0"/>
            <wp:docPr id="8" name="图片 5" descr="C:\Users\Administrator\AppData\Roaming\Tencent\Users\3495491\QQ\WinTemp\RichOle\ZCN6]9O`A[ZD[LBX{1Y])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C:\Users\Administrator\AppData\Roaming\Tencent\Users\3495491\QQ\WinTemp\RichOle\ZCN6]9O`A[ZD[LBX{1Y])XG.png"/>
                    <pic:cNvPicPr>
                      <a:picLocks noChangeAspect="1" noChangeArrowheads="1"/>
                    </pic:cNvPicPr>
                  </pic:nvPicPr>
                  <pic:blipFill>
                    <a:blip r:embed="rId10"/>
                    <a:srcRect/>
                    <a:stretch>
                      <a:fillRect/>
                    </a:stretch>
                  </pic:blipFill>
                  <pic:spPr>
                    <a:xfrm>
                      <a:off x="0" y="0"/>
                      <a:ext cx="5240369" cy="2880000"/>
                    </a:xfrm>
                    <a:prstGeom prst="rect">
                      <a:avLst/>
                    </a:prstGeom>
                    <a:noFill/>
                    <a:ln w="9525">
                      <a:noFill/>
                      <a:miter lim="800000"/>
                      <a:headEnd/>
                      <a:tailEnd/>
                    </a:ln>
                  </pic:spPr>
                </pic:pic>
              </a:graphicData>
            </a:graphic>
          </wp:inline>
        </w:drawing>
      </w:r>
    </w:p>
    <w:p w14:paraId="12258DAE">
      <w:pPr>
        <w:spacing w:line="600" w:lineRule="exact"/>
        <w:ind w:left="640"/>
        <w:jc w:val="center"/>
        <w:outlineLvl w:val="1"/>
        <w:rPr>
          <w:rFonts w:ascii="黑体" w:hAnsi="黑体" w:eastAsia="黑体"/>
          <w:color w:val="000000"/>
          <w:sz w:val="32"/>
          <w:szCs w:val="32"/>
        </w:rPr>
      </w:pPr>
      <w:bookmarkStart w:id="22" w:name="_Toc15396605"/>
      <w:bookmarkStart w:id="23" w:name="_Toc15377207"/>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14:paraId="0DF7F198">
      <w:pPr>
        <w:spacing w:line="600" w:lineRule="exact"/>
        <w:ind w:left="640"/>
        <w:outlineLvl w:val="1"/>
        <w:rPr>
          <w:rStyle w:val="27"/>
          <w:rFonts w:ascii="黑体" w:hAnsi="黑体" w:eastAsia="黑体"/>
          <w:b w:val="0"/>
        </w:rPr>
      </w:pPr>
      <w:r>
        <w:rPr>
          <w:rFonts w:hint="eastAsia" w:ascii="黑体" w:hAnsi="黑体" w:eastAsia="黑体"/>
          <w:color w:val="000000"/>
          <w:sz w:val="32"/>
          <w:szCs w:val="32"/>
        </w:rPr>
        <w:t>三、支</w:t>
      </w:r>
      <w:r>
        <w:rPr>
          <w:rStyle w:val="27"/>
          <w:rFonts w:hint="eastAsia" w:ascii="黑体" w:hAnsi="黑体" w:eastAsia="黑体"/>
          <w:b w:val="0"/>
        </w:rPr>
        <w:t>出决算情况说明</w:t>
      </w:r>
      <w:bookmarkEnd w:id="22"/>
      <w:bookmarkEnd w:id="23"/>
    </w:p>
    <w:p w14:paraId="451D6763">
      <w:pPr>
        <w:spacing w:line="600" w:lineRule="exact"/>
        <w:ind w:firstLine="640" w:firstLineChars="200"/>
        <w:outlineLvl w:val="1"/>
        <w:rPr>
          <w:rFonts w:eastAsia="仿宋_GB2312"/>
          <w:color w:val="000000"/>
          <w:sz w:val="32"/>
          <w:szCs w:val="32"/>
        </w:rPr>
      </w:pPr>
      <w:r>
        <w:rPr>
          <w:rFonts w:eastAsia="仿宋_GB2312"/>
          <w:color w:val="000000"/>
          <w:sz w:val="32"/>
          <w:szCs w:val="32"/>
        </w:rPr>
        <w:t>2020年本年支出合计2002.28万元，其中：基本支出305.9万元，占15.27%；项目支出1696.38万元，占84.73%。</w:t>
      </w:r>
    </w:p>
    <w:p w14:paraId="37FACFBD">
      <w:pPr>
        <w:widowControl/>
        <w:jc w:val="left"/>
        <w:rPr>
          <w:rFonts w:ascii="宋体" w:hAnsi="宋体" w:cs="宋体"/>
          <w:kern w:val="0"/>
          <w:sz w:val="24"/>
        </w:rPr>
      </w:pPr>
      <w:r>
        <w:rPr>
          <w:rFonts w:ascii="宋体" w:hAnsi="宋体" w:cs="宋体"/>
          <w:kern w:val="0"/>
          <w:sz w:val="24"/>
        </w:rPr>
        <w:drawing>
          <wp:inline distT="0" distB="0" distL="0" distR="0">
            <wp:extent cx="5193030" cy="2773680"/>
            <wp:effectExtent l="19050" t="0" r="7620" b="0"/>
            <wp:docPr id="15" name="图片 9" descr="C:\Users\Administrator\AppData\Roaming\Tencent\Users\3495491\QQ\WinTemp\RichOle\6Z570AD8OC4F{QCY%U(4[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C:\Users\Administrator\AppData\Roaming\Tencent\Users\3495491\QQ\WinTemp\RichOle\6Z570AD8OC4F{QCY%U(4[5M.png"/>
                    <pic:cNvPicPr>
                      <a:picLocks noChangeAspect="1" noChangeArrowheads="1"/>
                    </pic:cNvPicPr>
                  </pic:nvPicPr>
                  <pic:blipFill>
                    <a:blip r:embed="rId11"/>
                    <a:srcRect/>
                    <a:stretch>
                      <a:fillRect/>
                    </a:stretch>
                  </pic:blipFill>
                  <pic:spPr>
                    <a:xfrm>
                      <a:off x="0" y="0"/>
                      <a:ext cx="5192834" cy="2773575"/>
                    </a:xfrm>
                    <a:prstGeom prst="rect">
                      <a:avLst/>
                    </a:prstGeom>
                    <a:noFill/>
                    <a:ln w="9525">
                      <a:noFill/>
                      <a:miter lim="800000"/>
                      <a:headEnd/>
                      <a:tailEnd/>
                    </a:ln>
                  </pic:spPr>
                </pic:pic>
              </a:graphicData>
            </a:graphic>
          </wp:inline>
        </w:drawing>
      </w:r>
    </w:p>
    <w:p w14:paraId="45A98B3E">
      <w:pPr>
        <w:spacing w:line="600" w:lineRule="exact"/>
        <w:ind w:firstLine="640" w:firstLineChars="200"/>
        <w:jc w:val="center"/>
        <w:outlineLvl w:val="1"/>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14:paraId="5E1A76CD">
      <w:pPr>
        <w:spacing w:line="600" w:lineRule="exact"/>
        <w:ind w:firstLine="640" w:firstLineChars="200"/>
        <w:outlineLvl w:val="1"/>
        <w:rPr>
          <w:rStyle w:val="27"/>
          <w:rFonts w:ascii="黑体" w:hAnsi="黑体" w:eastAsia="黑体"/>
          <w:b w:val="0"/>
        </w:rPr>
      </w:pPr>
      <w:bookmarkStart w:id="24" w:name="_Toc15377208"/>
      <w:bookmarkStart w:id="25"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4"/>
      <w:bookmarkEnd w:id="25"/>
    </w:p>
    <w:p w14:paraId="4099C9AE">
      <w:pPr>
        <w:snapToGrid w:val="0"/>
        <w:spacing w:line="520" w:lineRule="exact"/>
        <w:ind w:firstLine="640" w:firstLineChars="200"/>
        <w:rPr>
          <w:rFonts w:eastAsia="仿宋_GB2312"/>
          <w:sz w:val="32"/>
        </w:rPr>
      </w:pPr>
      <w:r>
        <w:rPr>
          <w:rFonts w:eastAsia="仿宋"/>
          <w:color w:val="000000"/>
          <w:sz w:val="32"/>
          <w:szCs w:val="32"/>
        </w:rPr>
        <w:t>2020</w:t>
      </w:r>
      <w:r>
        <w:rPr>
          <w:rFonts w:hAnsi="仿宋" w:eastAsia="仿宋"/>
          <w:color w:val="000000"/>
          <w:sz w:val="32"/>
          <w:szCs w:val="32"/>
        </w:rPr>
        <w:t>年财政拨款收入、支出总计均是</w:t>
      </w:r>
      <w:r>
        <w:rPr>
          <w:rFonts w:eastAsia="仿宋"/>
          <w:color w:val="000000"/>
          <w:sz w:val="32"/>
          <w:szCs w:val="32"/>
        </w:rPr>
        <w:t>1981.23</w:t>
      </w:r>
      <w:r>
        <w:rPr>
          <w:rFonts w:hAnsi="仿宋" w:eastAsia="仿宋"/>
          <w:color w:val="000000"/>
          <w:sz w:val="32"/>
          <w:szCs w:val="32"/>
        </w:rPr>
        <w:t>万元。与</w:t>
      </w:r>
      <w:r>
        <w:rPr>
          <w:rFonts w:eastAsia="仿宋"/>
          <w:color w:val="000000"/>
          <w:sz w:val="32"/>
          <w:szCs w:val="32"/>
        </w:rPr>
        <w:t>2019</w:t>
      </w:r>
      <w:r>
        <w:rPr>
          <w:rFonts w:hAnsi="仿宋" w:eastAsia="仿宋"/>
          <w:color w:val="000000"/>
          <w:sz w:val="32"/>
          <w:szCs w:val="32"/>
        </w:rPr>
        <w:t>年相比，财政拨款收入、支出总计增加</w:t>
      </w:r>
      <w:r>
        <w:rPr>
          <w:rFonts w:eastAsia="仿宋"/>
          <w:color w:val="000000"/>
          <w:sz w:val="32"/>
          <w:szCs w:val="32"/>
        </w:rPr>
        <w:t>1193.55</w:t>
      </w:r>
      <w:r>
        <w:rPr>
          <w:rFonts w:hAnsi="仿宋" w:eastAsia="仿宋"/>
          <w:color w:val="000000"/>
          <w:sz w:val="32"/>
          <w:szCs w:val="32"/>
        </w:rPr>
        <w:t>万元，增长</w:t>
      </w:r>
      <w:r>
        <w:rPr>
          <w:rFonts w:eastAsia="仿宋"/>
          <w:color w:val="000000"/>
          <w:sz w:val="32"/>
          <w:szCs w:val="32"/>
        </w:rPr>
        <w:t>151.53%</w:t>
      </w:r>
      <w:r>
        <w:rPr>
          <w:rFonts w:hAnsi="仿宋" w:eastAsia="仿宋"/>
          <w:color w:val="000000"/>
          <w:sz w:val="32"/>
          <w:szCs w:val="32"/>
        </w:rPr>
        <w:t>。主要变动原因是</w:t>
      </w:r>
      <w:r>
        <w:rPr>
          <w:rFonts w:eastAsia="仿宋"/>
          <w:color w:val="000000"/>
          <w:sz w:val="32"/>
          <w:szCs w:val="32"/>
        </w:rPr>
        <w:t>2020</w:t>
      </w:r>
      <w:r>
        <w:rPr>
          <w:rFonts w:hAnsi="仿宋" w:eastAsia="仿宋"/>
          <w:color w:val="000000"/>
          <w:sz w:val="32"/>
          <w:szCs w:val="32"/>
        </w:rPr>
        <w:t>年县</w:t>
      </w:r>
      <w:r>
        <w:rPr>
          <w:rFonts w:hAnsi="仿宋_GB2312" w:eastAsia="仿宋_GB2312"/>
          <w:sz w:val="32"/>
        </w:rPr>
        <w:t>医保事务中心与医保局合并为一个财务账套。</w:t>
      </w:r>
    </w:p>
    <w:p w14:paraId="0F6248E9">
      <w:pPr>
        <w:widowControl/>
        <w:jc w:val="left"/>
        <w:rPr>
          <w:rFonts w:ascii="宋体" w:hAnsi="宋体" w:cs="宋体"/>
          <w:kern w:val="0"/>
          <w:sz w:val="24"/>
        </w:rPr>
      </w:pPr>
      <w:r>
        <w:rPr>
          <w:rFonts w:ascii="宋体" w:hAnsi="宋体" w:cs="宋体"/>
          <w:kern w:val="0"/>
          <w:sz w:val="24"/>
        </w:rPr>
        <w:drawing>
          <wp:inline distT="0" distB="0" distL="0" distR="0">
            <wp:extent cx="5322570" cy="2849880"/>
            <wp:effectExtent l="19050" t="0" r="0" b="0"/>
            <wp:docPr id="14" name="图片 7" descr="C:\Users\Administrator\AppData\Roaming\Tencent\Users\3495491\QQ\WinTemp\RichOle\S)WCG$@`H4XLWY$_$FCS@J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C:\Users\Administrator\AppData\Roaming\Tencent\Users\3495491\QQ\WinTemp\RichOle\S)WCG$@`H4XLWY$_$FCS@J8.png"/>
                    <pic:cNvPicPr>
                      <a:picLocks noChangeAspect="1" noChangeArrowheads="1"/>
                    </pic:cNvPicPr>
                  </pic:nvPicPr>
                  <pic:blipFill>
                    <a:blip r:embed="rId12"/>
                    <a:srcRect/>
                    <a:stretch>
                      <a:fillRect/>
                    </a:stretch>
                  </pic:blipFill>
                  <pic:spPr>
                    <a:xfrm>
                      <a:off x="0" y="0"/>
                      <a:ext cx="5322570" cy="2849880"/>
                    </a:xfrm>
                    <a:prstGeom prst="rect">
                      <a:avLst/>
                    </a:prstGeom>
                    <a:noFill/>
                    <a:ln w="9525">
                      <a:noFill/>
                      <a:miter lim="800000"/>
                      <a:headEnd/>
                      <a:tailEnd/>
                    </a:ln>
                  </pic:spPr>
                </pic:pic>
              </a:graphicData>
            </a:graphic>
          </wp:inline>
        </w:drawing>
      </w:r>
    </w:p>
    <w:p w14:paraId="28FE416C">
      <w:pPr>
        <w:snapToGrid w:val="0"/>
        <w:spacing w:line="520" w:lineRule="exact"/>
        <w:jc w:val="center"/>
        <w:rPr>
          <w:rFonts w:ascii="仿宋_GB2312" w:hAnsi="仿宋_GB2312" w:eastAsia="仿宋_GB2312"/>
          <w:sz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14:paraId="01CF74E1">
      <w:pPr>
        <w:spacing w:line="600" w:lineRule="exact"/>
        <w:ind w:firstLine="640" w:firstLineChars="200"/>
        <w:outlineLvl w:val="1"/>
        <w:rPr>
          <w:rStyle w:val="27"/>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26"/>
      <w:bookmarkEnd w:id="27"/>
    </w:p>
    <w:p w14:paraId="4CAADF18">
      <w:pPr>
        <w:spacing w:line="600" w:lineRule="exact"/>
        <w:ind w:firstLine="643" w:firstLineChars="200"/>
        <w:outlineLvl w:val="2"/>
        <w:rPr>
          <w:rFonts w:eastAsia="仿宋"/>
          <w:b/>
          <w:color w:val="000000"/>
          <w:sz w:val="32"/>
          <w:szCs w:val="32"/>
        </w:rPr>
      </w:pPr>
      <w:bookmarkStart w:id="28" w:name="_Toc15377210"/>
      <w:r>
        <w:rPr>
          <w:rFonts w:hAnsi="仿宋" w:eastAsia="仿宋"/>
          <w:b/>
          <w:color w:val="000000"/>
          <w:sz w:val="32"/>
          <w:szCs w:val="32"/>
        </w:rPr>
        <w:t>（一）一般公共预算财政拨款支出决算总体情况</w:t>
      </w:r>
      <w:bookmarkEnd w:id="28"/>
    </w:p>
    <w:p w14:paraId="2F9CBC02">
      <w:pPr>
        <w:spacing w:line="600" w:lineRule="exact"/>
        <w:ind w:firstLine="640" w:firstLineChars="200"/>
        <w:rPr>
          <w:rFonts w:eastAsia="仿宋"/>
          <w:color w:val="000000"/>
          <w:sz w:val="32"/>
          <w:szCs w:val="32"/>
        </w:rPr>
      </w:pPr>
      <w:r>
        <w:rPr>
          <w:rFonts w:eastAsia="仿宋"/>
          <w:color w:val="000000"/>
          <w:sz w:val="32"/>
          <w:szCs w:val="32"/>
        </w:rPr>
        <w:t>2020</w:t>
      </w:r>
      <w:r>
        <w:rPr>
          <w:rFonts w:hAnsi="仿宋" w:eastAsia="仿宋"/>
          <w:color w:val="000000"/>
          <w:sz w:val="32"/>
          <w:szCs w:val="32"/>
        </w:rPr>
        <w:t>年一般公共预算财政拨款支出</w:t>
      </w:r>
      <w:r>
        <w:rPr>
          <w:rFonts w:eastAsia="仿宋"/>
          <w:color w:val="000000"/>
          <w:sz w:val="32"/>
          <w:szCs w:val="32"/>
        </w:rPr>
        <w:t>1839.66</w:t>
      </w:r>
      <w:r>
        <w:rPr>
          <w:rFonts w:hAnsi="仿宋" w:eastAsia="仿宋"/>
          <w:color w:val="000000"/>
          <w:sz w:val="32"/>
          <w:szCs w:val="32"/>
        </w:rPr>
        <w:t>万元，占本年支出合计的</w:t>
      </w:r>
      <w:r>
        <w:rPr>
          <w:rFonts w:eastAsia="仿宋"/>
          <w:color w:val="000000"/>
          <w:sz w:val="32"/>
          <w:szCs w:val="32"/>
        </w:rPr>
        <w:t>92.85%</w:t>
      </w:r>
      <w:r>
        <w:rPr>
          <w:rFonts w:hAnsi="仿宋" w:eastAsia="仿宋"/>
          <w:color w:val="000000"/>
          <w:sz w:val="32"/>
          <w:szCs w:val="32"/>
        </w:rPr>
        <w:t>。与</w:t>
      </w:r>
      <w:r>
        <w:rPr>
          <w:rFonts w:eastAsia="仿宋"/>
          <w:color w:val="000000"/>
          <w:sz w:val="32"/>
          <w:szCs w:val="32"/>
        </w:rPr>
        <w:t>2019</w:t>
      </w:r>
      <w:r>
        <w:rPr>
          <w:rFonts w:hAnsi="仿宋" w:eastAsia="仿宋"/>
          <w:color w:val="000000"/>
          <w:sz w:val="32"/>
          <w:szCs w:val="32"/>
        </w:rPr>
        <w:t>年相比，一般公共预算财政拨款增加</w:t>
      </w:r>
      <w:r>
        <w:rPr>
          <w:rFonts w:eastAsia="仿宋"/>
          <w:color w:val="000000"/>
          <w:sz w:val="32"/>
          <w:szCs w:val="32"/>
        </w:rPr>
        <w:t>1244</w:t>
      </w:r>
      <w:r>
        <w:rPr>
          <w:rFonts w:hAnsi="仿宋" w:eastAsia="仿宋"/>
          <w:color w:val="000000"/>
          <w:sz w:val="32"/>
          <w:szCs w:val="32"/>
        </w:rPr>
        <w:t>万元，增长</w:t>
      </w:r>
      <w:r>
        <w:rPr>
          <w:rFonts w:eastAsia="仿宋"/>
          <w:color w:val="000000"/>
          <w:sz w:val="32"/>
          <w:szCs w:val="32"/>
        </w:rPr>
        <w:t>208.84%</w:t>
      </w:r>
      <w:r>
        <w:rPr>
          <w:rFonts w:hAnsi="仿宋" w:eastAsia="仿宋"/>
          <w:color w:val="000000"/>
          <w:sz w:val="32"/>
          <w:szCs w:val="32"/>
        </w:rPr>
        <w:t>。主要变动原因是</w:t>
      </w:r>
      <w:r>
        <w:rPr>
          <w:rFonts w:eastAsia="仿宋"/>
          <w:color w:val="000000"/>
          <w:sz w:val="32"/>
          <w:szCs w:val="32"/>
        </w:rPr>
        <w:t>2020</w:t>
      </w:r>
      <w:r>
        <w:rPr>
          <w:rFonts w:hAnsi="仿宋" w:eastAsia="仿宋"/>
          <w:color w:val="000000"/>
          <w:sz w:val="32"/>
          <w:szCs w:val="32"/>
        </w:rPr>
        <w:t>年县</w:t>
      </w:r>
      <w:r>
        <w:rPr>
          <w:rFonts w:hAnsi="仿宋_GB2312" w:eastAsia="仿宋_GB2312"/>
          <w:sz w:val="32"/>
        </w:rPr>
        <w:t>医保事务中心与医保局合并为一个财务账套。</w:t>
      </w:r>
    </w:p>
    <w:p w14:paraId="5B2B284C">
      <w:pPr>
        <w:widowControl/>
        <w:jc w:val="left"/>
        <w:rPr>
          <w:rFonts w:ascii="宋体" w:hAnsi="宋体" w:cs="宋体"/>
          <w:kern w:val="0"/>
          <w:sz w:val="24"/>
        </w:rPr>
      </w:pPr>
      <w:r>
        <w:rPr>
          <w:rFonts w:ascii="宋体" w:hAnsi="宋体" w:cs="宋体"/>
          <w:kern w:val="0"/>
          <w:sz w:val="24"/>
        </w:rPr>
        <w:drawing>
          <wp:inline distT="0" distB="0" distL="0" distR="0">
            <wp:extent cx="5261610" cy="2461260"/>
            <wp:effectExtent l="19050" t="0" r="0" b="0"/>
            <wp:docPr id="16" name="图片 11" descr="C:\Users\Administrator\AppData\Roaming\Tencent\Users\3495491\QQ\WinTemp\RichOle\IJZ8Z{W0Y%EPLW(PZ`B7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C:\Users\Administrator\AppData\Roaming\Tencent\Users\3495491\QQ\WinTemp\RichOle\IJZ8Z{W0Y%EPLW(PZ`B7_NL.png"/>
                    <pic:cNvPicPr>
                      <a:picLocks noChangeAspect="1" noChangeArrowheads="1"/>
                    </pic:cNvPicPr>
                  </pic:nvPicPr>
                  <pic:blipFill>
                    <a:blip r:embed="rId13"/>
                    <a:srcRect/>
                    <a:stretch>
                      <a:fillRect/>
                    </a:stretch>
                  </pic:blipFill>
                  <pic:spPr>
                    <a:xfrm>
                      <a:off x="0" y="0"/>
                      <a:ext cx="5262283" cy="2461575"/>
                    </a:xfrm>
                    <a:prstGeom prst="rect">
                      <a:avLst/>
                    </a:prstGeom>
                    <a:noFill/>
                    <a:ln w="9525">
                      <a:noFill/>
                      <a:miter lim="800000"/>
                      <a:headEnd/>
                      <a:tailEnd/>
                    </a:ln>
                  </pic:spPr>
                </pic:pic>
              </a:graphicData>
            </a:graphic>
          </wp:inline>
        </w:drawing>
      </w:r>
    </w:p>
    <w:p w14:paraId="2364B4F4">
      <w:pPr>
        <w:spacing w:line="600" w:lineRule="exact"/>
        <w:ind w:firstLine="640" w:firstLineChars="200"/>
        <w:rPr>
          <w:rFonts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14:paraId="4D39137B">
      <w:pPr>
        <w:spacing w:line="600" w:lineRule="exact"/>
        <w:ind w:firstLine="643"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14:paraId="2AB65B04">
      <w:pPr>
        <w:spacing w:line="600" w:lineRule="exact"/>
        <w:ind w:firstLine="640"/>
        <w:rPr>
          <w:rFonts w:eastAsia="仿宋_GB2312"/>
          <w:b/>
          <w:color w:val="000000" w:themeColor="text1"/>
          <w:sz w:val="32"/>
          <w:szCs w:val="32"/>
        </w:rPr>
      </w:pPr>
      <w:r>
        <w:rPr>
          <w:rFonts w:eastAsia="仿宋_GB2312"/>
          <w:color w:val="000000"/>
          <w:sz w:val="32"/>
          <w:szCs w:val="32"/>
        </w:rPr>
        <w:t>2020年一般公共预算财</w:t>
      </w:r>
      <w:r>
        <w:rPr>
          <w:rFonts w:eastAsia="仿宋_GB2312"/>
          <w:color w:val="000000" w:themeColor="text1"/>
          <w:sz w:val="32"/>
          <w:szCs w:val="32"/>
        </w:rPr>
        <w:t>政拨款支出1839.66万元，主要用于以下方面:社会保障和就业（类）支出21.49万元，占1.17%；</w:t>
      </w:r>
      <w:r>
        <w:rPr>
          <w:rFonts w:eastAsia="仿宋_GB2312"/>
          <w:bCs/>
          <w:color w:val="000000" w:themeColor="text1"/>
          <w:sz w:val="32"/>
          <w:szCs w:val="32"/>
        </w:rPr>
        <w:t>卫生健康</w:t>
      </w:r>
      <w:r>
        <w:rPr>
          <w:rFonts w:eastAsia="仿宋_GB2312"/>
          <w:color w:val="000000" w:themeColor="text1"/>
          <w:sz w:val="32"/>
          <w:szCs w:val="32"/>
        </w:rPr>
        <w:t>（类）</w:t>
      </w:r>
      <w:r>
        <w:rPr>
          <w:rFonts w:eastAsia="仿宋_GB2312"/>
          <w:bCs/>
          <w:color w:val="000000" w:themeColor="text1"/>
          <w:sz w:val="32"/>
          <w:szCs w:val="32"/>
        </w:rPr>
        <w:t>支出</w:t>
      </w:r>
      <w:r>
        <w:rPr>
          <w:rFonts w:eastAsia="仿宋_GB2312"/>
          <w:color w:val="000000" w:themeColor="text1"/>
          <w:sz w:val="32"/>
          <w:szCs w:val="32"/>
        </w:rPr>
        <w:t>1219.51万元，占66.29%；农林水（类）支出570.97万元，占31.04%；住房保障（类）支出27.69万元，占1.5%。</w:t>
      </w:r>
    </w:p>
    <w:p w14:paraId="1A471A21">
      <w:pPr>
        <w:widowControl/>
        <w:jc w:val="left"/>
        <w:rPr>
          <w:rFonts w:ascii="宋体" w:hAnsi="宋体" w:cs="宋体"/>
          <w:kern w:val="0"/>
          <w:sz w:val="24"/>
        </w:rPr>
      </w:pPr>
      <w:r>
        <w:rPr>
          <w:rFonts w:ascii="宋体" w:hAnsi="宋体" w:cs="宋体"/>
          <w:kern w:val="0"/>
          <w:sz w:val="24"/>
        </w:rPr>
        <w:drawing>
          <wp:inline distT="0" distB="0" distL="0" distR="0">
            <wp:extent cx="5253990" cy="2697480"/>
            <wp:effectExtent l="19050" t="0" r="3810" b="0"/>
            <wp:docPr id="17" name="图片 13" descr="C:\Users\Administrator\AppData\Roaming\Tencent\Users\3495491\QQ\WinTemp\RichOle\UPOPTX])]}VYEQJ~{G@D@Q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C:\Users\Administrator\AppData\Roaming\Tencent\Users\3495491\QQ\WinTemp\RichOle\UPOPTX])]}VYEQJ~{G@D@QG.png"/>
                    <pic:cNvPicPr>
                      <a:picLocks noChangeAspect="1" noChangeArrowheads="1"/>
                    </pic:cNvPicPr>
                  </pic:nvPicPr>
                  <pic:blipFill>
                    <a:blip r:embed="rId14"/>
                    <a:srcRect/>
                    <a:stretch>
                      <a:fillRect/>
                    </a:stretch>
                  </pic:blipFill>
                  <pic:spPr>
                    <a:xfrm>
                      <a:off x="0" y="0"/>
                      <a:ext cx="5253566" cy="2697262"/>
                    </a:xfrm>
                    <a:prstGeom prst="rect">
                      <a:avLst/>
                    </a:prstGeom>
                    <a:noFill/>
                    <a:ln w="9525">
                      <a:noFill/>
                      <a:miter lim="800000"/>
                      <a:headEnd/>
                      <a:tailEnd/>
                    </a:ln>
                  </pic:spPr>
                </pic:pic>
              </a:graphicData>
            </a:graphic>
          </wp:inline>
        </w:drawing>
      </w:r>
    </w:p>
    <w:p w14:paraId="6D2567D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14:paraId="006871E2">
      <w:pPr>
        <w:spacing w:line="600" w:lineRule="exact"/>
        <w:ind w:firstLine="643"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14:paraId="7CA94B8D">
      <w:pPr>
        <w:spacing w:line="600" w:lineRule="exact"/>
        <w:ind w:firstLine="640" w:firstLineChars="200"/>
        <w:outlineLvl w:val="2"/>
        <w:rPr>
          <w:rFonts w:eastAsia="仿宋_GB2312"/>
          <w:b/>
          <w:color w:val="000000"/>
          <w:sz w:val="32"/>
          <w:szCs w:val="32"/>
        </w:rPr>
      </w:pPr>
      <w:bookmarkStart w:id="31" w:name="_Toc15377213"/>
      <w:bookmarkStart w:id="32" w:name="_Toc15377444"/>
      <w:bookmarkStart w:id="33" w:name="_Toc15378460"/>
      <w:r>
        <w:rPr>
          <w:rFonts w:eastAsia="仿宋_GB2312"/>
          <w:color w:val="000000" w:themeColor="text1"/>
          <w:sz w:val="32"/>
          <w:szCs w:val="32"/>
        </w:rPr>
        <w:t>2020年一般公共预算支出决算数为1839.65万元，</w:t>
      </w:r>
      <w:r>
        <w:rPr>
          <w:rStyle w:val="16"/>
          <w:rFonts w:eastAsia="仿宋_GB2312"/>
          <w:b w:val="0"/>
          <w:bCs/>
          <w:color w:val="000000" w:themeColor="text1"/>
          <w:sz w:val="32"/>
          <w:szCs w:val="32"/>
        </w:rPr>
        <w:t>完成</w:t>
      </w:r>
      <w:r>
        <w:rPr>
          <w:rStyle w:val="16"/>
          <w:rFonts w:eastAsia="仿宋_GB2312"/>
          <w:b w:val="0"/>
          <w:bCs/>
          <w:color w:val="000000"/>
          <w:sz w:val="32"/>
          <w:szCs w:val="32"/>
        </w:rPr>
        <w:t>预算</w:t>
      </w:r>
      <w:bookmarkEnd w:id="31"/>
      <w:bookmarkEnd w:id="32"/>
      <w:bookmarkEnd w:id="33"/>
      <w:r>
        <w:rPr>
          <w:rStyle w:val="16"/>
          <w:rFonts w:eastAsia="仿宋_GB2312"/>
          <w:b w:val="0"/>
          <w:bCs/>
          <w:color w:val="000000"/>
          <w:sz w:val="32"/>
          <w:szCs w:val="32"/>
        </w:rPr>
        <w:t>的100%。</w:t>
      </w:r>
    </w:p>
    <w:p w14:paraId="6B696333">
      <w:pPr>
        <w:spacing w:line="600" w:lineRule="exact"/>
        <w:ind w:firstLine="643" w:firstLineChars="200"/>
        <w:rPr>
          <w:rFonts w:eastAsia="仿宋"/>
          <w:b/>
          <w:color w:val="000000"/>
          <w:sz w:val="32"/>
          <w:szCs w:val="32"/>
        </w:rPr>
      </w:pPr>
      <w:r>
        <w:rPr>
          <w:rStyle w:val="16"/>
          <w:rFonts w:eastAsia="仿宋"/>
          <w:bCs/>
          <w:color w:val="000000"/>
          <w:sz w:val="32"/>
          <w:szCs w:val="32"/>
        </w:rPr>
        <w:t>1.</w:t>
      </w:r>
      <w:r>
        <w:rPr>
          <w:rStyle w:val="16"/>
          <w:rFonts w:eastAsia="仿宋_GB2312"/>
          <w:bCs/>
          <w:color w:val="000000"/>
          <w:sz w:val="32"/>
          <w:szCs w:val="32"/>
        </w:rPr>
        <w:t>社会保障和就业（类）行政事业单位离退休（款）行政单位离退休（项）：</w:t>
      </w:r>
      <w:r>
        <w:rPr>
          <w:rStyle w:val="16"/>
          <w:rFonts w:eastAsia="仿宋_GB2312"/>
          <w:b w:val="0"/>
          <w:bCs/>
          <w:color w:val="000000"/>
          <w:sz w:val="32"/>
          <w:szCs w:val="32"/>
        </w:rPr>
        <w:t>支出决算为1.03万元；</w:t>
      </w:r>
      <w:r>
        <w:rPr>
          <w:rStyle w:val="16"/>
          <w:rFonts w:eastAsia="仿宋_GB2312"/>
          <w:bCs/>
          <w:color w:val="000000"/>
          <w:sz w:val="32"/>
          <w:szCs w:val="32"/>
        </w:rPr>
        <w:t>机关事业单位基本养老保险缴费支出（项）:</w:t>
      </w:r>
      <w:r>
        <w:rPr>
          <w:rStyle w:val="16"/>
          <w:rFonts w:eastAsia="仿宋_GB2312"/>
          <w:b w:val="0"/>
          <w:bCs/>
          <w:color w:val="000000"/>
          <w:sz w:val="32"/>
          <w:szCs w:val="32"/>
        </w:rPr>
        <w:t>支出决算为20.46万元，完成预算100%。</w:t>
      </w:r>
      <w:r>
        <w:rPr>
          <w:rFonts w:eastAsia="仿宋"/>
          <w:b/>
          <w:color w:val="000000"/>
          <w:sz w:val="32"/>
          <w:szCs w:val="32"/>
        </w:rPr>
        <w:t xml:space="preserve"> </w:t>
      </w:r>
    </w:p>
    <w:p w14:paraId="5E4B5A66">
      <w:pPr>
        <w:spacing w:line="600" w:lineRule="exact"/>
        <w:ind w:firstLine="643" w:firstLineChars="200"/>
        <w:rPr>
          <w:rFonts w:eastAsia="仿宋_GB2312"/>
          <w:b/>
          <w:color w:val="000000"/>
          <w:sz w:val="32"/>
          <w:szCs w:val="32"/>
        </w:rPr>
      </w:pPr>
      <w:r>
        <w:rPr>
          <w:rStyle w:val="16"/>
          <w:rFonts w:eastAsia="仿宋_GB2312"/>
          <w:bCs/>
          <w:color w:val="000000"/>
          <w:sz w:val="32"/>
          <w:szCs w:val="32"/>
        </w:rPr>
        <w:t>2.</w:t>
      </w:r>
      <w:r>
        <w:rPr>
          <w:rFonts w:eastAsia="仿宋_GB2312"/>
          <w:b/>
          <w:bCs/>
          <w:color w:val="000000" w:themeColor="text1"/>
          <w:sz w:val="32"/>
          <w:szCs w:val="32"/>
        </w:rPr>
        <w:t>卫生健康</w:t>
      </w:r>
      <w:r>
        <w:rPr>
          <w:rStyle w:val="16"/>
          <w:rFonts w:eastAsia="仿宋_GB2312"/>
          <w:bCs/>
          <w:color w:val="000000"/>
          <w:sz w:val="32"/>
          <w:szCs w:val="32"/>
        </w:rPr>
        <w:t>（类）行政事业单位医疗（款）行政单位医疗（项）:</w:t>
      </w:r>
      <w:r>
        <w:rPr>
          <w:rStyle w:val="16"/>
          <w:rFonts w:eastAsia="仿宋_GB2312"/>
          <w:b w:val="0"/>
          <w:bCs/>
          <w:color w:val="000000"/>
          <w:sz w:val="32"/>
          <w:szCs w:val="32"/>
        </w:rPr>
        <w:t>支出决算为15.95万元；</w:t>
      </w:r>
      <w:r>
        <w:rPr>
          <w:rStyle w:val="16"/>
          <w:rFonts w:eastAsia="仿宋_GB2312"/>
          <w:bCs/>
          <w:color w:val="000000"/>
          <w:sz w:val="32"/>
          <w:szCs w:val="32"/>
        </w:rPr>
        <w:t>公务员医疗补助（项）:</w:t>
      </w:r>
      <w:r>
        <w:rPr>
          <w:rStyle w:val="16"/>
          <w:rFonts w:eastAsia="仿宋_GB2312"/>
          <w:b w:val="0"/>
          <w:bCs/>
          <w:color w:val="000000"/>
          <w:sz w:val="32"/>
          <w:szCs w:val="32"/>
        </w:rPr>
        <w:t>支出决算为1.36万元；</w:t>
      </w:r>
      <w:r>
        <w:rPr>
          <w:rStyle w:val="16"/>
          <w:rFonts w:eastAsia="仿宋_GB2312"/>
          <w:bCs/>
          <w:color w:val="000000"/>
          <w:sz w:val="32"/>
          <w:szCs w:val="32"/>
        </w:rPr>
        <w:t>医疗救助（款）城乡医疗救助（项）:</w:t>
      </w:r>
      <w:r>
        <w:rPr>
          <w:rStyle w:val="16"/>
          <w:rFonts w:eastAsia="仿宋_GB2312"/>
          <w:b w:val="0"/>
          <w:bCs/>
          <w:color w:val="000000"/>
          <w:sz w:val="32"/>
          <w:szCs w:val="32"/>
        </w:rPr>
        <w:t>支出决算为817.92万元；</w:t>
      </w:r>
      <w:r>
        <w:rPr>
          <w:rStyle w:val="16"/>
          <w:rFonts w:eastAsia="仿宋_GB2312"/>
          <w:bCs/>
          <w:color w:val="000000"/>
          <w:sz w:val="32"/>
          <w:szCs w:val="32"/>
        </w:rPr>
        <w:t>医疗保障管理事（款）行政运行（项）:</w:t>
      </w:r>
      <w:r>
        <w:rPr>
          <w:rStyle w:val="16"/>
          <w:rFonts w:eastAsia="仿宋_GB2312"/>
          <w:b w:val="0"/>
          <w:bCs/>
          <w:color w:val="000000"/>
          <w:sz w:val="32"/>
          <w:szCs w:val="32"/>
        </w:rPr>
        <w:t>支出决算为239.41万元；</w:t>
      </w:r>
      <w:r>
        <w:rPr>
          <w:rStyle w:val="16"/>
          <w:rFonts w:eastAsia="仿宋_GB2312"/>
          <w:bCs/>
          <w:color w:val="000000"/>
          <w:sz w:val="32"/>
          <w:szCs w:val="32"/>
        </w:rPr>
        <w:t>其他医疗保障管理事务（项）:</w:t>
      </w:r>
      <w:r>
        <w:rPr>
          <w:rStyle w:val="16"/>
          <w:rFonts w:eastAsia="仿宋_GB2312"/>
          <w:b w:val="0"/>
          <w:bCs/>
          <w:color w:val="000000"/>
          <w:sz w:val="32"/>
          <w:szCs w:val="32"/>
        </w:rPr>
        <w:t>支出决算为144.86万元；完成预算100%。</w:t>
      </w:r>
    </w:p>
    <w:p w14:paraId="03359D44">
      <w:pPr>
        <w:spacing w:line="600" w:lineRule="exact"/>
        <w:ind w:firstLine="640" w:firstLineChars="200"/>
        <w:rPr>
          <w:rStyle w:val="16"/>
          <w:rFonts w:eastAsia="仿宋"/>
          <w:b w:val="0"/>
          <w:bCs/>
          <w:color w:val="000000"/>
          <w:sz w:val="32"/>
          <w:szCs w:val="32"/>
        </w:rPr>
      </w:pPr>
      <w:r>
        <w:rPr>
          <w:rStyle w:val="16"/>
          <w:rFonts w:eastAsia="仿宋"/>
          <w:b w:val="0"/>
          <w:bCs/>
          <w:color w:val="000000"/>
          <w:sz w:val="32"/>
          <w:szCs w:val="32"/>
        </w:rPr>
        <w:t>3.</w:t>
      </w:r>
      <w:r>
        <w:rPr>
          <w:rStyle w:val="16"/>
          <w:rFonts w:eastAsia="仿宋"/>
          <w:bCs/>
          <w:color w:val="000000"/>
          <w:sz w:val="32"/>
          <w:szCs w:val="32"/>
        </w:rPr>
        <w:t>农林水支出</w:t>
      </w:r>
      <w:r>
        <w:rPr>
          <w:rStyle w:val="16"/>
          <w:rFonts w:eastAsia="仿宋_GB2312"/>
          <w:bCs/>
          <w:color w:val="000000"/>
          <w:sz w:val="32"/>
          <w:szCs w:val="32"/>
        </w:rPr>
        <w:t>（类）扶贫（款）社会发展（项）:</w:t>
      </w:r>
      <w:r>
        <w:rPr>
          <w:rStyle w:val="16"/>
          <w:rFonts w:eastAsia="仿宋"/>
          <w:b w:val="0"/>
          <w:bCs/>
          <w:color w:val="000000"/>
          <w:sz w:val="32"/>
          <w:szCs w:val="32"/>
        </w:rPr>
        <w:t>支出决算为570.97万元，完成预算100%。</w:t>
      </w:r>
    </w:p>
    <w:p w14:paraId="375E6F0B">
      <w:pPr>
        <w:spacing w:line="600" w:lineRule="exact"/>
        <w:ind w:firstLine="643" w:firstLineChars="200"/>
        <w:rPr>
          <w:rFonts w:eastAsia="仿宋"/>
          <w:b/>
          <w:color w:val="000000"/>
          <w:sz w:val="32"/>
          <w:szCs w:val="32"/>
        </w:rPr>
      </w:pPr>
      <w:r>
        <w:rPr>
          <w:rStyle w:val="16"/>
          <w:rFonts w:eastAsia="仿宋"/>
          <w:bCs/>
          <w:color w:val="000000"/>
          <w:sz w:val="32"/>
          <w:szCs w:val="32"/>
        </w:rPr>
        <w:t>4.</w:t>
      </w:r>
      <w:r>
        <w:rPr>
          <w:rFonts w:eastAsia="仿宋_GB2312"/>
          <w:b/>
          <w:color w:val="000000"/>
          <w:sz w:val="32"/>
          <w:szCs w:val="32"/>
        </w:rPr>
        <w:t>住房保障支出</w:t>
      </w:r>
      <w:r>
        <w:rPr>
          <w:rStyle w:val="16"/>
          <w:rFonts w:eastAsia="仿宋_GB2312"/>
          <w:bCs/>
          <w:color w:val="000000"/>
          <w:sz w:val="32"/>
          <w:szCs w:val="32"/>
        </w:rPr>
        <w:t>（类）住房改革支出（款） 住房公积金（项）:</w:t>
      </w:r>
      <w:r>
        <w:rPr>
          <w:rStyle w:val="16"/>
          <w:rFonts w:eastAsia="仿宋"/>
          <w:b w:val="0"/>
          <w:bCs/>
          <w:color w:val="000000"/>
          <w:sz w:val="32"/>
          <w:szCs w:val="32"/>
        </w:rPr>
        <w:t>支出决算为27.69万元，完成预算100%。</w:t>
      </w:r>
    </w:p>
    <w:p w14:paraId="7C41192A">
      <w:pPr>
        <w:tabs>
          <w:tab w:val="right" w:pos="8306"/>
        </w:tabs>
        <w:spacing w:line="600" w:lineRule="exact"/>
        <w:ind w:firstLine="640"/>
        <w:outlineLvl w:val="1"/>
        <w:rPr>
          <w:rStyle w:val="27"/>
          <w:rFonts w:ascii="Times New Roman" w:hAnsi="Times New Roman" w:cs="Times New Roman"/>
        </w:rPr>
      </w:pPr>
      <w:bookmarkStart w:id="34" w:name="_Toc15377214"/>
      <w:bookmarkStart w:id="35" w:name="_Toc15396608"/>
      <w:r>
        <w:rPr>
          <w:rFonts w:eastAsia="黑体"/>
          <w:color w:val="000000"/>
          <w:sz w:val="32"/>
          <w:szCs w:val="32"/>
        </w:rPr>
        <w:t>六</w:t>
      </w:r>
      <w:r>
        <w:rPr>
          <w:rFonts w:eastAsia="黑体"/>
          <w:b/>
          <w:color w:val="000000"/>
          <w:sz w:val="32"/>
          <w:szCs w:val="32"/>
        </w:rPr>
        <w:t>、</w:t>
      </w:r>
      <w:r>
        <w:rPr>
          <w:rFonts w:hAnsi="黑体" w:eastAsia="黑体"/>
          <w:b/>
          <w:color w:val="000000"/>
          <w:sz w:val="32"/>
          <w:szCs w:val="32"/>
        </w:rPr>
        <w:t>一</w:t>
      </w:r>
      <w:r>
        <w:rPr>
          <w:rStyle w:val="27"/>
          <w:rFonts w:ascii="Times New Roman" w:hAnsi="黑体" w:eastAsia="黑体" w:cs="Times New Roman"/>
          <w:b w:val="0"/>
        </w:rPr>
        <w:t>般公共预算财政拨款基本支出决算情况说明</w:t>
      </w:r>
      <w:bookmarkEnd w:id="34"/>
      <w:bookmarkEnd w:id="35"/>
      <w:r>
        <w:rPr>
          <w:rStyle w:val="27"/>
          <w:rFonts w:ascii="Times New Roman" w:hAnsi="Times New Roman" w:eastAsia="黑体" w:cs="Times New Roman"/>
          <w:b w:val="0"/>
        </w:rPr>
        <w:tab/>
      </w:r>
    </w:p>
    <w:p w14:paraId="78A8376E">
      <w:pPr>
        <w:spacing w:line="600" w:lineRule="exact"/>
        <w:ind w:firstLine="645"/>
        <w:rPr>
          <w:rFonts w:eastAsia="仿宋_GB2312"/>
          <w:color w:val="000000"/>
          <w:sz w:val="32"/>
          <w:szCs w:val="32"/>
        </w:rPr>
      </w:pPr>
      <w:r>
        <w:rPr>
          <w:rFonts w:eastAsia="仿宋_GB2312"/>
          <w:color w:val="000000"/>
          <w:sz w:val="32"/>
          <w:szCs w:val="32"/>
        </w:rPr>
        <w:t>2020年一般公共预算财政拨款基本支出305.9万元，其中：人员经费274.93万元，主要包括：基本工资、津贴补贴、奖金、机关事业单位基本养老保险缴费、职工基本医疗保险缴费、公务员医疗补助缴费、住房公积金、其他工资福利支出。</w:t>
      </w:r>
    </w:p>
    <w:p w14:paraId="194E0DA1">
      <w:pPr>
        <w:spacing w:line="600" w:lineRule="exact"/>
        <w:ind w:firstLine="645"/>
        <w:rPr>
          <w:rFonts w:eastAsia="仿宋_GB2312"/>
          <w:color w:val="000000"/>
          <w:sz w:val="32"/>
          <w:szCs w:val="32"/>
        </w:rPr>
      </w:pPr>
      <w:r>
        <w:rPr>
          <w:rFonts w:eastAsia="仿宋_GB2312"/>
          <w:color w:val="000000"/>
          <w:sz w:val="32"/>
          <w:szCs w:val="32"/>
        </w:rPr>
        <w:t>日常公用经费30.97万元，主要包括：办公费、邮电费、差旅费、维修（护）费、培训费、公务接待费、专用材料费、劳务费、福利费、其他交通费、其他商品和服务支出。</w:t>
      </w:r>
    </w:p>
    <w:p w14:paraId="584C4B93">
      <w:pPr>
        <w:spacing w:line="600" w:lineRule="exact"/>
        <w:ind w:firstLine="640"/>
        <w:outlineLvl w:val="1"/>
        <w:rPr>
          <w:rStyle w:val="27"/>
          <w:rFonts w:ascii="Times New Roman" w:hAnsi="Times New Roman" w:eastAsia="黑体" w:cs="Times New Roman"/>
          <w:b w:val="0"/>
        </w:rPr>
      </w:pPr>
      <w:bookmarkStart w:id="36" w:name="_Toc15396609"/>
      <w:bookmarkStart w:id="37" w:name="_Toc15377215"/>
      <w:r>
        <w:rPr>
          <w:rFonts w:eastAsia="黑体"/>
          <w:color w:val="000000"/>
          <w:sz w:val="32"/>
          <w:szCs w:val="32"/>
        </w:rPr>
        <w:t>七、</w:t>
      </w:r>
      <w:r>
        <w:rPr>
          <w:rStyle w:val="27"/>
          <w:rFonts w:ascii="Times New Roman" w:hAnsi="Times New Roman" w:eastAsia="黑体" w:cs="Times New Roman"/>
        </w:rPr>
        <w:t>“</w:t>
      </w:r>
      <w:r>
        <w:rPr>
          <w:rStyle w:val="27"/>
          <w:rFonts w:ascii="Times New Roman" w:hAnsi="黑体" w:eastAsia="黑体" w:cs="Times New Roman"/>
          <w:b w:val="0"/>
        </w:rPr>
        <w:t>三公</w:t>
      </w:r>
      <w:r>
        <w:rPr>
          <w:rStyle w:val="27"/>
          <w:rFonts w:ascii="Times New Roman" w:hAnsi="Times New Roman" w:eastAsia="黑体" w:cs="Times New Roman"/>
          <w:b w:val="0"/>
        </w:rPr>
        <w:t>”</w:t>
      </w:r>
      <w:r>
        <w:rPr>
          <w:rStyle w:val="27"/>
          <w:rFonts w:ascii="Times New Roman" w:hAnsi="黑体" w:eastAsia="黑体" w:cs="Times New Roman"/>
          <w:b w:val="0"/>
        </w:rPr>
        <w:t>经费财政拨款支出决算情况说明</w:t>
      </w:r>
      <w:bookmarkEnd w:id="36"/>
      <w:bookmarkEnd w:id="37"/>
    </w:p>
    <w:p w14:paraId="19C91541">
      <w:pPr>
        <w:spacing w:line="600" w:lineRule="exact"/>
        <w:ind w:firstLine="640"/>
        <w:outlineLvl w:val="2"/>
        <w:rPr>
          <w:rFonts w:eastAsia="仿宋"/>
          <w:b/>
          <w:color w:val="000000"/>
          <w:sz w:val="32"/>
          <w:szCs w:val="32"/>
        </w:rPr>
      </w:pPr>
      <w:bookmarkStart w:id="38" w:name="_Toc15377216"/>
      <w:bookmarkStart w:id="39" w:name="_Toc15396610"/>
      <w:bookmarkStart w:id="40" w:name="_Toc15377218"/>
      <w:r>
        <w:rPr>
          <w:rFonts w:hAnsi="仿宋" w:eastAsia="仿宋"/>
          <w:b/>
          <w:color w:val="000000"/>
          <w:sz w:val="32"/>
          <w:szCs w:val="32"/>
        </w:rPr>
        <w:t>（一）</w:t>
      </w:r>
      <w:r>
        <w:rPr>
          <w:rFonts w:eastAsia="仿宋"/>
          <w:b/>
          <w:color w:val="000000"/>
          <w:sz w:val="32"/>
          <w:szCs w:val="32"/>
        </w:rPr>
        <w:t>“</w:t>
      </w:r>
      <w:r>
        <w:rPr>
          <w:rFonts w:hAnsi="仿宋" w:eastAsia="仿宋"/>
          <w:b/>
          <w:color w:val="000000"/>
          <w:sz w:val="32"/>
          <w:szCs w:val="32"/>
        </w:rPr>
        <w:t>三公</w:t>
      </w:r>
      <w:r>
        <w:rPr>
          <w:rFonts w:eastAsia="仿宋"/>
          <w:b/>
          <w:color w:val="000000"/>
          <w:sz w:val="32"/>
          <w:szCs w:val="32"/>
        </w:rPr>
        <w:t>”</w:t>
      </w:r>
      <w:r>
        <w:rPr>
          <w:rFonts w:hAnsi="仿宋" w:eastAsia="仿宋"/>
          <w:b/>
          <w:color w:val="000000"/>
          <w:sz w:val="32"/>
          <w:szCs w:val="32"/>
        </w:rPr>
        <w:t>经费财政拨款支出决算总体情况说明</w:t>
      </w:r>
      <w:bookmarkEnd w:id="38"/>
    </w:p>
    <w:p w14:paraId="4657AC92">
      <w:pPr>
        <w:spacing w:line="600" w:lineRule="exact"/>
        <w:ind w:firstLine="640"/>
        <w:rPr>
          <w:rFonts w:eastAsia="仿宋"/>
          <w:color w:val="000000"/>
          <w:sz w:val="32"/>
          <w:szCs w:val="32"/>
        </w:rPr>
      </w:pPr>
      <w:r>
        <w:rPr>
          <w:rFonts w:eastAsia="仿宋"/>
          <w:color w:val="000000"/>
          <w:sz w:val="32"/>
          <w:szCs w:val="32"/>
        </w:rPr>
        <w:t>2020</w:t>
      </w:r>
      <w:r>
        <w:rPr>
          <w:rFonts w:hAnsi="仿宋" w:eastAsia="仿宋"/>
          <w:color w:val="000000"/>
          <w:sz w:val="32"/>
          <w:szCs w:val="32"/>
        </w:rPr>
        <w:t>年</w:t>
      </w:r>
      <w:r>
        <w:rPr>
          <w:rFonts w:eastAsia="仿宋"/>
          <w:color w:val="000000"/>
          <w:sz w:val="32"/>
          <w:szCs w:val="32"/>
        </w:rPr>
        <w:t>“</w:t>
      </w:r>
      <w:r>
        <w:rPr>
          <w:rFonts w:hAnsi="仿宋" w:eastAsia="仿宋"/>
          <w:color w:val="000000"/>
          <w:sz w:val="32"/>
          <w:szCs w:val="32"/>
        </w:rPr>
        <w:t>三公</w:t>
      </w:r>
      <w:r>
        <w:rPr>
          <w:rFonts w:eastAsia="仿宋"/>
          <w:color w:val="000000"/>
          <w:sz w:val="32"/>
          <w:szCs w:val="32"/>
        </w:rPr>
        <w:t>”</w:t>
      </w:r>
      <w:r>
        <w:rPr>
          <w:rFonts w:hAnsi="仿宋" w:eastAsia="仿宋"/>
          <w:color w:val="000000"/>
          <w:sz w:val="32"/>
          <w:szCs w:val="32"/>
        </w:rPr>
        <w:t>经费财政拨款支出决算为</w:t>
      </w:r>
      <w:r>
        <w:rPr>
          <w:rFonts w:eastAsia="仿宋"/>
          <w:color w:val="000000"/>
          <w:sz w:val="32"/>
          <w:szCs w:val="32"/>
        </w:rPr>
        <w:t>1</w:t>
      </w:r>
      <w:r>
        <w:rPr>
          <w:rFonts w:hAnsi="仿宋" w:eastAsia="仿宋"/>
          <w:color w:val="000000"/>
          <w:sz w:val="32"/>
          <w:szCs w:val="32"/>
        </w:rPr>
        <w:t>万元，完成预算</w:t>
      </w:r>
      <w:r>
        <w:rPr>
          <w:rFonts w:eastAsia="仿宋"/>
          <w:color w:val="000000"/>
          <w:sz w:val="32"/>
          <w:szCs w:val="32"/>
        </w:rPr>
        <w:t>100%</w:t>
      </w:r>
      <w:r>
        <w:rPr>
          <w:rFonts w:hAnsi="仿宋" w:eastAsia="仿宋"/>
          <w:color w:val="000000"/>
          <w:sz w:val="32"/>
          <w:szCs w:val="32"/>
        </w:rPr>
        <w:t>。</w:t>
      </w:r>
    </w:p>
    <w:p w14:paraId="0383A2F1">
      <w:pPr>
        <w:spacing w:line="600" w:lineRule="exact"/>
        <w:ind w:firstLine="640"/>
        <w:outlineLvl w:val="2"/>
        <w:rPr>
          <w:rFonts w:eastAsia="仿宋"/>
          <w:b/>
          <w:color w:val="000000"/>
          <w:sz w:val="32"/>
          <w:szCs w:val="32"/>
        </w:rPr>
      </w:pPr>
      <w:bookmarkStart w:id="41" w:name="_Toc15377217"/>
      <w:r>
        <w:rPr>
          <w:rFonts w:hAnsi="仿宋" w:eastAsia="仿宋"/>
          <w:b/>
          <w:color w:val="000000"/>
          <w:sz w:val="32"/>
          <w:szCs w:val="32"/>
        </w:rPr>
        <w:t>（二）</w:t>
      </w:r>
      <w:r>
        <w:rPr>
          <w:rFonts w:eastAsia="仿宋"/>
          <w:b/>
          <w:color w:val="000000"/>
          <w:sz w:val="32"/>
          <w:szCs w:val="32"/>
        </w:rPr>
        <w:t>“</w:t>
      </w:r>
      <w:r>
        <w:rPr>
          <w:rFonts w:hAnsi="仿宋" w:eastAsia="仿宋"/>
          <w:b/>
          <w:color w:val="000000"/>
          <w:sz w:val="32"/>
          <w:szCs w:val="32"/>
        </w:rPr>
        <w:t>三公</w:t>
      </w:r>
      <w:r>
        <w:rPr>
          <w:rFonts w:eastAsia="仿宋"/>
          <w:b/>
          <w:color w:val="000000"/>
          <w:sz w:val="32"/>
          <w:szCs w:val="32"/>
        </w:rPr>
        <w:t>”</w:t>
      </w:r>
      <w:r>
        <w:rPr>
          <w:rFonts w:hAnsi="仿宋" w:eastAsia="仿宋"/>
          <w:b/>
          <w:color w:val="000000"/>
          <w:sz w:val="32"/>
          <w:szCs w:val="32"/>
        </w:rPr>
        <w:t>经费财政拨款支出决算具体情况说明</w:t>
      </w:r>
      <w:bookmarkEnd w:id="41"/>
    </w:p>
    <w:p w14:paraId="1EF69F73">
      <w:pPr>
        <w:spacing w:line="600" w:lineRule="exact"/>
        <w:ind w:firstLine="640" w:firstLineChars="200"/>
        <w:rPr>
          <w:rFonts w:ascii="仿宋" w:hAnsi="仿宋" w:eastAsia="仿宋"/>
          <w:color w:val="000000"/>
          <w:sz w:val="32"/>
          <w:szCs w:val="32"/>
        </w:rPr>
      </w:pPr>
      <w:r>
        <w:rPr>
          <w:rFonts w:eastAsia="仿宋"/>
          <w:color w:val="000000"/>
          <w:sz w:val="32"/>
          <w:szCs w:val="32"/>
        </w:rPr>
        <w:t>2020</w:t>
      </w:r>
      <w:r>
        <w:rPr>
          <w:rFonts w:hAnsi="仿宋" w:eastAsia="仿宋"/>
          <w:color w:val="000000"/>
          <w:sz w:val="32"/>
          <w:szCs w:val="32"/>
        </w:rPr>
        <w:t>年</w:t>
      </w:r>
      <w:r>
        <w:rPr>
          <w:rFonts w:eastAsia="仿宋"/>
          <w:color w:val="000000"/>
          <w:sz w:val="32"/>
          <w:szCs w:val="32"/>
        </w:rPr>
        <w:t>“</w:t>
      </w:r>
      <w:r>
        <w:rPr>
          <w:rFonts w:hAnsi="仿宋" w:eastAsia="仿宋"/>
          <w:color w:val="000000"/>
          <w:sz w:val="32"/>
          <w:szCs w:val="32"/>
        </w:rPr>
        <w:t>三公</w:t>
      </w:r>
      <w:r>
        <w:rPr>
          <w:rFonts w:eastAsia="仿宋"/>
          <w:color w:val="000000"/>
          <w:sz w:val="32"/>
          <w:szCs w:val="32"/>
        </w:rPr>
        <w:t>”</w:t>
      </w:r>
      <w:r>
        <w:rPr>
          <w:rFonts w:hAnsi="仿宋" w:eastAsia="仿宋"/>
          <w:color w:val="000000"/>
          <w:sz w:val="32"/>
          <w:szCs w:val="32"/>
        </w:rPr>
        <w:t>经费财政拨款支出决算中，公务接待费支出决算</w:t>
      </w:r>
      <w:r>
        <w:rPr>
          <w:rFonts w:eastAsia="仿宋"/>
          <w:color w:val="000000"/>
          <w:sz w:val="32"/>
          <w:szCs w:val="32"/>
        </w:rPr>
        <w:t>1</w:t>
      </w:r>
      <w:r>
        <w:rPr>
          <w:rFonts w:hAnsi="仿宋" w:eastAsia="仿宋"/>
          <w:color w:val="000000"/>
          <w:sz w:val="32"/>
          <w:szCs w:val="32"/>
        </w:rPr>
        <w:t>万元，占</w:t>
      </w:r>
      <w:r>
        <w:rPr>
          <w:rFonts w:eastAsia="仿宋"/>
          <w:color w:val="000000"/>
          <w:sz w:val="32"/>
          <w:szCs w:val="32"/>
        </w:rPr>
        <w:t>100%</w:t>
      </w:r>
      <w:r>
        <w:rPr>
          <w:rFonts w:hAnsi="仿宋" w:eastAsia="仿宋"/>
          <w:color w:val="000000"/>
          <w:sz w:val="32"/>
          <w:szCs w:val="32"/>
        </w:rPr>
        <w:t>。具体情况如下：</w:t>
      </w:r>
    </w:p>
    <w:p w14:paraId="16CF1BC1">
      <w:pPr>
        <w:widowControl/>
        <w:jc w:val="left"/>
        <w:rPr>
          <w:rFonts w:ascii="宋体" w:hAnsi="宋体" w:cs="宋体"/>
          <w:kern w:val="0"/>
          <w:sz w:val="24"/>
        </w:rPr>
      </w:pPr>
      <w:r>
        <w:rPr>
          <w:rFonts w:ascii="宋体" w:hAnsi="宋体" w:cs="宋体"/>
          <w:kern w:val="0"/>
          <w:sz w:val="24"/>
        </w:rPr>
        <w:drawing>
          <wp:inline distT="0" distB="0" distL="0" distR="0">
            <wp:extent cx="5253990" cy="2697480"/>
            <wp:effectExtent l="19050" t="0" r="3810" b="0"/>
            <wp:docPr id="18" name="图片 15" descr="C:\Users\Administrator\AppData\Roaming\Tencent\Users\3495491\QQ\WinTemp\RichOle\EQASI$P[0LY`TSJT{{5DR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Administrator\AppData\Roaming\Tencent\Users\3495491\QQ\WinTemp\RichOle\EQASI$P[0LY`TSJT{{5DR3H.png"/>
                    <pic:cNvPicPr>
                      <a:picLocks noChangeAspect="1" noChangeArrowheads="1"/>
                    </pic:cNvPicPr>
                  </pic:nvPicPr>
                  <pic:blipFill>
                    <a:blip r:embed="rId15"/>
                    <a:srcRect/>
                    <a:stretch>
                      <a:fillRect/>
                    </a:stretch>
                  </pic:blipFill>
                  <pic:spPr>
                    <a:xfrm>
                      <a:off x="0" y="0"/>
                      <a:ext cx="5253334" cy="2697143"/>
                    </a:xfrm>
                    <a:prstGeom prst="rect">
                      <a:avLst/>
                    </a:prstGeom>
                    <a:noFill/>
                    <a:ln w="9525">
                      <a:noFill/>
                      <a:miter lim="800000"/>
                      <a:headEnd/>
                      <a:tailEnd/>
                    </a:ln>
                  </pic:spPr>
                </pic:pic>
              </a:graphicData>
            </a:graphic>
          </wp:inline>
        </w:drawing>
      </w:r>
    </w:p>
    <w:p w14:paraId="46D275B3">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14:paraId="3E480588">
      <w:pPr>
        <w:spacing w:line="560" w:lineRule="exact"/>
        <w:ind w:firstLine="640"/>
        <w:rPr>
          <w:rFonts w:eastAsia="仿宋_GB2312"/>
          <w:color w:val="000000"/>
          <w:sz w:val="32"/>
          <w:szCs w:val="32"/>
        </w:rPr>
      </w:pPr>
      <w:r>
        <w:rPr>
          <w:rFonts w:eastAsia="仿宋_GB2312"/>
          <w:b/>
          <w:color w:val="000000"/>
          <w:sz w:val="32"/>
          <w:szCs w:val="32"/>
        </w:rPr>
        <w:t>1.因公出国（境）经费支出</w:t>
      </w:r>
      <w:r>
        <w:rPr>
          <w:rFonts w:eastAsia="仿宋_GB2312"/>
          <w:color w:val="000000"/>
          <w:sz w:val="32"/>
          <w:szCs w:val="32"/>
        </w:rPr>
        <w:t>0万元，</w:t>
      </w:r>
      <w:r>
        <w:rPr>
          <w:rStyle w:val="16"/>
          <w:rFonts w:eastAsia="仿宋_GB2312"/>
          <w:b w:val="0"/>
          <w:bCs/>
          <w:color w:val="000000"/>
          <w:sz w:val="32"/>
          <w:szCs w:val="32"/>
        </w:rPr>
        <w:t>完成预算0%。</w:t>
      </w:r>
    </w:p>
    <w:p w14:paraId="2B7299FE">
      <w:pPr>
        <w:spacing w:line="560" w:lineRule="exact"/>
        <w:ind w:firstLine="640"/>
        <w:rPr>
          <w:rFonts w:eastAsia="仿宋_GB2312"/>
          <w:color w:val="000000"/>
          <w:sz w:val="32"/>
          <w:szCs w:val="32"/>
        </w:rPr>
      </w:pPr>
      <w:r>
        <w:rPr>
          <w:rFonts w:eastAsia="仿宋_GB2312"/>
          <w:b/>
          <w:color w:val="000000"/>
          <w:sz w:val="32"/>
          <w:szCs w:val="32"/>
        </w:rPr>
        <w:t>2.公务用车购置及运行维护费支出</w:t>
      </w:r>
      <w:r>
        <w:rPr>
          <w:rFonts w:eastAsia="仿宋_GB2312"/>
          <w:color w:val="000000"/>
          <w:sz w:val="32"/>
          <w:szCs w:val="32"/>
        </w:rPr>
        <w:t>0万元,</w:t>
      </w:r>
      <w:r>
        <w:rPr>
          <w:rStyle w:val="16"/>
          <w:rFonts w:eastAsia="仿宋_GB2312"/>
          <w:b w:val="0"/>
          <w:bCs/>
          <w:color w:val="000000"/>
          <w:sz w:val="32"/>
          <w:szCs w:val="32"/>
        </w:rPr>
        <w:t>完成预算0%。</w:t>
      </w:r>
    </w:p>
    <w:p w14:paraId="57C669FF">
      <w:pPr>
        <w:spacing w:line="560" w:lineRule="exact"/>
        <w:ind w:firstLine="640"/>
        <w:rPr>
          <w:rFonts w:eastAsia="仿宋_GB2312"/>
          <w:color w:val="000000"/>
          <w:sz w:val="32"/>
          <w:szCs w:val="32"/>
        </w:rPr>
      </w:pPr>
      <w:r>
        <w:rPr>
          <w:rFonts w:eastAsia="仿宋_GB2312"/>
          <w:b/>
          <w:color w:val="000000"/>
          <w:sz w:val="32"/>
          <w:szCs w:val="32"/>
        </w:rPr>
        <w:t>3.公务接待费支出</w:t>
      </w:r>
      <w:r>
        <w:rPr>
          <w:rFonts w:eastAsia="仿宋_GB2312"/>
          <w:color w:val="000000"/>
          <w:sz w:val="32"/>
          <w:szCs w:val="32"/>
        </w:rPr>
        <w:t>1万元，</w:t>
      </w:r>
      <w:r>
        <w:rPr>
          <w:rStyle w:val="16"/>
          <w:rFonts w:eastAsia="仿宋_GB2312"/>
          <w:b w:val="0"/>
          <w:bCs/>
          <w:color w:val="000000"/>
          <w:sz w:val="32"/>
          <w:szCs w:val="32"/>
        </w:rPr>
        <w:t>完成预算100%。</w:t>
      </w:r>
      <w:r>
        <w:rPr>
          <w:rFonts w:hAnsi="仿宋_GB2312" w:eastAsia="仿宋_GB2312"/>
          <w:sz w:val="32"/>
          <w:szCs w:val="32"/>
        </w:rPr>
        <w:t>上年无</w:t>
      </w:r>
      <w:r>
        <w:rPr>
          <w:rFonts w:eastAsia="仿宋_GB2312"/>
          <w:sz w:val="32"/>
          <w:szCs w:val="32"/>
        </w:rPr>
        <w:t>“</w:t>
      </w:r>
      <w:r>
        <w:rPr>
          <w:rFonts w:hAnsi="仿宋_GB2312" w:eastAsia="仿宋_GB2312"/>
          <w:sz w:val="32"/>
          <w:szCs w:val="32"/>
        </w:rPr>
        <w:t>三公</w:t>
      </w:r>
      <w:r>
        <w:rPr>
          <w:rFonts w:eastAsia="仿宋_GB2312"/>
          <w:sz w:val="32"/>
          <w:szCs w:val="32"/>
        </w:rPr>
        <w:t>”</w:t>
      </w:r>
      <w:r>
        <w:rPr>
          <w:rFonts w:hAnsi="仿宋_GB2312" w:eastAsia="仿宋_GB2312"/>
          <w:sz w:val="32"/>
          <w:szCs w:val="32"/>
        </w:rPr>
        <w:t>经费支出。</w:t>
      </w:r>
    </w:p>
    <w:p w14:paraId="4B775C4F">
      <w:pPr>
        <w:spacing w:line="560" w:lineRule="exact"/>
        <w:ind w:firstLine="640"/>
        <w:rPr>
          <w:rFonts w:eastAsia="仿宋_GB2312"/>
          <w:color w:val="000000"/>
          <w:sz w:val="32"/>
          <w:szCs w:val="32"/>
        </w:rPr>
      </w:pPr>
      <w:r>
        <w:rPr>
          <w:rFonts w:eastAsia="仿宋_GB2312"/>
          <w:b/>
          <w:color w:val="000000"/>
          <w:sz w:val="32"/>
          <w:szCs w:val="32"/>
        </w:rPr>
        <w:t>国内公务接待支出</w:t>
      </w:r>
      <w:r>
        <w:rPr>
          <w:rFonts w:eastAsia="仿宋_GB2312"/>
          <w:color w:val="000000"/>
          <w:sz w:val="32"/>
          <w:szCs w:val="32"/>
        </w:rPr>
        <w:t>1万元，</w:t>
      </w:r>
      <w:r>
        <w:rPr>
          <w:rFonts w:hAnsi="仿宋_GB2312" w:eastAsia="仿宋_GB2312"/>
          <w:sz w:val="32"/>
          <w:szCs w:val="32"/>
        </w:rPr>
        <w:t>国内公务接待批次</w:t>
      </w:r>
      <w:r>
        <w:rPr>
          <w:rFonts w:eastAsia="仿宋_GB2312"/>
          <w:sz w:val="32"/>
          <w:szCs w:val="32"/>
        </w:rPr>
        <w:t>8</w:t>
      </w:r>
      <w:r>
        <w:rPr>
          <w:rFonts w:hAnsi="仿宋_GB2312" w:eastAsia="仿宋_GB2312"/>
          <w:sz w:val="32"/>
          <w:szCs w:val="32"/>
        </w:rPr>
        <w:t>批次，接待</w:t>
      </w:r>
      <w:r>
        <w:rPr>
          <w:rFonts w:eastAsia="仿宋_GB2312"/>
          <w:sz w:val="32"/>
          <w:szCs w:val="32"/>
        </w:rPr>
        <w:t>109</w:t>
      </w:r>
      <w:r>
        <w:rPr>
          <w:rFonts w:hAnsi="仿宋_GB2312" w:eastAsia="仿宋_GB2312"/>
          <w:sz w:val="32"/>
          <w:szCs w:val="32"/>
        </w:rPr>
        <w:t>人次。</w:t>
      </w:r>
      <w:r>
        <w:rPr>
          <w:rFonts w:eastAsia="仿宋_GB2312"/>
          <w:color w:val="000000"/>
          <w:sz w:val="32"/>
          <w:szCs w:val="32"/>
        </w:rPr>
        <w:t>主要用于上级主管部门执行公务、开展业务活动开支的用餐费等。具体内容包括：</w:t>
      </w:r>
      <w:r>
        <w:rPr>
          <w:rFonts w:hint="eastAsia" w:eastAsia="仿宋_GB2312"/>
          <w:color w:val="000000"/>
          <w:sz w:val="32"/>
          <w:szCs w:val="32"/>
        </w:rPr>
        <w:t>德昌县医保局到米易考察学习</w:t>
      </w:r>
      <w:r>
        <w:rPr>
          <w:rFonts w:eastAsia="仿宋_GB2312"/>
          <w:color w:val="000000"/>
          <w:sz w:val="32"/>
          <w:szCs w:val="32"/>
        </w:rPr>
        <w:t>、</w:t>
      </w:r>
      <w:r>
        <w:rPr>
          <w:rFonts w:hint="eastAsia" w:eastAsia="仿宋_GB2312"/>
          <w:color w:val="000000"/>
          <w:sz w:val="32"/>
          <w:szCs w:val="32"/>
        </w:rPr>
        <w:t>全省医保基金监管专项治理抽查复查工作、渠县医保局到米易考察学习、市医保中心到米易检查督导、市医保中心开展跨统筹地区申请单行支付药品现场检查工作、市医保中心调研医疗保障相关工作、市医保局开展2020年医疗保障基金专项治理督导、市医保中心调研城乡居民医保参保相关工作</w:t>
      </w:r>
      <w:r>
        <w:rPr>
          <w:rFonts w:eastAsia="仿宋_GB2312"/>
          <w:color w:val="000000"/>
          <w:sz w:val="32"/>
          <w:szCs w:val="32"/>
        </w:rPr>
        <w:t>。</w:t>
      </w:r>
    </w:p>
    <w:p w14:paraId="7BF873C9">
      <w:pPr>
        <w:spacing w:line="560" w:lineRule="exact"/>
        <w:ind w:firstLine="643" w:firstLineChars="200"/>
        <w:rPr>
          <w:rFonts w:eastAsia="仿宋_GB2312"/>
          <w:color w:val="000000"/>
          <w:sz w:val="32"/>
          <w:szCs w:val="32"/>
        </w:rPr>
      </w:pPr>
      <w:r>
        <w:rPr>
          <w:rFonts w:eastAsia="仿宋_GB2312"/>
          <w:b/>
          <w:color w:val="000000"/>
          <w:sz w:val="32"/>
          <w:szCs w:val="32"/>
        </w:rPr>
        <w:t>外事接待支出</w:t>
      </w:r>
      <w:r>
        <w:rPr>
          <w:rFonts w:eastAsia="仿宋_GB2312"/>
          <w:color w:val="000000"/>
          <w:sz w:val="32"/>
          <w:szCs w:val="32"/>
        </w:rPr>
        <w:t>0万元</w:t>
      </w:r>
      <w:r>
        <w:rPr>
          <w:rFonts w:eastAsia="仿宋_GB2312"/>
          <w:color w:val="000000" w:themeColor="text1"/>
          <w:sz w:val="32"/>
          <w:szCs w:val="32"/>
        </w:rPr>
        <w:t>。</w:t>
      </w:r>
    </w:p>
    <w:p w14:paraId="60041881">
      <w:pPr>
        <w:spacing w:line="560" w:lineRule="exact"/>
        <w:ind w:firstLine="640"/>
        <w:rPr>
          <w:rStyle w:val="27"/>
          <w:rFonts w:ascii="Times New Roman" w:hAnsi="Times New Roman" w:eastAsia="仿宋_GB2312" w:cs="Times New Roman"/>
          <w:b w:val="0"/>
        </w:rPr>
      </w:pPr>
      <w:r>
        <w:rPr>
          <w:rFonts w:eastAsia="仿宋_GB2312"/>
          <w:b/>
          <w:color w:val="000000"/>
          <w:sz w:val="32"/>
          <w:szCs w:val="32"/>
        </w:rPr>
        <w:t>八、</w:t>
      </w:r>
      <w:r>
        <w:rPr>
          <w:rStyle w:val="27"/>
          <w:rFonts w:ascii="Times New Roman" w:hAnsi="Times New Roman" w:eastAsia="仿宋_GB2312" w:cs="Times New Roman"/>
        </w:rPr>
        <w:t>政府性基金预算支出决算情况说明</w:t>
      </w:r>
      <w:bookmarkEnd w:id="39"/>
      <w:bookmarkEnd w:id="40"/>
    </w:p>
    <w:p w14:paraId="68A67833">
      <w:pPr>
        <w:spacing w:line="560" w:lineRule="exact"/>
        <w:ind w:firstLine="640"/>
        <w:rPr>
          <w:rFonts w:eastAsia="仿宋_GB2312"/>
          <w:color w:val="000000"/>
          <w:sz w:val="32"/>
          <w:szCs w:val="32"/>
        </w:rPr>
      </w:pPr>
      <w:r>
        <w:rPr>
          <w:rFonts w:eastAsia="仿宋_GB2312"/>
          <w:color w:val="000000"/>
          <w:sz w:val="32"/>
          <w:szCs w:val="32"/>
        </w:rPr>
        <w:t>2020年政府性基金预算拨款支出0.39万元。</w:t>
      </w:r>
    </w:p>
    <w:p w14:paraId="5CF4210D">
      <w:pPr>
        <w:spacing w:line="560" w:lineRule="exact"/>
        <w:ind w:left="640"/>
        <w:rPr>
          <w:rStyle w:val="27"/>
          <w:rFonts w:ascii="Times New Roman" w:hAnsi="Times New Roman" w:eastAsia="仿宋_GB2312" w:cs="Times New Roman"/>
        </w:rPr>
      </w:pPr>
      <w:bookmarkStart w:id="42" w:name="_Toc15396611"/>
      <w:bookmarkStart w:id="43" w:name="_Toc15377219"/>
      <w:r>
        <w:rPr>
          <w:rStyle w:val="27"/>
          <w:rFonts w:hint="eastAsia" w:ascii="Times New Roman" w:hAnsi="Times New Roman" w:eastAsia="仿宋_GB2312" w:cs="Times New Roman"/>
        </w:rPr>
        <w:t>九、</w:t>
      </w:r>
      <w:r>
        <w:rPr>
          <w:rStyle w:val="27"/>
          <w:rFonts w:ascii="Times New Roman" w:hAnsi="Times New Roman" w:eastAsia="仿宋_GB2312" w:cs="Times New Roman"/>
        </w:rPr>
        <w:t>国有资本经营预算支出决算情况说明</w:t>
      </w:r>
      <w:bookmarkEnd w:id="42"/>
      <w:bookmarkEnd w:id="43"/>
    </w:p>
    <w:p w14:paraId="2570DDFC">
      <w:pPr>
        <w:spacing w:line="560" w:lineRule="exact"/>
        <w:ind w:firstLine="640"/>
        <w:rPr>
          <w:rFonts w:eastAsia="仿宋_GB2312"/>
          <w:sz w:val="32"/>
          <w:szCs w:val="32"/>
        </w:rPr>
      </w:pPr>
      <w:r>
        <w:rPr>
          <w:rFonts w:eastAsia="仿宋_GB2312"/>
          <w:color w:val="000000"/>
          <w:sz w:val="32"/>
          <w:szCs w:val="32"/>
        </w:rPr>
        <w:t>2020年国有资本经营预算拨款支出0万元。</w:t>
      </w:r>
    </w:p>
    <w:p w14:paraId="557C4822">
      <w:pPr>
        <w:spacing w:line="560" w:lineRule="exact"/>
        <w:ind w:firstLine="726" w:firstLineChars="226"/>
        <w:rPr>
          <w:rStyle w:val="27"/>
          <w:rFonts w:ascii="Times New Roman" w:hAnsi="Times New Roman" w:eastAsia="仿宋_GB2312" w:cs="Times New Roman"/>
        </w:rPr>
      </w:pPr>
      <w:bookmarkStart w:id="44" w:name="_Toc15377221"/>
      <w:bookmarkStart w:id="45" w:name="_Toc15396612"/>
      <w:r>
        <w:rPr>
          <w:rFonts w:eastAsia="仿宋_GB2312"/>
          <w:b/>
          <w:color w:val="000000"/>
          <w:sz w:val="32"/>
          <w:szCs w:val="32"/>
        </w:rPr>
        <w:t>十</w:t>
      </w:r>
      <w:r>
        <w:rPr>
          <w:rStyle w:val="27"/>
          <w:rFonts w:ascii="Times New Roman" w:hAnsi="Times New Roman" w:eastAsia="仿宋_GB2312" w:cs="Times New Roman"/>
        </w:rPr>
        <w:t>、其他重要事项的情况说明</w:t>
      </w:r>
      <w:bookmarkEnd w:id="44"/>
      <w:bookmarkEnd w:id="45"/>
    </w:p>
    <w:p w14:paraId="5116DF76">
      <w:pPr>
        <w:spacing w:line="560" w:lineRule="exact"/>
        <w:ind w:firstLine="643" w:firstLineChars="200"/>
        <w:rPr>
          <w:rFonts w:eastAsia="仿宋_GB2312"/>
          <w:color w:val="000000"/>
          <w:sz w:val="32"/>
          <w:szCs w:val="32"/>
        </w:rPr>
      </w:pPr>
      <w:bookmarkStart w:id="46" w:name="_Toc15377222"/>
      <w:r>
        <w:rPr>
          <w:rFonts w:eastAsia="仿宋_GB2312"/>
          <w:b/>
          <w:color w:val="000000"/>
          <w:sz w:val="32"/>
          <w:szCs w:val="32"/>
        </w:rPr>
        <w:t>（一）机关运行经费支出情况</w:t>
      </w:r>
      <w:bookmarkEnd w:id="46"/>
    </w:p>
    <w:p w14:paraId="4948A05E">
      <w:pPr>
        <w:spacing w:line="560" w:lineRule="exact"/>
        <w:ind w:firstLine="640" w:firstLineChars="200"/>
        <w:rPr>
          <w:rFonts w:eastAsia="仿宋_GB2312"/>
          <w:color w:val="000000" w:themeColor="text1"/>
          <w:sz w:val="32"/>
          <w:szCs w:val="32"/>
        </w:rPr>
      </w:pPr>
      <w:r>
        <w:rPr>
          <w:rFonts w:eastAsia="仿宋_GB2312"/>
          <w:color w:val="000000"/>
          <w:sz w:val="32"/>
          <w:szCs w:val="32"/>
        </w:rPr>
        <w:t>2019年，县医疗保障局机关运行经费支出30.97万元。比2019年增加27.39万元，增长765.08%。主要变动原因是2020年县</w:t>
      </w:r>
      <w:r>
        <w:rPr>
          <w:rFonts w:hAnsi="仿宋_GB2312" w:eastAsia="仿宋_GB2312"/>
          <w:sz w:val="32"/>
          <w:szCs w:val="32"/>
        </w:rPr>
        <w:t>医保事务中心与医保局合并为一个财务账套。</w:t>
      </w:r>
    </w:p>
    <w:p w14:paraId="7FCC8096">
      <w:pPr>
        <w:autoSpaceDE w:val="0"/>
        <w:autoSpaceDN w:val="0"/>
        <w:spacing w:line="560" w:lineRule="exact"/>
        <w:ind w:firstLine="643" w:firstLineChars="200"/>
        <w:rPr>
          <w:rFonts w:eastAsia="仿宋_GB2312"/>
          <w:b/>
          <w:color w:val="000000"/>
          <w:sz w:val="32"/>
          <w:szCs w:val="32"/>
        </w:rPr>
      </w:pPr>
      <w:bookmarkStart w:id="47" w:name="_Toc15377223"/>
      <w:r>
        <w:rPr>
          <w:rFonts w:eastAsia="仿宋_GB2312"/>
          <w:b/>
          <w:color w:val="000000"/>
          <w:sz w:val="32"/>
          <w:szCs w:val="32"/>
        </w:rPr>
        <w:t>（二）政府采购支出情况</w:t>
      </w:r>
      <w:bookmarkEnd w:id="47"/>
    </w:p>
    <w:p w14:paraId="461F87C8">
      <w:pPr>
        <w:spacing w:line="560" w:lineRule="exact"/>
        <w:ind w:firstLine="640" w:firstLineChars="200"/>
        <w:rPr>
          <w:rFonts w:eastAsia="仿宋_GB2312"/>
          <w:color w:val="000000"/>
          <w:sz w:val="32"/>
          <w:szCs w:val="32"/>
        </w:rPr>
      </w:pPr>
      <w:r>
        <w:rPr>
          <w:rFonts w:eastAsia="仿宋_GB2312"/>
          <w:color w:val="000000"/>
          <w:sz w:val="32"/>
          <w:szCs w:val="32"/>
        </w:rPr>
        <w:t>2020年，县医疗保障局政府采购支出总额0万元。</w:t>
      </w:r>
    </w:p>
    <w:p w14:paraId="50BCEE26">
      <w:pPr>
        <w:autoSpaceDE w:val="0"/>
        <w:autoSpaceDN w:val="0"/>
        <w:spacing w:line="560" w:lineRule="exact"/>
        <w:ind w:firstLine="643" w:firstLineChars="200"/>
        <w:rPr>
          <w:rFonts w:eastAsia="仿宋_GB2312"/>
          <w:b/>
          <w:color w:val="000000"/>
          <w:sz w:val="32"/>
          <w:szCs w:val="32"/>
        </w:rPr>
      </w:pPr>
      <w:bookmarkStart w:id="48" w:name="_Toc15377224"/>
      <w:r>
        <w:rPr>
          <w:rFonts w:eastAsia="仿宋_GB2312"/>
          <w:b/>
          <w:color w:val="000000"/>
          <w:sz w:val="32"/>
          <w:szCs w:val="32"/>
        </w:rPr>
        <w:t>（三）国有资产占有使用情况</w:t>
      </w:r>
      <w:bookmarkEnd w:id="48"/>
    </w:p>
    <w:p w14:paraId="66DCA83C">
      <w:pPr>
        <w:autoSpaceDE w:val="0"/>
        <w:autoSpaceDN w:val="0"/>
        <w:spacing w:line="560" w:lineRule="exact"/>
        <w:ind w:firstLine="640" w:firstLineChars="200"/>
        <w:rPr>
          <w:rFonts w:eastAsia="仿宋_GB2312"/>
          <w:b/>
          <w:color w:val="FF0000"/>
          <w:sz w:val="32"/>
          <w:szCs w:val="32"/>
        </w:rPr>
      </w:pPr>
      <w:r>
        <w:rPr>
          <w:rFonts w:eastAsia="仿宋_GB2312"/>
          <w:color w:val="000000"/>
          <w:sz w:val="32"/>
          <w:szCs w:val="32"/>
        </w:rPr>
        <w:t>截至2020年12月31日，县医疗保障局共有车辆0辆。</w:t>
      </w:r>
      <w:r>
        <w:rPr>
          <w:rFonts w:eastAsia="仿宋_GB2312"/>
          <w:color w:val="000000" w:themeColor="text1"/>
          <w:sz w:val="32"/>
          <w:szCs w:val="32"/>
        </w:rPr>
        <w:t>单价50万元以上通用设备0台（套），单价100</w:t>
      </w:r>
      <w:r>
        <w:rPr>
          <w:rFonts w:eastAsia="仿宋_GB2312"/>
          <w:color w:val="000000"/>
          <w:sz w:val="32"/>
          <w:szCs w:val="32"/>
        </w:rPr>
        <w:t>万元以上专用设备0台（套）。</w:t>
      </w:r>
    </w:p>
    <w:p w14:paraId="08626302">
      <w:pPr>
        <w:autoSpaceDE w:val="0"/>
        <w:autoSpaceDN w:val="0"/>
        <w:spacing w:line="560" w:lineRule="exact"/>
        <w:ind w:firstLine="643" w:firstLineChars="200"/>
        <w:rPr>
          <w:rFonts w:eastAsia="仿宋_GB2312"/>
          <w:b/>
          <w:color w:val="000000"/>
          <w:sz w:val="32"/>
          <w:szCs w:val="32"/>
        </w:rPr>
      </w:pPr>
      <w:r>
        <w:rPr>
          <w:rFonts w:eastAsia="仿宋_GB2312"/>
          <w:b/>
          <w:color w:val="000000"/>
          <w:sz w:val="32"/>
          <w:szCs w:val="32"/>
        </w:rPr>
        <w:t>（四）预算绩效管理情况。</w:t>
      </w:r>
    </w:p>
    <w:p w14:paraId="01E389C1">
      <w:pPr>
        <w:spacing w:line="560" w:lineRule="exact"/>
        <w:ind w:firstLine="640" w:firstLineChars="200"/>
        <w:rPr>
          <w:rFonts w:eastAsia="仿宋_GB2312"/>
          <w:sz w:val="32"/>
          <w:szCs w:val="32"/>
        </w:rPr>
      </w:pPr>
      <w:r>
        <w:rPr>
          <w:rFonts w:hAnsi="仿宋_GB2312" w:eastAsia="仿宋_GB2312"/>
          <w:sz w:val="32"/>
          <w:szCs w:val="32"/>
        </w:rPr>
        <w:t>根据预算绩效管理要求，本部门（单位）在年初预算编制阶段，组织对医保专项工作经费、办公室物业管理费、</w:t>
      </w:r>
      <w:r>
        <w:rPr>
          <w:rFonts w:eastAsia="仿宋_GB2312"/>
          <w:sz w:val="32"/>
          <w:szCs w:val="32"/>
        </w:rPr>
        <w:t>“</w:t>
      </w:r>
      <w:r>
        <w:rPr>
          <w:rFonts w:hAnsi="仿宋_GB2312" w:eastAsia="仿宋_GB2312"/>
          <w:sz w:val="32"/>
          <w:szCs w:val="32"/>
        </w:rPr>
        <w:t>村医通</w:t>
      </w:r>
      <w:r>
        <w:rPr>
          <w:rFonts w:eastAsia="仿宋_GB2312"/>
          <w:sz w:val="32"/>
          <w:szCs w:val="32"/>
        </w:rPr>
        <w:t>”</w:t>
      </w:r>
      <w:r>
        <w:rPr>
          <w:rFonts w:hAnsi="仿宋_GB2312" w:eastAsia="仿宋_GB2312"/>
          <w:sz w:val="32"/>
          <w:szCs w:val="32"/>
        </w:rPr>
        <w:t>专项工作经费、休干部、二等乙级伤残军人和伤残人民警察、建国初期参加革命工作人员医疗费用</w:t>
      </w:r>
      <w:r>
        <w:rPr>
          <w:rFonts w:eastAsia="仿宋_GB2312"/>
          <w:sz w:val="32"/>
          <w:szCs w:val="32"/>
        </w:rPr>
        <w:t>4</w:t>
      </w:r>
      <w:r>
        <w:rPr>
          <w:rFonts w:hAnsi="仿宋_GB2312" w:eastAsia="仿宋_GB2312"/>
          <w:sz w:val="32"/>
          <w:szCs w:val="32"/>
        </w:rPr>
        <w:t>个项目开展了预算事前绩效评估，对</w:t>
      </w:r>
      <w:r>
        <w:rPr>
          <w:rFonts w:eastAsia="仿宋_GB2312"/>
          <w:sz w:val="32"/>
          <w:szCs w:val="32"/>
        </w:rPr>
        <w:t>4</w:t>
      </w:r>
      <w:r>
        <w:rPr>
          <w:rFonts w:hAnsi="仿宋_GB2312" w:eastAsia="仿宋_GB2312"/>
          <w:sz w:val="32"/>
          <w:szCs w:val="32"/>
        </w:rPr>
        <w:t>个项目编制了绩效目标，预算执行过程中，选取</w:t>
      </w:r>
      <w:r>
        <w:rPr>
          <w:rFonts w:eastAsia="仿宋_GB2312"/>
          <w:sz w:val="32"/>
          <w:szCs w:val="32"/>
        </w:rPr>
        <w:t>4</w:t>
      </w:r>
      <w:r>
        <w:rPr>
          <w:rFonts w:hAnsi="仿宋_GB2312" w:eastAsia="仿宋_GB2312"/>
          <w:sz w:val="32"/>
          <w:szCs w:val="32"/>
        </w:rPr>
        <w:t>个项目开展绩效监控，年终执行完毕后，对</w:t>
      </w:r>
      <w:r>
        <w:rPr>
          <w:rFonts w:eastAsia="仿宋_GB2312"/>
          <w:sz w:val="32"/>
          <w:szCs w:val="32"/>
        </w:rPr>
        <w:t>4</w:t>
      </w:r>
      <w:r>
        <w:rPr>
          <w:rFonts w:hAnsi="仿宋_GB2312" w:eastAsia="仿宋_GB2312"/>
          <w:sz w:val="32"/>
          <w:szCs w:val="32"/>
        </w:rPr>
        <w:t>个项目开展了绩效目标完成情况自评。</w:t>
      </w:r>
    </w:p>
    <w:p w14:paraId="2B20B1D2">
      <w:pPr>
        <w:spacing w:line="560" w:lineRule="exact"/>
        <w:ind w:firstLine="640" w:firstLineChars="200"/>
        <w:rPr>
          <w:rFonts w:eastAsia="仿宋_GB2312"/>
          <w:color w:val="000000"/>
          <w:sz w:val="32"/>
          <w:szCs w:val="32"/>
        </w:rPr>
      </w:pPr>
      <w:r>
        <w:rPr>
          <w:rFonts w:hAnsi="仿宋_GB2312" w:eastAsia="仿宋_GB2312"/>
          <w:sz w:val="32"/>
          <w:szCs w:val="32"/>
        </w:rPr>
        <w:t>本部门按要求对</w:t>
      </w:r>
      <w:r>
        <w:rPr>
          <w:rFonts w:eastAsia="仿宋_GB2312"/>
          <w:sz w:val="32"/>
          <w:szCs w:val="32"/>
        </w:rPr>
        <w:t>2020</w:t>
      </w:r>
      <w:r>
        <w:rPr>
          <w:rFonts w:hAnsi="仿宋_GB2312" w:eastAsia="仿宋_GB2312"/>
          <w:sz w:val="32"/>
          <w:szCs w:val="32"/>
        </w:rPr>
        <w:t>年部门整体支出开展绩效自评，从评价情况来看</w:t>
      </w:r>
      <w:r>
        <w:rPr>
          <w:rFonts w:hAnsi="仿宋_GB2312" w:eastAsia="仿宋_GB2312"/>
          <w:color w:val="000000"/>
          <w:sz w:val="32"/>
          <w:szCs w:val="32"/>
        </w:rPr>
        <w:t>全面完成</w:t>
      </w:r>
      <w:r>
        <w:rPr>
          <w:rFonts w:eastAsia="仿宋_GB2312"/>
          <w:color w:val="000000"/>
          <w:sz w:val="32"/>
          <w:szCs w:val="32"/>
        </w:rPr>
        <w:t>2020</w:t>
      </w:r>
      <w:r>
        <w:rPr>
          <w:rFonts w:hAnsi="仿宋_GB2312" w:eastAsia="仿宋_GB2312"/>
          <w:color w:val="000000"/>
          <w:sz w:val="32"/>
          <w:szCs w:val="32"/>
        </w:rPr>
        <w:t>年度城乡居民医疗保险参保工作</w:t>
      </w:r>
      <w:r>
        <w:rPr>
          <w:rFonts w:eastAsia="仿宋_GB2312"/>
          <w:color w:val="000000"/>
          <w:sz w:val="32"/>
          <w:szCs w:val="32"/>
        </w:rPr>
        <w:t xml:space="preserve"> ,</w:t>
      </w:r>
      <w:r>
        <w:rPr>
          <w:rFonts w:hAnsi="仿宋_GB2312" w:eastAsia="仿宋_GB2312"/>
          <w:color w:val="000000"/>
          <w:sz w:val="32"/>
          <w:szCs w:val="32"/>
        </w:rPr>
        <w:t>完成</w:t>
      </w:r>
      <w:r>
        <w:rPr>
          <w:rFonts w:eastAsia="仿宋_GB2312"/>
          <w:color w:val="000000"/>
          <w:sz w:val="32"/>
          <w:szCs w:val="32"/>
        </w:rPr>
        <w:t>2.18万人</w:t>
      </w:r>
      <w:r>
        <w:rPr>
          <w:rFonts w:hAnsi="仿宋_GB2312" w:eastAsia="仿宋_GB2312"/>
          <w:color w:val="000000"/>
          <w:sz w:val="32"/>
          <w:szCs w:val="32"/>
        </w:rPr>
        <w:t>的城乡居民医疗保险的参保工作，征收医保基金</w:t>
      </w:r>
      <w:r>
        <w:rPr>
          <w:rStyle w:val="36"/>
          <w:rFonts w:hint="default" w:ascii="Times New Roman"/>
        </w:rPr>
        <w:t>10909.11</w:t>
      </w:r>
      <w:r>
        <w:rPr>
          <w:rFonts w:hAnsi="仿宋_GB2312" w:eastAsia="仿宋_GB2312"/>
          <w:color w:val="000000"/>
          <w:sz w:val="32"/>
          <w:szCs w:val="32"/>
        </w:rPr>
        <w:t>万元。</w:t>
      </w:r>
      <w:r>
        <w:rPr>
          <w:rFonts w:eastAsia="仿宋_GB2312"/>
          <w:color w:val="000000"/>
          <w:sz w:val="32"/>
          <w:szCs w:val="32"/>
        </w:rPr>
        <w:t>落实参保扩面工作，2020年共有</w:t>
      </w:r>
      <w:r>
        <w:rPr>
          <w:rStyle w:val="36"/>
          <w:rFonts w:hint="default" w:ascii="Times New Roman"/>
        </w:rPr>
        <w:t>190015</w:t>
      </w:r>
      <w:r>
        <w:rPr>
          <w:rFonts w:eastAsia="仿宋_GB2312"/>
          <w:color w:val="000000"/>
          <w:sz w:val="32"/>
          <w:szCs w:val="32"/>
        </w:rPr>
        <w:t>人参加城乡居民医疗保险，征收参保资金5044.36万元，参保率达98%。离休干部、二等乙级伤残军人和伤残人民警察、建国初期参加革命工作人员医疗费用支出126.13万元。全面落实“一单制结算、一窗口办理、一站式服务”的医保改革服务工作。审核18.24万人次的城镇职工住院费用，支付医保基金3042万元，审核4.29万人次的城乡居民住院费用，支付医保基金9652万元。</w:t>
      </w:r>
      <w:r>
        <w:rPr>
          <w:rFonts w:hAnsi="仿宋_GB2312" w:eastAsia="仿宋_GB2312"/>
          <w:color w:val="000000"/>
          <w:sz w:val="32"/>
          <w:szCs w:val="32"/>
        </w:rPr>
        <w:t>通过基本医保、大病（补充）保险、医保扶贫等各项政策落地落实和各项待遇的及时兑付，切实增强参保群众的获得感和幸福感。</w:t>
      </w:r>
    </w:p>
    <w:p w14:paraId="7E417EFD">
      <w:pPr>
        <w:spacing w:line="560" w:lineRule="exact"/>
        <w:ind w:firstLine="640" w:firstLineChars="200"/>
        <w:rPr>
          <w:rFonts w:eastAsia="仿宋_GB2312"/>
          <w:b/>
          <w:sz w:val="32"/>
          <w:szCs w:val="32"/>
        </w:rPr>
      </w:pPr>
      <w:r>
        <w:rPr>
          <w:rFonts w:hAnsi="仿宋_GB2312" w:eastAsia="仿宋_GB2312"/>
          <w:sz w:val="32"/>
          <w:szCs w:val="32"/>
        </w:rPr>
        <w:t>本部门还自行组织了</w:t>
      </w:r>
      <w:r>
        <w:rPr>
          <w:rFonts w:hint="eastAsia" w:hAnsi="仿宋_GB2312" w:eastAsia="仿宋_GB2312"/>
          <w:sz w:val="32"/>
          <w:szCs w:val="32"/>
        </w:rPr>
        <w:t>城乡医疗救助补助资金</w:t>
      </w:r>
      <w:r>
        <w:rPr>
          <w:rFonts w:eastAsia="仿宋_GB2312"/>
          <w:sz w:val="32"/>
          <w:szCs w:val="32"/>
        </w:rPr>
        <w:t>1</w:t>
      </w:r>
      <w:r>
        <w:rPr>
          <w:rFonts w:hAnsi="仿宋_GB2312" w:eastAsia="仿宋_GB2312"/>
          <w:sz w:val="32"/>
          <w:szCs w:val="32"/>
        </w:rPr>
        <w:t>个项目支出绩效评价，从评价情况来看</w:t>
      </w:r>
      <w:r>
        <w:rPr>
          <w:rFonts w:hint="eastAsia" w:hAnsi="仿宋_GB2312" w:eastAsia="仿宋_GB2312"/>
          <w:sz w:val="32"/>
          <w:szCs w:val="32"/>
        </w:rPr>
        <w:t>持续</w:t>
      </w:r>
      <w:r>
        <w:rPr>
          <w:rFonts w:hAnsi="仿宋_GB2312" w:eastAsia="仿宋_GB2312"/>
          <w:sz w:val="32"/>
          <w:szCs w:val="32"/>
        </w:rPr>
        <w:t>保障</w:t>
      </w:r>
      <w:r>
        <w:rPr>
          <w:rFonts w:hint="eastAsia" w:hAnsi="仿宋_GB2312" w:eastAsia="仿宋_GB2312"/>
          <w:sz w:val="32"/>
          <w:szCs w:val="32"/>
        </w:rPr>
        <w:t>了困难群众参保资助工作；重点救助对象自付医疗费用按规定年度限额内住院救助比例达到70%；年度救助对象人次符合客观需要，</w:t>
      </w:r>
      <w:r>
        <w:rPr>
          <w:rFonts w:hAnsi="仿宋_GB2312" w:eastAsia="仿宋_GB2312"/>
          <w:sz w:val="32"/>
          <w:szCs w:val="32"/>
        </w:rPr>
        <w:t>进一步减轻</w:t>
      </w:r>
      <w:r>
        <w:rPr>
          <w:rFonts w:hint="eastAsia" w:hAnsi="仿宋_GB2312" w:eastAsia="仿宋_GB2312"/>
          <w:sz w:val="32"/>
          <w:szCs w:val="32"/>
        </w:rPr>
        <w:t>困难群众</w:t>
      </w:r>
      <w:r>
        <w:rPr>
          <w:rFonts w:hAnsi="仿宋_GB2312" w:eastAsia="仿宋_GB2312"/>
          <w:sz w:val="32"/>
          <w:szCs w:val="32"/>
        </w:rPr>
        <w:t>医疗费用负担，防止因病致贫、因病返贫。</w:t>
      </w:r>
    </w:p>
    <w:p w14:paraId="57E15344">
      <w:pPr>
        <w:spacing w:line="560" w:lineRule="exact"/>
        <w:ind w:firstLine="643" w:firstLineChars="200"/>
        <w:rPr>
          <w:rFonts w:eastAsia="仿宋_GB2312"/>
          <w:sz w:val="32"/>
          <w:szCs w:val="32"/>
        </w:rPr>
      </w:pPr>
      <w:r>
        <w:rPr>
          <w:rFonts w:eastAsia="仿宋_GB2312"/>
          <w:b/>
          <w:sz w:val="32"/>
          <w:szCs w:val="32"/>
        </w:rPr>
        <w:t>1.项目绩效目标完成情况。</w:t>
      </w:r>
      <w:r>
        <w:rPr>
          <w:rFonts w:eastAsia="仿宋_GB2312"/>
          <w:sz w:val="32"/>
          <w:szCs w:val="32"/>
        </w:rPr>
        <w:br w:type="textWrapping"/>
      </w:r>
      <w:r>
        <w:rPr>
          <w:rFonts w:eastAsia="仿宋_GB2312"/>
          <w:sz w:val="32"/>
          <w:szCs w:val="32"/>
        </w:rPr>
        <w:t xml:space="preserve">    </w:t>
      </w:r>
      <w:r>
        <w:rPr>
          <w:rFonts w:hAnsi="仿宋_GB2312" w:eastAsia="仿宋_GB2312"/>
          <w:sz w:val="32"/>
          <w:szCs w:val="32"/>
        </w:rPr>
        <w:t>本部门在</w:t>
      </w:r>
      <w:r>
        <w:rPr>
          <w:rFonts w:eastAsia="仿宋_GB2312"/>
          <w:sz w:val="32"/>
          <w:szCs w:val="32"/>
        </w:rPr>
        <w:t>2020</w:t>
      </w:r>
      <w:r>
        <w:rPr>
          <w:rFonts w:hAnsi="仿宋_GB2312" w:eastAsia="仿宋_GB2312"/>
          <w:sz w:val="32"/>
          <w:szCs w:val="32"/>
        </w:rPr>
        <w:t>年度部门决算中反映</w:t>
      </w:r>
      <w:r>
        <w:rPr>
          <w:rFonts w:eastAsia="仿宋_GB2312"/>
          <w:sz w:val="32"/>
          <w:szCs w:val="32"/>
        </w:rPr>
        <w:t>“</w:t>
      </w:r>
      <w:r>
        <w:rPr>
          <w:rFonts w:hAnsi="仿宋_GB2312" w:eastAsia="仿宋_GB2312"/>
          <w:sz w:val="32"/>
          <w:szCs w:val="32"/>
        </w:rPr>
        <w:t>医保专项工作经费</w:t>
      </w:r>
      <w:r>
        <w:rPr>
          <w:rFonts w:eastAsia="仿宋_GB2312"/>
          <w:sz w:val="32"/>
          <w:szCs w:val="32"/>
        </w:rPr>
        <w:t>”</w:t>
      </w:r>
      <w:r>
        <w:rPr>
          <w:rFonts w:hAnsi="仿宋_GB2312" w:eastAsia="仿宋_GB2312"/>
          <w:sz w:val="32"/>
          <w:szCs w:val="32"/>
        </w:rPr>
        <w:t>、</w:t>
      </w:r>
      <w:r>
        <w:rPr>
          <w:rFonts w:eastAsia="仿宋_GB2312"/>
          <w:sz w:val="32"/>
          <w:szCs w:val="32"/>
        </w:rPr>
        <w:t>“</w:t>
      </w:r>
      <w:r>
        <w:rPr>
          <w:rFonts w:hAnsi="仿宋_GB2312" w:eastAsia="仿宋_GB2312"/>
          <w:sz w:val="32"/>
          <w:szCs w:val="32"/>
        </w:rPr>
        <w:t>办公室物业管理费</w:t>
      </w:r>
      <w:r>
        <w:rPr>
          <w:rFonts w:eastAsia="仿宋_GB2312"/>
          <w:sz w:val="32"/>
          <w:szCs w:val="32"/>
        </w:rPr>
        <w:t>”</w:t>
      </w:r>
      <w:r>
        <w:rPr>
          <w:rFonts w:hAnsi="仿宋_GB2312" w:eastAsia="仿宋_GB2312"/>
          <w:sz w:val="32"/>
          <w:szCs w:val="32"/>
        </w:rPr>
        <w:t>、</w:t>
      </w:r>
      <w:r>
        <w:rPr>
          <w:rFonts w:eastAsia="仿宋_GB2312"/>
          <w:sz w:val="32"/>
          <w:szCs w:val="32"/>
        </w:rPr>
        <w:t>“‘</w:t>
      </w:r>
      <w:r>
        <w:rPr>
          <w:rFonts w:hAnsi="仿宋_GB2312" w:eastAsia="仿宋_GB2312"/>
          <w:sz w:val="32"/>
          <w:szCs w:val="32"/>
        </w:rPr>
        <w:t>村医通</w:t>
      </w:r>
      <w:r>
        <w:rPr>
          <w:rFonts w:eastAsia="仿宋_GB2312"/>
          <w:sz w:val="32"/>
          <w:szCs w:val="32"/>
        </w:rPr>
        <w:t>’</w:t>
      </w:r>
      <w:r>
        <w:rPr>
          <w:rFonts w:hAnsi="仿宋_GB2312" w:eastAsia="仿宋_GB2312"/>
          <w:sz w:val="32"/>
          <w:szCs w:val="32"/>
        </w:rPr>
        <w:t>专项工作经费</w:t>
      </w:r>
      <w:r>
        <w:rPr>
          <w:rFonts w:eastAsia="仿宋_GB2312"/>
          <w:sz w:val="32"/>
          <w:szCs w:val="32"/>
        </w:rPr>
        <w:t>”</w:t>
      </w:r>
      <w:r>
        <w:rPr>
          <w:rFonts w:hAnsi="仿宋_GB2312" w:eastAsia="仿宋_GB2312"/>
          <w:sz w:val="32"/>
          <w:szCs w:val="32"/>
        </w:rPr>
        <w:t>、</w:t>
      </w:r>
      <w:r>
        <w:rPr>
          <w:rFonts w:eastAsia="仿宋_GB2312"/>
          <w:sz w:val="32"/>
          <w:szCs w:val="32"/>
        </w:rPr>
        <w:t>“</w:t>
      </w:r>
      <w:r>
        <w:rPr>
          <w:rFonts w:hAnsi="仿宋_GB2312" w:eastAsia="仿宋_GB2312"/>
          <w:sz w:val="32"/>
          <w:szCs w:val="32"/>
        </w:rPr>
        <w:t>离休干部、二等乙级伤残军人和伤残人民警察、建国初期参加革命工作人员医疗费用</w:t>
      </w:r>
      <w:r>
        <w:rPr>
          <w:rFonts w:eastAsia="仿宋_GB2312"/>
          <w:sz w:val="32"/>
          <w:szCs w:val="32"/>
        </w:rPr>
        <w:t>”4</w:t>
      </w:r>
      <w:r>
        <w:rPr>
          <w:rFonts w:hAnsi="仿宋_GB2312" w:eastAsia="仿宋_GB2312"/>
          <w:sz w:val="32"/>
          <w:szCs w:val="32"/>
        </w:rPr>
        <w:t>个项目绩效目标实际完成情况。</w:t>
      </w:r>
    </w:p>
    <w:p w14:paraId="4CF8E9E7">
      <w:pPr>
        <w:pStyle w:val="25"/>
        <w:spacing w:line="560" w:lineRule="exact"/>
        <w:ind w:firstLine="640"/>
        <w:rPr>
          <w:rFonts w:eastAsia="仿宋_GB2312"/>
          <w:color w:val="000000"/>
          <w:sz w:val="32"/>
          <w:szCs w:val="32"/>
        </w:rPr>
      </w:pPr>
      <w:r>
        <w:rPr>
          <w:rFonts w:eastAsia="仿宋_GB2312"/>
          <w:color w:val="000000"/>
          <w:sz w:val="32"/>
          <w:szCs w:val="32"/>
        </w:rPr>
        <w:t>（1）医保专项支出预算下达11.7万元，执行数为11万元，完成预算94.01%。完成了医保征收、医保支付方式改革工作，重点推行按疾病诊断相关分组与点数法相结合付费方式改革。完成各项医疗保险待遇审核结算、工伤生育保险核定及待遇审核支付，定点药店刷卡审核结算，做好医保经办风险防控工作。</w:t>
      </w:r>
    </w:p>
    <w:p w14:paraId="1E1D79C8">
      <w:pPr>
        <w:pStyle w:val="25"/>
        <w:spacing w:line="560" w:lineRule="exact"/>
        <w:ind w:firstLine="640"/>
        <w:rPr>
          <w:rFonts w:eastAsia="仿宋_GB2312"/>
          <w:color w:val="000000"/>
          <w:sz w:val="32"/>
          <w:szCs w:val="32"/>
        </w:rPr>
      </w:pPr>
      <w:r>
        <w:rPr>
          <w:rFonts w:eastAsia="仿宋_GB2312"/>
          <w:color w:val="000000"/>
          <w:sz w:val="32"/>
          <w:szCs w:val="32"/>
        </w:rPr>
        <w:t>（2）“村医通”专项支出预算下达6.5万元，执行1.23万元，完成预算18.92%。保障28</w:t>
      </w:r>
      <w:r>
        <w:rPr>
          <w:rFonts w:hAnsi="仿宋_GB2312" w:eastAsia="仿宋_GB2312"/>
          <w:color w:val="000000"/>
          <w:sz w:val="32"/>
          <w:szCs w:val="32"/>
        </w:rPr>
        <w:t>个贫困</w:t>
      </w:r>
      <w:r>
        <w:rPr>
          <w:rFonts w:eastAsia="仿宋_GB2312"/>
          <w:color w:val="000000"/>
          <w:sz w:val="32"/>
          <w:szCs w:val="32"/>
        </w:rPr>
        <w:t>村卫生室医保就医结算业务能够正常办理，切实解决偏远地区老百姓普通门诊医疗费用报销问题</w:t>
      </w:r>
      <w:r>
        <w:rPr>
          <w:rFonts w:hAnsi="仿宋_GB2312" w:eastAsia="仿宋_GB2312"/>
          <w:bCs/>
          <w:color w:val="000000"/>
          <w:sz w:val="32"/>
          <w:szCs w:val="32"/>
        </w:rPr>
        <w:t>。</w:t>
      </w:r>
    </w:p>
    <w:p w14:paraId="788B2C22">
      <w:pPr>
        <w:pStyle w:val="25"/>
        <w:spacing w:line="560" w:lineRule="exact"/>
        <w:ind w:firstLine="640"/>
        <w:rPr>
          <w:rFonts w:eastAsia="仿宋_GB2312"/>
          <w:color w:val="000000"/>
          <w:sz w:val="32"/>
          <w:szCs w:val="32"/>
        </w:rPr>
      </w:pPr>
      <w:r>
        <w:rPr>
          <w:rFonts w:eastAsia="仿宋_GB2312"/>
          <w:color w:val="000000"/>
          <w:sz w:val="32"/>
          <w:szCs w:val="32"/>
        </w:rPr>
        <w:t>（3）离休干部、二等乙级伤残军人和伤残人民警察、建国初期参加革命工作人员医疗费用预算下达150万元，执行126.13万元，完成预算84.09%。为离休，二乙，建国初期特殊人员门诊报销588人次，住院报销104人次，确保了全县离休干部、二等乙级伤残人员、建国初期参加革命工作人员的医疗费用足额安排拨付。</w:t>
      </w:r>
    </w:p>
    <w:p w14:paraId="472CB44D">
      <w:pPr>
        <w:pStyle w:val="25"/>
        <w:spacing w:line="560" w:lineRule="exact"/>
        <w:ind w:firstLine="640"/>
        <w:rPr>
          <w:rFonts w:eastAsia="仿宋_GB2312"/>
          <w:color w:val="000000"/>
          <w:sz w:val="32"/>
          <w:szCs w:val="32"/>
        </w:rPr>
      </w:pPr>
      <w:r>
        <w:rPr>
          <w:rFonts w:eastAsia="仿宋_GB2312"/>
          <w:color w:val="000000"/>
          <w:sz w:val="32"/>
          <w:szCs w:val="32"/>
        </w:rPr>
        <w:t>（4）办公室物业管理费预算下达6.5万元，执行6.5万元，完成预算100%。为办事群众及工作人员提供办事区域安全保卫、绿化、环卫、车辆管理等。</w:t>
      </w:r>
    </w:p>
    <w:p w14:paraId="30EAE4D8">
      <w:pPr>
        <w:spacing w:line="560" w:lineRule="exact"/>
        <w:ind w:firstLine="643" w:firstLineChars="200"/>
        <w:rPr>
          <w:rFonts w:eastAsia="仿宋_GB2312"/>
          <w:sz w:val="32"/>
          <w:szCs w:val="32"/>
        </w:rPr>
      </w:pPr>
      <w:r>
        <w:rPr>
          <w:rFonts w:eastAsia="仿宋_GB2312"/>
          <w:b/>
          <w:color w:val="000000"/>
          <w:sz w:val="32"/>
          <w:szCs w:val="32"/>
        </w:rPr>
        <w:t>2.存在的主要问题。</w:t>
      </w:r>
      <w:r>
        <w:rPr>
          <w:rFonts w:eastAsia="仿宋_GB2312"/>
          <w:sz w:val="32"/>
          <w:szCs w:val="32"/>
        </w:rPr>
        <w:t>项目预算编制不够科学合理。一是2020年预算批复表中离休干部、二等乙级伤残军人和伤残人民警察、建国初期参加革命工作人员医疗费用、医疗费补助，预算下达150万元,执行126.13万元,预算与实际差异较大，反映出项目预算编制不够科学合理。二是“村医通”项目未完成绩效目标，年初计划在2020年6月前开通全县87个村卫生室金保网络，年底实际开通28个村卫生室金保系统，项目完成率28.74%。</w:t>
      </w:r>
    </w:p>
    <w:p w14:paraId="536D5A16">
      <w:pPr>
        <w:pStyle w:val="13"/>
        <w:shd w:val="clear" w:color="auto" w:fill="FFFFFF"/>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3.下一步改进措施</w:t>
      </w:r>
      <w:r>
        <w:rPr>
          <w:rFonts w:ascii="Times New Roman" w:hAnsi="Times New Roman" w:eastAsia="仿宋_GB2312" w:cs="Times New Roman"/>
          <w:sz w:val="32"/>
          <w:szCs w:val="32"/>
        </w:rPr>
        <w:t>。</w:t>
      </w:r>
    </w:p>
    <w:p w14:paraId="34F870DC">
      <w:pPr>
        <w:pStyle w:val="13"/>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s="Times New Roman"/>
          <w:sz w:val="32"/>
          <w:szCs w:val="32"/>
        </w:rPr>
        <w:t>（1）加强单位内控制度建设。</w:t>
      </w:r>
      <w:r>
        <w:rPr>
          <w:rFonts w:ascii="Times New Roman" w:hAnsi="Times New Roman" w:eastAsia="仿宋_GB2312"/>
          <w:color w:val="000000"/>
          <w:sz w:val="32"/>
          <w:szCs w:val="32"/>
        </w:rPr>
        <w:t>一是</w:t>
      </w:r>
      <w:r>
        <w:rPr>
          <w:rFonts w:hint="eastAsia" w:ascii="Times New Roman" w:hAnsi="Times New Roman" w:eastAsia="仿宋_GB2312"/>
          <w:color w:val="000000"/>
          <w:sz w:val="32"/>
          <w:szCs w:val="32"/>
        </w:rPr>
        <w:t>加强</w:t>
      </w:r>
      <w:r>
        <w:rPr>
          <w:rFonts w:ascii="Times New Roman" w:hAnsi="Times New Roman" w:eastAsia="仿宋_GB2312"/>
          <w:color w:val="000000"/>
          <w:sz w:val="32"/>
          <w:szCs w:val="32"/>
        </w:rPr>
        <w:t>业务层面内控建设。内控建设涵盖预算管理、收支管理、政府采购管理、国有资产管理、合同管理、建设项目管理等主要经济业务领域</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按照分事行权、分岗设权、分级授权要求落实不相容岗位分离和定期轮岗等内部权力制衡基本举措</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建立重大事项议事决策机制，建立健全集体研究、专家论证和技术咨询相结合的辅助决策机制。</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是</w:t>
      </w:r>
      <w:r>
        <w:rPr>
          <w:rFonts w:hint="eastAsia" w:ascii="Times New Roman" w:hAnsi="Times New Roman" w:eastAsia="仿宋_GB2312"/>
          <w:color w:val="000000"/>
          <w:sz w:val="32"/>
          <w:szCs w:val="32"/>
        </w:rPr>
        <w:t>加强</w:t>
      </w:r>
      <w:r>
        <w:rPr>
          <w:rFonts w:ascii="Times New Roman" w:hAnsi="Times New Roman" w:eastAsia="仿宋_GB2312"/>
          <w:color w:val="000000"/>
          <w:sz w:val="32"/>
          <w:szCs w:val="32"/>
        </w:rPr>
        <w:t>自我评价监督及信息化建设。建立经济活动风险定期评估和内部监督机制</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执行内控报告制度，开展内控自我评价工作</w:t>
      </w:r>
      <w:r>
        <w:rPr>
          <w:rFonts w:hint="eastAsia" w:ascii="Times New Roman" w:hAnsi="Times New Roman" w:eastAsia="仿宋_GB2312"/>
          <w:color w:val="000000"/>
          <w:sz w:val="32"/>
          <w:szCs w:val="32"/>
        </w:rPr>
        <w:t>。</w:t>
      </w:r>
    </w:p>
    <w:p w14:paraId="59DA2CDE">
      <w:pPr>
        <w:pStyle w:val="13"/>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加强预算支出的准确性。各股室在编制预算时要做好编制预算的前期准备工作，对项目数量、资金使用、目标任务进行认真调研与论证。财务部门要会同项目支出申请科室根据事业发展规划，认真审核项目支出预算，根据项目发展的重要性、可行性和效益进行论证，保证预算数据分析的全面性和深入性，进一步保证预算编制的正确完整和使用效率。</w:t>
      </w:r>
    </w:p>
    <w:p w14:paraId="32D925A7">
      <w:pPr>
        <w:spacing w:line="560" w:lineRule="exact"/>
        <w:ind w:firstLine="640" w:firstLineChars="200"/>
        <w:rPr>
          <w:rFonts w:ascii="仿宋_GB2312" w:hAnsi="仿宋_GB2312" w:eastAsia="仿宋_GB2312" w:cs="仿宋_GB2312"/>
          <w:sz w:val="32"/>
          <w:szCs w:val="32"/>
        </w:rPr>
      </w:pPr>
      <w:r>
        <w:rPr>
          <w:rFonts w:hint="eastAsia" w:eastAsia="仿宋_GB2312"/>
          <w:color w:val="000000"/>
          <w:sz w:val="32"/>
          <w:szCs w:val="32"/>
        </w:rPr>
        <w:t>（3）</w:t>
      </w:r>
      <w:r>
        <w:rPr>
          <w:rFonts w:hint="eastAsia" w:ascii="仿宋_GB2312" w:eastAsia="仿宋_GB2312"/>
          <w:sz w:val="32"/>
          <w:szCs w:val="32"/>
        </w:rPr>
        <w:t xml:space="preserve"> 科学合理编制项目预算，提高预算编制的精确度，确实降低项目预算与实际执行之间的差异；加强项目绩效目标管理，对项目绩效目标进行动态管理，确保绩效目标实现。</w:t>
      </w:r>
      <w:r>
        <w:rPr>
          <w:rFonts w:hint="eastAsia" w:eastAsia="仿宋_GB2312"/>
          <w:color w:val="000000"/>
          <w:sz w:val="32"/>
          <w:szCs w:val="32"/>
        </w:rPr>
        <w:t>建立单位项目预算资金使用情况的跟踪制度和责任追究制度，实现对预算资金运行和管理的全方位、全过程监督。</w:t>
      </w:r>
      <w:r>
        <w:rPr>
          <w:rFonts w:ascii="仿宋_GB2312" w:eastAsia="仿宋_GB2312"/>
          <w:szCs w:val="21"/>
        </w:rPr>
        <w:t xml:space="preserve"> </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2E55C611">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5831DE03">
            <w:pPr>
              <w:widowControl/>
              <w:jc w:val="center"/>
              <w:textAlignment w:val="center"/>
              <w:rPr>
                <w:rFonts w:ascii="宋体" w:hAnsi="宋体" w:cs="宋体"/>
                <w:color w:val="000000"/>
                <w:sz w:val="36"/>
                <w:szCs w:val="36"/>
              </w:rPr>
            </w:pPr>
            <w:r>
              <w:rPr>
                <w:rFonts w:hint="eastAsia" w:ascii="宋体" w:hAnsi="宋体" w:cs="宋体"/>
                <w:b/>
                <w:bCs/>
                <w:color w:val="000000"/>
                <w:kern w:val="0"/>
                <w:sz w:val="32"/>
                <w:szCs w:val="32"/>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28"/>
                <w:szCs w:val="28"/>
              </w:rPr>
              <w:t>(2020年度)</w:t>
            </w:r>
          </w:p>
        </w:tc>
      </w:tr>
      <w:tr w14:paraId="60925D4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9CF83">
            <w:pPr>
              <w:jc w:val="center"/>
            </w:pPr>
            <w:r>
              <w:rPr>
                <w:rFonts w:hint="eastAsia"/>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4143D">
            <w:pPr>
              <w:jc w:val="center"/>
            </w:pPr>
            <w:r>
              <w:rPr>
                <w:rFonts w:hint="eastAsia"/>
              </w:rPr>
              <w:t>医保专项工作经费</w:t>
            </w:r>
          </w:p>
        </w:tc>
      </w:tr>
      <w:tr w14:paraId="54E2FA8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D7D4F">
            <w:pPr>
              <w:jc w:val="center"/>
            </w:pPr>
            <w:r>
              <w:rPr>
                <w:rFonts w:hint="eastAsia"/>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53E9A">
            <w:pPr>
              <w:jc w:val="center"/>
            </w:pPr>
            <w:r>
              <w:rPr>
                <w:rFonts w:hint="eastAsia"/>
              </w:rPr>
              <w:t>米易县医疗保障局</w:t>
            </w:r>
          </w:p>
        </w:tc>
      </w:tr>
      <w:tr w14:paraId="0F034E2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2AE13">
            <w:pPr>
              <w:jc w:val="center"/>
            </w:pPr>
            <w:r>
              <w:rPr>
                <w:rFonts w:hint="eastAsi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78087">
            <w:pPr>
              <w:jc w:val="center"/>
            </w:pPr>
            <w:r>
              <w:rPr>
                <w:rFonts w:hint="eastAsia"/>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6FEE5">
            <w:pPr>
              <w:jc w:val="center"/>
            </w:pPr>
            <w:r>
              <w:rPr>
                <w:rFonts w:hint="eastAsia"/>
              </w:rPr>
              <w:t>11.7万元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EDC8B">
            <w:pPr>
              <w:jc w:val="center"/>
            </w:pPr>
            <w:r>
              <w:rPr>
                <w:rFonts w:hint="eastAsia"/>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B92B6">
            <w:pPr>
              <w:jc w:val="center"/>
            </w:pPr>
            <w:r>
              <w:rPr>
                <w:rFonts w:hint="eastAsia"/>
              </w:rPr>
              <w:t>11万元</w:t>
            </w:r>
          </w:p>
        </w:tc>
      </w:tr>
      <w:tr w14:paraId="11F5B704">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56D8B">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BA853">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5AF31">
            <w:pPr>
              <w:jc w:val="center"/>
            </w:pPr>
            <w:r>
              <w:rPr>
                <w:rFonts w:hint="eastAsia"/>
              </w:rPr>
              <w:t>11.7万元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8D647">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CA21F">
            <w:pPr>
              <w:jc w:val="center"/>
            </w:pPr>
            <w:r>
              <w:rPr>
                <w:rFonts w:hint="eastAsia"/>
              </w:rPr>
              <w:t>11万元</w:t>
            </w:r>
          </w:p>
        </w:tc>
      </w:tr>
      <w:tr w14:paraId="557F044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F868B">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8B850">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B57AB">
            <w:pPr>
              <w:jc w:val="center"/>
            </w:pPr>
            <w:r>
              <w:rPr>
                <w:rFonts w:hint="eastAsia"/>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AD1CC">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C09A0">
            <w:pPr>
              <w:jc w:val="center"/>
            </w:pPr>
            <w:r>
              <w:rPr>
                <w:rFonts w:hint="eastAsia"/>
              </w:rPr>
              <w:t>无</w:t>
            </w:r>
          </w:p>
        </w:tc>
      </w:tr>
      <w:tr w14:paraId="0E1D5CB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DFFE4">
            <w:pPr>
              <w:jc w:val="center"/>
            </w:pPr>
            <w:r>
              <w:rPr>
                <w:rFonts w:hint="eastAsi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1B566">
            <w:pPr>
              <w:jc w:val="center"/>
            </w:pPr>
            <w:r>
              <w:rPr>
                <w:rFonts w:hint="eastAsia"/>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43C00">
            <w:pPr>
              <w:jc w:val="center"/>
            </w:pPr>
            <w:r>
              <w:rPr>
                <w:rFonts w:hint="eastAsia"/>
              </w:rPr>
              <w:t>实际完成目标</w:t>
            </w:r>
          </w:p>
        </w:tc>
      </w:tr>
      <w:tr w14:paraId="2A80E47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B27E5">
            <w:pPr>
              <w:jc w:val="cente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9377A">
            <w:pPr>
              <w:jc w:val="left"/>
            </w:pPr>
            <w:r>
              <w:rPr>
                <w:rFonts w:hint="eastAsia"/>
              </w:rPr>
              <w:t>做好医保征收、医保支付方式改革工作，重点推行按疾病诊断相关分组与点数法相结合付费方式改革。完成各项医疗保险待遇审核结算、工伤生育保险核定及待遇审核支付，定点药店刷卡审核结算，做好医保经办风险防控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FF68B">
            <w:pPr>
              <w:jc w:val="left"/>
            </w:pPr>
            <w:r>
              <w:rPr>
                <w:rFonts w:hint="eastAsia"/>
              </w:rPr>
              <w:t>1.职工医保参保单位611家，其中机关事业单位137家。缴费总人数21768人。城乡居民参保190015人。</w:t>
            </w:r>
          </w:p>
          <w:p w14:paraId="262947F7">
            <w:pPr>
              <w:jc w:val="left"/>
            </w:pPr>
            <w:r>
              <w:rPr>
                <w:rFonts w:hint="eastAsia"/>
              </w:rPr>
              <w:t>2.审核职工医疗待遇182382人次，支付医保基金3042.1万元。</w:t>
            </w:r>
          </w:p>
          <w:p w14:paraId="02F82412">
            <w:pPr>
              <w:jc w:val="left"/>
            </w:pPr>
            <w:r>
              <w:rPr>
                <w:rFonts w:hint="eastAsia"/>
              </w:rPr>
              <w:t>3.审核城乡居民住院待遇（含一类门特）42921人次，医保基金报销9652.77万元。</w:t>
            </w:r>
          </w:p>
          <w:p w14:paraId="04C937A6">
            <w:pPr>
              <w:jc w:val="left"/>
            </w:pPr>
            <w:r>
              <w:rPr>
                <w:rFonts w:hint="eastAsia"/>
              </w:rPr>
              <w:t>4.异地就医联网结算（住院）1114人次，医保结算金额 375.92万元。</w:t>
            </w:r>
          </w:p>
          <w:p w14:paraId="1F4D9E4A">
            <w:pPr>
              <w:jc w:val="left"/>
            </w:pPr>
            <w:r>
              <w:rPr>
                <w:rFonts w:hint="eastAsia"/>
              </w:rPr>
              <w:t>5.审核生育保险待遇 410人次，支付生育保险基金 385.35万元。</w:t>
            </w:r>
          </w:p>
        </w:tc>
      </w:tr>
      <w:tr w14:paraId="7767A34E">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8C67E28">
            <w:pPr>
              <w:jc w:val="center"/>
            </w:pPr>
            <w:r>
              <w:rPr>
                <w:rFonts w:hint="eastAsia"/>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CF9CC">
            <w:pPr>
              <w:jc w:val="center"/>
            </w:pPr>
            <w:r>
              <w:rPr>
                <w:rFonts w:hint="eastAsia"/>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D7446">
            <w:pPr>
              <w:jc w:val="center"/>
            </w:pPr>
            <w:r>
              <w:rPr>
                <w:rFonts w:hint="eastAsia"/>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64590">
            <w:pPr>
              <w:jc w:val="center"/>
            </w:pPr>
            <w:r>
              <w:rPr>
                <w:rFonts w:hint="eastAsia"/>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31747">
            <w:pPr>
              <w:jc w:val="center"/>
            </w:pPr>
            <w:r>
              <w:rPr>
                <w:rFonts w:hint="eastAsi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50519">
            <w:pPr>
              <w:jc w:val="center"/>
            </w:pPr>
            <w:r>
              <w:rPr>
                <w:rFonts w:hint="eastAsia"/>
              </w:rPr>
              <w:t>实际完成指标值(包含数字及文字描述)</w:t>
            </w:r>
          </w:p>
        </w:tc>
      </w:tr>
      <w:tr w14:paraId="03600BE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1150BAD">
            <w:pPr>
              <w:jc w:val="cente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BD6547A">
            <w:pPr>
              <w:jc w:val="center"/>
            </w:pPr>
            <w:r>
              <w:rPr>
                <w:rFonts w:hint="eastAsia"/>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FB9ED">
            <w:pPr>
              <w:jc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98312">
            <w:pPr>
              <w:jc w:val="center"/>
            </w:pPr>
            <w:r>
              <w:rPr>
                <w:rFonts w:hint="eastAsia"/>
              </w:rPr>
              <w:t>城乡居民参保缴费人数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E861C">
            <w:pPr>
              <w:jc w:val="center"/>
            </w:pPr>
            <w:r>
              <w:rPr>
                <w:rFonts w:hint="eastAsia"/>
              </w:rPr>
              <w:t>18.96万人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3BEAE">
            <w:pPr>
              <w:jc w:val="center"/>
            </w:pPr>
            <w:r>
              <w:rPr>
                <w:rFonts w:hint="eastAsia"/>
              </w:rPr>
              <w:t>19万人</w:t>
            </w:r>
          </w:p>
        </w:tc>
      </w:tr>
      <w:tr w14:paraId="088177D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E4D897C">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148306CB">
            <w:pPr>
              <w:jc w:val="cente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B30A072">
            <w:pPr>
              <w:jc w:val="cente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7BED9">
            <w:pPr>
              <w:jc w:val="center"/>
            </w:pPr>
            <w:r>
              <w:rPr>
                <w:rFonts w:hint="eastAsia"/>
              </w:rPr>
              <w:t>2020年12月31日</w:t>
            </w:r>
          </w:p>
          <w:p w14:paraId="6BA4E9D1">
            <w:pPr>
              <w:jc w:val="cente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FE24D">
            <w:pPr>
              <w:jc w:val="center"/>
            </w:pPr>
            <w:r>
              <w:rPr>
                <w:rFonts w:hint="eastAsia"/>
              </w:rPr>
              <w:t>2020年12月31日完成</w:t>
            </w:r>
          </w:p>
          <w:p w14:paraId="11D6D359">
            <w:pPr>
              <w:jc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0C687">
            <w:pPr>
              <w:jc w:val="center"/>
            </w:pPr>
            <w:r>
              <w:rPr>
                <w:rFonts w:hint="eastAsia"/>
              </w:rPr>
              <w:t>完成城乡居民参保190015人参保缴费。</w:t>
            </w:r>
          </w:p>
        </w:tc>
      </w:tr>
      <w:tr w14:paraId="15A65DC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DDF990A">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391C0DCD">
            <w:pPr>
              <w:jc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BB24949">
            <w:pPr>
              <w:jc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FC946">
            <w:pPr>
              <w:jc w:val="center"/>
            </w:pPr>
            <w:r>
              <w:rPr>
                <w:rFonts w:hint="eastAsia"/>
              </w:rPr>
              <w:t>开展医保政策宣传、培训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340C9">
            <w:pPr>
              <w:jc w:val="center"/>
            </w:pPr>
            <w:r>
              <w:rPr>
                <w:rFonts w:hint="eastAsia"/>
              </w:rPr>
              <w:t>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D103B">
            <w:pPr>
              <w:jc w:val="center"/>
            </w:pPr>
            <w:r>
              <w:rPr>
                <w:rFonts w:hint="eastAsia"/>
              </w:rPr>
              <w:t>3次</w:t>
            </w:r>
          </w:p>
        </w:tc>
      </w:tr>
      <w:tr w14:paraId="33BEE62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F9F2931">
            <w:pPr>
              <w:jc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5CEB995">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E146D">
            <w:pPr>
              <w:jc w:val="cente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27B6F">
            <w:pPr>
              <w:jc w:val="center"/>
            </w:pPr>
            <w:r>
              <w:rPr>
                <w:rFonts w:hint="eastAsia"/>
              </w:rPr>
              <w:t>代缴城乡居民基本医疗保险最低标准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28197">
            <w:pPr>
              <w:jc w:val="center"/>
            </w:pPr>
            <w:r>
              <w:rPr>
                <w:rFonts w:hint="eastAsia"/>
              </w:rPr>
              <w:t>220元</w:t>
            </w:r>
            <w:r>
              <w:t>/</w:t>
            </w:r>
            <w:r>
              <w:rPr>
                <w:rFonts w:hint="eastAsia"/>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86595">
            <w:pPr>
              <w:jc w:val="center"/>
            </w:pPr>
            <w:r>
              <w:rPr>
                <w:rFonts w:hint="eastAsia"/>
              </w:rPr>
              <w:t>220元</w:t>
            </w:r>
            <w:r>
              <w:t>/</w:t>
            </w:r>
            <w:r>
              <w:rPr>
                <w:rFonts w:hint="eastAsia"/>
              </w:rPr>
              <w:t>人</w:t>
            </w:r>
          </w:p>
        </w:tc>
      </w:tr>
      <w:tr w14:paraId="648A527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38A87BA">
            <w:pPr>
              <w:jc w:val="center"/>
            </w:pPr>
          </w:p>
        </w:tc>
        <w:tc>
          <w:tcPr>
            <w:tcW w:w="1367" w:type="dxa"/>
            <w:tcBorders>
              <w:top w:val="single" w:color="000000" w:sz="4" w:space="0"/>
              <w:left w:val="single" w:color="000000" w:sz="4" w:space="0"/>
              <w:right w:val="single" w:color="000000" w:sz="4" w:space="0"/>
            </w:tcBorders>
            <w:tcMar>
              <w:top w:w="15" w:type="dxa"/>
              <w:left w:w="15" w:type="dxa"/>
              <w:right w:w="15" w:type="dxa"/>
            </w:tcMar>
            <w:vAlign w:val="center"/>
          </w:tcPr>
          <w:p w14:paraId="7645B5AA">
            <w:pPr>
              <w:jc w:val="center"/>
            </w:pPr>
            <w:r>
              <w:rPr>
                <w:rFonts w:hint="eastAsia"/>
              </w:rPr>
              <w:t>效益指标</w:t>
            </w: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14:paraId="47513AEE">
            <w:pPr>
              <w:jc w:val="cente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53C61">
            <w:pPr>
              <w:jc w:val="center"/>
            </w:pPr>
            <w:r>
              <w:rPr>
                <w:rFonts w:hint="eastAsia"/>
              </w:rPr>
              <w:t>参保率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7E478">
            <w:pPr>
              <w:jc w:val="center"/>
            </w:pPr>
            <w:r>
              <w:rPr>
                <w:rFonts w:hint="eastAsia"/>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A358D">
            <w:pPr>
              <w:jc w:val="center"/>
            </w:pPr>
            <w:r>
              <w:rPr>
                <w:rFonts w:hint="eastAsia"/>
              </w:rPr>
              <w:t>≥98%</w:t>
            </w:r>
          </w:p>
        </w:tc>
      </w:tr>
      <w:tr w14:paraId="594925A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6599FEE">
            <w:pPr>
              <w:jc w:val="cente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FE4CA">
            <w:pPr>
              <w:jc w:val="center"/>
            </w:pPr>
            <w:r>
              <w:rPr>
                <w:rFonts w:hint="eastAsia"/>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27C97">
            <w:pPr>
              <w:jc w:val="center"/>
            </w:pPr>
            <w:r>
              <w:rPr>
                <w:rFonts w:hint="eastAsia"/>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872AF">
            <w:pPr>
              <w:jc w:val="center"/>
            </w:pPr>
            <w:r>
              <w:rPr>
                <w:rFonts w:hint="eastAsia"/>
              </w:rPr>
              <w:t>建档立卡贫困人口满意度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F2A4C">
            <w:pPr>
              <w:jc w:val="center"/>
            </w:pPr>
            <w:r>
              <w:rPr>
                <w:rFonts w:hint="eastAsia"/>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6E68B">
            <w:pPr>
              <w:jc w:val="center"/>
            </w:pPr>
            <w:r>
              <w:rPr>
                <w:rFonts w:hint="eastAsia"/>
              </w:rPr>
              <w:t>≥95%</w:t>
            </w:r>
          </w:p>
        </w:tc>
      </w:tr>
    </w:tbl>
    <w:p w14:paraId="60382F7B">
      <w:pPr>
        <w:spacing w:line="580" w:lineRule="exact"/>
        <w:ind w:left="630"/>
        <w:rPr>
          <w:rFonts w:ascii="楷体_GB2312" w:hAnsi="楷体_GB2312" w:eastAsia="楷体_GB2312" w:cs="楷体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46CBCF9">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3767028D">
            <w:pPr>
              <w:widowControl/>
              <w:jc w:val="center"/>
              <w:textAlignment w:val="center"/>
              <w:rPr>
                <w:rFonts w:ascii="宋体" w:hAnsi="宋体" w:cs="宋体"/>
                <w:b/>
                <w:bCs/>
                <w:color w:val="000000"/>
                <w:kern w:val="0"/>
                <w:sz w:val="32"/>
                <w:szCs w:val="32"/>
              </w:rPr>
            </w:pPr>
          </w:p>
          <w:p w14:paraId="334D8C4A">
            <w:pPr>
              <w:widowControl/>
              <w:jc w:val="center"/>
              <w:textAlignment w:val="center"/>
              <w:rPr>
                <w:rFonts w:ascii="宋体" w:hAnsi="宋体" w:cs="宋体"/>
                <w:b/>
                <w:bCs/>
                <w:color w:val="000000"/>
                <w:kern w:val="0"/>
                <w:sz w:val="32"/>
                <w:szCs w:val="32"/>
              </w:rPr>
            </w:pPr>
          </w:p>
          <w:p w14:paraId="280A3772">
            <w:pPr>
              <w:widowControl/>
              <w:jc w:val="center"/>
              <w:textAlignment w:val="center"/>
              <w:rPr>
                <w:rFonts w:ascii="宋体" w:hAnsi="宋体" w:cs="宋体"/>
                <w:b/>
                <w:bCs/>
                <w:color w:val="000000"/>
                <w:kern w:val="0"/>
                <w:sz w:val="32"/>
                <w:szCs w:val="32"/>
              </w:rPr>
            </w:pPr>
          </w:p>
          <w:p w14:paraId="6D2121ED">
            <w:pPr>
              <w:widowControl/>
              <w:jc w:val="center"/>
              <w:textAlignment w:val="center"/>
              <w:rPr>
                <w:rFonts w:ascii="宋体" w:hAnsi="宋体" w:cs="宋体"/>
                <w:color w:val="000000"/>
                <w:sz w:val="36"/>
                <w:szCs w:val="36"/>
              </w:rPr>
            </w:pPr>
            <w:r>
              <w:rPr>
                <w:rFonts w:hint="eastAsia" w:ascii="宋体" w:hAnsi="宋体" w:cs="宋体"/>
                <w:b/>
                <w:bCs/>
                <w:color w:val="000000"/>
                <w:kern w:val="0"/>
                <w:sz w:val="32"/>
                <w:szCs w:val="32"/>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28"/>
                <w:szCs w:val="28"/>
              </w:rPr>
              <w:t>(2020年度)</w:t>
            </w:r>
          </w:p>
        </w:tc>
      </w:tr>
      <w:tr w14:paraId="33B520C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13779">
            <w:pPr>
              <w:jc w:val="center"/>
            </w:pPr>
            <w:r>
              <w:rPr>
                <w:rFonts w:hint="eastAsia"/>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A7CA8">
            <w:pPr>
              <w:jc w:val="center"/>
            </w:pPr>
            <w:r>
              <w:rPr>
                <w:rFonts w:hint="eastAsia"/>
              </w:rPr>
              <w:t>办公室物业管理费</w:t>
            </w:r>
          </w:p>
        </w:tc>
      </w:tr>
      <w:tr w14:paraId="5C99CBB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EF6EC">
            <w:pPr>
              <w:jc w:val="center"/>
            </w:pPr>
            <w:r>
              <w:rPr>
                <w:rFonts w:hint="eastAsia"/>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868BD">
            <w:pPr>
              <w:jc w:val="center"/>
            </w:pPr>
            <w:r>
              <w:rPr>
                <w:rFonts w:hint="eastAsia"/>
              </w:rPr>
              <w:t>米易县医疗保障局</w:t>
            </w:r>
          </w:p>
        </w:tc>
      </w:tr>
      <w:tr w14:paraId="2AA3A8A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9AFAF">
            <w:pPr>
              <w:jc w:val="center"/>
            </w:pPr>
            <w:r>
              <w:rPr>
                <w:rFonts w:hint="eastAsi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78AC4">
            <w:pPr>
              <w:jc w:val="center"/>
            </w:pPr>
            <w:r>
              <w:rPr>
                <w:rFonts w:hint="eastAsia"/>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CE85F">
            <w:pPr>
              <w:jc w:val="center"/>
            </w:pPr>
            <w:r>
              <w:rPr>
                <w:rFonts w:hint="eastAsia"/>
              </w:rPr>
              <w:t>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5D1FD">
            <w:pPr>
              <w:jc w:val="center"/>
            </w:pPr>
            <w:r>
              <w:rPr>
                <w:rFonts w:hint="eastAsia"/>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0BAD8">
            <w:pPr>
              <w:jc w:val="center"/>
            </w:pPr>
            <w:r>
              <w:rPr>
                <w:rFonts w:hint="eastAsia"/>
              </w:rPr>
              <w:t>6.5万元</w:t>
            </w:r>
          </w:p>
        </w:tc>
      </w:tr>
      <w:tr w14:paraId="2E327FFB">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AB6CF">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09A79">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4121B">
            <w:pPr>
              <w:jc w:val="center"/>
            </w:pPr>
            <w:r>
              <w:rPr>
                <w:rFonts w:hint="eastAsia"/>
              </w:rPr>
              <w:t>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690D4">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7FB58">
            <w:pPr>
              <w:jc w:val="center"/>
            </w:pPr>
            <w:r>
              <w:rPr>
                <w:rFonts w:hint="eastAsia"/>
              </w:rPr>
              <w:t>6.5万元</w:t>
            </w:r>
          </w:p>
        </w:tc>
      </w:tr>
      <w:tr w14:paraId="45EA599E">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D91E8">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AB70F">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91E27">
            <w:pPr>
              <w:jc w:val="center"/>
            </w:pPr>
            <w:r>
              <w:rPr>
                <w:rFonts w:hint="eastAsia"/>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F96CD">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9EC42">
            <w:pPr>
              <w:jc w:val="center"/>
            </w:pPr>
            <w:r>
              <w:rPr>
                <w:rFonts w:hint="eastAsia"/>
              </w:rPr>
              <w:t>无</w:t>
            </w:r>
          </w:p>
        </w:tc>
      </w:tr>
      <w:tr w14:paraId="0EBE5F8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3DF30">
            <w:pPr>
              <w:jc w:val="center"/>
            </w:pPr>
            <w:r>
              <w:rPr>
                <w:rFonts w:hint="eastAsi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64DF0">
            <w:pPr>
              <w:jc w:val="center"/>
            </w:pPr>
            <w:r>
              <w:rPr>
                <w:rFonts w:hint="eastAsia"/>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E5EAC">
            <w:pPr>
              <w:jc w:val="center"/>
            </w:pPr>
            <w:r>
              <w:rPr>
                <w:rFonts w:hint="eastAsia"/>
              </w:rPr>
              <w:t>实际完成目标</w:t>
            </w:r>
          </w:p>
        </w:tc>
      </w:tr>
      <w:tr w14:paraId="4725971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1A7CE">
            <w:pPr>
              <w:jc w:val="cente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C2979">
            <w:pPr>
              <w:jc w:val="left"/>
            </w:pPr>
            <w:r>
              <w:rPr>
                <w:rFonts w:hint="eastAsia"/>
              </w:rPr>
              <w:t>为办事群众及工作人员提供办事区域安全保卫、绿化、环卫、车辆管理等。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3FE64">
            <w:pPr>
              <w:jc w:val="left"/>
            </w:pPr>
            <w:r>
              <w:rPr>
                <w:rFonts w:hint="eastAsia"/>
              </w:rPr>
              <w:t>每天区域内清洁度≧95% ，使办公区域保持整洁有序。</w:t>
            </w:r>
          </w:p>
        </w:tc>
      </w:tr>
      <w:tr w14:paraId="606678F9">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BBE5513">
            <w:pPr>
              <w:jc w:val="center"/>
            </w:pPr>
            <w:r>
              <w:rPr>
                <w:rFonts w:hint="eastAsia"/>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6E6C7">
            <w:pPr>
              <w:jc w:val="center"/>
            </w:pPr>
            <w:r>
              <w:rPr>
                <w:rFonts w:hint="eastAsia"/>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CC7CE">
            <w:pPr>
              <w:jc w:val="center"/>
            </w:pPr>
            <w:r>
              <w:rPr>
                <w:rFonts w:hint="eastAsia"/>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14BCA">
            <w:pPr>
              <w:jc w:val="center"/>
            </w:pPr>
            <w:r>
              <w:rPr>
                <w:rFonts w:hint="eastAsia"/>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4959E">
            <w:pPr>
              <w:jc w:val="center"/>
            </w:pPr>
            <w:r>
              <w:rPr>
                <w:rFonts w:hint="eastAsi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7C5DE">
            <w:pPr>
              <w:jc w:val="center"/>
            </w:pPr>
            <w:r>
              <w:rPr>
                <w:rFonts w:hint="eastAsia"/>
              </w:rPr>
              <w:t>实际完成指标值(包含数字及文字描述)</w:t>
            </w:r>
          </w:p>
        </w:tc>
      </w:tr>
      <w:tr w14:paraId="1BC14F0B">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AA78AB">
            <w:pPr>
              <w:jc w:val="cente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B8591D6">
            <w:pPr>
              <w:jc w:val="center"/>
            </w:pPr>
            <w:r>
              <w:rPr>
                <w:rFonts w:hint="eastAsia"/>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DDD4D">
            <w:pPr>
              <w:jc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6B2F3">
            <w:pPr>
              <w:jc w:val="center"/>
            </w:pPr>
            <w:r>
              <w:rPr>
                <w:rFonts w:hint="eastAsia"/>
              </w:rPr>
              <w:t>美化办公区域环境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6755F">
            <w:pPr>
              <w:jc w:val="center"/>
            </w:pPr>
            <w:r>
              <w:rPr>
                <w:rFonts w:hint="eastAsia"/>
              </w:rPr>
              <w:t>1268.2平方米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0BDEA">
            <w:pPr>
              <w:jc w:val="center"/>
            </w:pPr>
            <w:r>
              <w:rPr>
                <w:rFonts w:hint="eastAsia"/>
              </w:rPr>
              <w:t>1268.2平方米</w:t>
            </w:r>
          </w:p>
        </w:tc>
      </w:tr>
      <w:tr w14:paraId="4BC5500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A4091AA">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40257DCC">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35E59">
            <w:pPr>
              <w:jc w:val="cente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6A621">
            <w:pPr>
              <w:jc w:val="center"/>
            </w:pPr>
            <w:r>
              <w:rPr>
                <w:rFonts w:hint="eastAsia"/>
              </w:rPr>
              <w:t>保持办公区域内无杂物、污渍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B1CE0">
            <w:pPr>
              <w:jc w:val="center"/>
            </w:pPr>
            <w:r>
              <w:rPr>
                <w:rFonts w:hint="eastAsia"/>
              </w:rPr>
              <w:t>卫生间每天清洁</w:t>
            </w:r>
          </w:p>
          <w:p w14:paraId="295CCD80">
            <w:pPr>
              <w:jc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77641">
            <w:pPr>
              <w:jc w:val="center"/>
            </w:pPr>
            <w:r>
              <w:rPr>
                <w:rFonts w:hint="eastAsia"/>
              </w:rPr>
              <w:t>保持办公区域内无杂物、污渍:每周一次、每天随时清洁、擦拭</w:t>
            </w:r>
          </w:p>
        </w:tc>
      </w:tr>
      <w:tr w14:paraId="7194705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DC79E73">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5CEFD204">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EA680">
            <w:pPr>
              <w:jc w:val="cente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0BCF1">
            <w:pPr>
              <w:jc w:val="center"/>
            </w:pPr>
            <w:r>
              <w:rPr>
                <w:rFonts w:hint="eastAsia"/>
              </w:rPr>
              <w:t>合同每年一签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716BC">
            <w:pPr>
              <w:jc w:val="center"/>
            </w:pPr>
            <w:r>
              <w:rPr>
                <w:rFonts w:hint="eastAsia"/>
              </w:rPr>
              <w:t>2020年1月1日-2020年12月31日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97531">
            <w:pPr>
              <w:jc w:val="center"/>
            </w:pPr>
            <w:r>
              <w:rPr>
                <w:rFonts w:hint="eastAsia"/>
              </w:rPr>
              <w:t>2020年1月1日-2020年12月31日</w:t>
            </w:r>
          </w:p>
        </w:tc>
      </w:tr>
      <w:tr w14:paraId="122A5E57">
        <w:tblPrEx>
          <w:tblCellMar>
            <w:top w:w="0" w:type="dxa"/>
            <w:left w:w="0" w:type="dxa"/>
            <w:bottom w:w="0" w:type="dxa"/>
            <w:right w:w="0" w:type="dxa"/>
          </w:tblCellMar>
        </w:tblPrEx>
        <w:trPr>
          <w:trHeight w:val="73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3E4DF28">
            <w:pPr>
              <w:jc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045476E">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DE4B9">
            <w:pPr>
              <w:jc w:val="cente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85ECB">
            <w:pPr>
              <w:jc w:val="center"/>
            </w:pPr>
            <w:r>
              <w:rPr>
                <w:rFonts w:hint="eastAsia"/>
              </w:rPr>
              <w:t>每年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297DD">
            <w:pPr>
              <w:jc w:val="center"/>
            </w:pPr>
            <w:r>
              <w:rPr>
                <w:rFonts w:hint="eastAsia"/>
              </w:rPr>
              <w:t>6.5万元</w:t>
            </w:r>
            <w:r>
              <w:t>/</w:t>
            </w:r>
            <w:r>
              <w:rPr>
                <w:rFonts w:hint="eastAsia"/>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588BE">
            <w:pPr>
              <w:jc w:val="center"/>
            </w:pPr>
            <w:r>
              <w:rPr>
                <w:rFonts w:hint="eastAsia"/>
              </w:rPr>
              <w:t>6.5万元</w:t>
            </w:r>
            <w:r>
              <w:t>/</w:t>
            </w:r>
            <w:r>
              <w:rPr>
                <w:rFonts w:hint="eastAsia"/>
              </w:rPr>
              <w:t>年</w:t>
            </w:r>
          </w:p>
        </w:tc>
      </w:tr>
      <w:tr w14:paraId="146A06C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B5C4EA2">
            <w:pPr>
              <w:jc w:val="cente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43EBC">
            <w:pPr>
              <w:jc w:val="center"/>
            </w:pPr>
            <w:r>
              <w:rPr>
                <w:rFonts w:hint="eastAsia"/>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3499D">
            <w:pPr>
              <w:jc w:val="center"/>
            </w:pPr>
            <w:r>
              <w:rPr>
                <w:rFonts w:hint="eastAsia"/>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70B89">
            <w:pPr>
              <w:jc w:val="center"/>
            </w:pPr>
            <w:r>
              <w:rPr>
                <w:rFonts w:hint="eastAsia"/>
              </w:rPr>
              <w:t>建档立卡贫困人口满意度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A78CE">
            <w:pPr>
              <w:jc w:val="center"/>
            </w:pPr>
            <w:r>
              <w:rPr>
                <w:rFonts w:hint="eastAsia"/>
              </w:rPr>
              <w:t>本服务区域内工作人员≥95%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58B0B">
            <w:pPr>
              <w:jc w:val="center"/>
            </w:pPr>
            <w:r>
              <w:rPr>
                <w:rFonts w:hint="eastAsia"/>
              </w:rPr>
              <w:t>每天区域内清洁度≧95% ，使办公区域保持整洁有序。</w:t>
            </w:r>
          </w:p>
        </w:tc>
      </w:tr>
    </w:tbl>
    <w:p w14:paraId="07A230E8">
      <w:pPr>
        <w:spacing w:line="580" w:lineRule="exact"/>
        <w:ind w:left="630"/>
        <w:rPr>
          <w:rFonts w:ascii="楷体_GB2312" w:hAnsi="楷体_GB2312" w:eastAsia="楷体_GB2312" w:cs="楷体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4DF6EA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3D64860">
            <w:pPr>
              <w:widowControl/>
              <w:jc w:val="center"/>
              <w:textAlignment w:val="center"/>
              <w:rPr>
                <w:rFonts w:ascii="宋体" w:hAnsi="宋体" w:cs="宋体"/>
                <w:color w:val="000000"/>
                <w:sz w:val="36"/>
                <w:szCs w:val="36"/>
              </w:rPr>
            </w:pPr>
            <w:r>
              <w:rPr>
                <w:rFonts w:hint="eastAsia" w:ascii="宋体" w:hAnsi="宋体" w:cs="宋体"/>
                <w:b/>
                <w:bCs/>
                <w:color w:val="000000"/>
                <w:kern w:val="0"/>
                <w:sz w:val="32"/>
                <w:szCs w:val="32"/>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28"/>
                <w:szCs w:val="28"/>
              </w:rPr>
              <w:t>(2020年度)</w:t>
            </w:r>
          </w:p>
        </w:tc>
      </w:tr>
      <w:tr w14:paraId="2013785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5B2FC">
            <w:pPr>
              <w:jc w:val="center"/>
            </w:pPr>
            <w:r>
              <w:rPr>
                <w:rFonts w:hint="eastAsia"/>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63A6B">
            <w:pPr>
              <w:jc w:val="center"/>
            </w:pPr>
            <w:r>
              <w:rPr>
                <w:rFonts w:hint="eastAsia"/>
              </w:rPr>
              <w:t>“村医通”专项工作经费</w:t>
            </w:r>
          </w:p>
        </w:tc>
      </w:tr>
      <w:tr w14:paraId="6427BD2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1EB86">
            <w:pPr>
              <w:jc w:val="center"/>
            </w:pPr>
            <w:r>
              <w:rPr>
                <w:rFonts w:hint="eastAsia"/>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7A335">
            <w:pPr>
              <w:jc w:val="center"/>
            </w:pPr>
            <w:r>
              <w:rPr>
                <w:rFonts w:hint="eastAsia"/>
              </w:rPr>
              <w:t>米易县医疗保障局</w:t>
            </w:r>
          </w:p>
        </w:tc>
      </w:tr>
      <w:tr w14:paraId="1BC32A4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48AA8">
            <w:pPr>
              <w:jc w:val="center"/>
            </w:pPr>
            <w:r>
              <w:rPr>
                <w:rFonts w:hint="eastAsi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CE398">
            <w:pPr>
              <w:jc w:val="center"/>
            </w:pPr>
            <w:r>
              <w:rPr>
                <w:rFonts w:hint="eastAsia"/>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A133B">
            <w:pPr>
              <w:jc w:val="center"/>
            </w:pPr>
            <w:r>
              <w:rPr>
                <w:rFonts w:hint="eastAsia"/>
              </w:rPr>
              <w:t>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B0C62">
            <w:pPr>
              <w:jc w:val="center"/>
            </w:pPr>
            <w:r>
              <w:rPr>
                <w:rFonts w:hint="eastAsia"/>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A5C6A">
            <w:pPr>
              <w:jc w:val="center"/>
            </w:pPr>
            <w:r>
              <w:rPr>
                <w:rFonts w:hint="eastAsia"/>
              </w:rPr>
              <w:t>1.23万元</w:t>
            </w:r>
          </w:p>
        </w:tc>
      </w:tr>
      <w:tr w14:paraId="44AB912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6F944">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8C5DC">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47A7D">
            <w:pPr>
              <w:jc w:val="center"/>
            </w:pPr>
            <w:r>
              <w:rPr>
                <w:rFonts w:hint="eastAsia"/>
              </w:rPr>
              <w:t>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F359C">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EA42B">
            <w:pPr>
              <w:jc w:val="center"/>
            </w:pPr>
            <w:r>
              <w:rPr>
                <w:rFonts w:hint="eastAsia"/>
              </w:rPr>
              <w:t>1.23万元</w:t>
            </w:r>
          </w:p>
        </w:tc>
      </w:tr>
      <w:tr w14:paraId="71A6B45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D50BA">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EBEBE">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53AA5">
            <w:pPr>
              <w:jc w:val="center"/>
            </w:pPr>
            <w:r>
              <w:rPr>
                <w:rFonts w:hint="eastAsia"/>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50AB8">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11ECA">
            <w:pPr>
              <w:jc w:val="center"/>
            </w:pPr>
            <w:r>
              <w:rPr>
                <w:rFonts w:hint="eastAsia"/>
              </w:rPr>
              <w:t>无</w:t>
            </w:r>
          </w:p>
        </w:tc>
      </w:tr>
      <w:tr w14:paraId="4009DDA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9125E">
            <w:pPr>
              <w:jc w:val="center"/>
            </w:pPr>
            <w:r>
              <w:rPr>
                <w:rFonts w:hint="eastAsi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00A7C">
            <w:pPr>
              <w:jc w:val="center"/>
            </w:pPr>
            <w:r>
              <w:rPr>
                <w:rFonts w:hint="eastAsia"/>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3A650">
            <w:pPr>
              <w:jc w:val="center"/>
            </w:pPr>
            <w:r>
              <w:rPr>
                <w:rFonts w:hint="eastAsia"/>
              </w:rPr>
              <w:t>实际完成目标</w:t>
            </w:r>
          </w:p>
        </w:tc>
      </w:tr>
      <w:tr w14:paraId="013B3EB6">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7F422">
            <w:pPr>
              <w:jc w:val="cente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878DC">
            <w:pPr>
              <w:jc w:val="left"/>
            </w:pPr>
            <w:r>
              <w:rPr>
                <w:rFonts w:hint="eastAsia"/>
              </w:rPr>
              <w:t>保障村卫生室医保就医结算业务能够正常办理，切实解决偏远地区老百姓普通门诊医疗费用报销问题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56495">
            <w:pPr>
              <w:jc w:val="left"/>
            </w:pPr>
            <w:r>
              <w:rPr>
                <w:rFonts w:hint="eastAsia"/>
              </w:rPr>
              <w:t>完成28个贫困村“村医通”医保即时结算系统的安装工作，让贫困人口足不出村即在“家门口”就能享受到医保报销政策。2020年，“村医通”结算1454人次，基本医疗保险报销5万元。</w:t>
            </w:r>
          </w:p>
        </w:tc>
      </w:tr>
      <w:tr w14:paraId="62BA39D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C9E4850">
            <w:pPr>
              <w:jc w:val="center"/>
            </w:pPr>
            <w:r>
              <w:rPr>
                <w:rFonts w:hint="eastAsia"/>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68BA1">
            <w:pPr>
              <w:jc w:val="center"/>
            </w:pPr>
            <w:r>
              <w:rPr>
                <w:rFonts w:hint="eastAsia"/>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D81E1">
            <w:pPr>
              <w:jc w:val="center"/>
            </w:pPr>
            <w:r>
              <w:rPr>
                <w:rFonts w:hint="eastAsia"/>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88F0E">
            <w:pPr>
              <w:jc w:val="center"/>
            </w:pPr>
            <w:r>
              <w:rPr>
                <w:rFonts w:hint="eastAsia"/>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251E8">
            <w:pPr>
              <w:jc w:val="center"/>
            </w:pPr>
            <w:r>
              <w:rPr>
                <w:rFonts w:hint="eastAsi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1206C">
            <w:pPr>
              <w:jc w:val="center"/>
            </w:pPr>
            <w:r>
              <w:rPr>
                <w:rFonts w:hint="eastAsia"/>
              </w:rPr>
              <w:t>实际完成指标值(包含数字及文字描述)</w:t>
            </w:r>
          </w:p>
        </w:tc>
      </w:tr>
      <w:tr w14:paraId="24B6EC59">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0909F32">
            <w:pPr>
              <w:jc w:val="cente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2B50EF6">
            <w:pPr>
              <w:jc w:val="center"/>
            </w:pPr>
            <w:r>
              <w:rPr>
                <w:rFonts w:hint="eastAsia"/>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568C2">
            <w:pPr>
              <w:jc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D8386">
            <w:pPr>
              <w:jc w:val="center"/>
            </w:pPr>
            <w:r>
              <w:rPr>
                <w:rFonts w:hint="eastAsia"/>
              </w:rPr>
              <w:t>全县所有村卫生室开通金保网络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FD538">
            <w:pPr>
              <w:jc w:val="center"/>
            </w:pPr>
            <w:r>
              <w:rPr>
                <w:rFonts w:hint="eastAsia"/>
              </w:rPr>
              <w:t>87个村卫生室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F9505">
            <w:pPr>
              <w:jc w:val="center"/>
            </w:pPr>
            <w:r>
              <w:rPr>
                <w:rFonts w:hint="eastAsia"/>
              </w:rPr>
              <w:t>完成28个贫困村“村医通”医保即时结算系统的安装工作</w:t>
            </w:r>
          </w:p>
        </w:tc>
      </w:tr>
      <w:tr w14:paraId="0709C847">
        <w:tblPrEx>
          <w:tblCellMar>
            <w:top w:w="0" w:type="dxa"/>
            <w:left w:w="0" w:type="dxa"/>
            <w:bottom w:w="0" w:type="dxa"/>
            <w:right w:w="0" w:type="dxa"/>
          </w:tblCellMar>
        </w:tblPrEx>
        <w:trPr>
          <w:trHeight w:val="87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C02D202">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0B1AB445">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12BBC">
            <w:pPr>
              <w:jc w:val="cente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B1F4A">
            <w:pPr>
              <w:jc w:val="center"/>
            </w:pPr>
            <w:r>
              <w:rPr>
                <w:rFonts w:hint="eastAsia"/>
              </w:rPr>
              <w:t>村卫生室金保网开通率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F90FB">
            <w:pPr>
              <w:jc w:val="center"/>
            </w:pPr>
            <w:r>
              <w:rPr>
                <w:rFonts w:hint="eastAsia"/>
              </w:rPr>
              <w:t>≥95</w:t>
            </w:r>
            <w:r>
              <w:t xml:space="preserve"> </w:t>
            </w:r>
            <w:r>
              <w:rPr>
                <w:rFonts w:hint="eastAsia"/>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202A6">
            <w:pPr>
              <w:jc w:val="center"/>
            </w:pPr>
            <w:r>
              <w:rPr>
                <w:rFonts w:hint="eastAsia"/>
              </w:rPr>
              <w:t>28.74%</w:t>
            </w:r>
          </w:p>
        </w:tc>
      </w:tr>
      <w:tr w14:paraId="158E397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F3719FA">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6C68D3DB">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9E38D">
            <w:pPr>
              <w:jc w:val="cente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2E98A">
            <w:pPr>
              <w:jc w:val="center"/>
            </w:pPr>
            <w:r>
              <w:rPr>
                <w:rFonts w:hint="eastAsia"/>
              </w:rPr>
              <w:t>2020年6月前完成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19183">
            <w:pPr>
              <w:jc w:val="center"/>
            </w:pPr>
            <w:r>
              <w:rPr>
                <w:rFonts w:hint="eastAsia"/>
              </w:rPr>
              <w:t>87个村卫生室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49A04">
            <w:pPr>
              <w:jc w:val="center"/>
            </w:pPr>
            <w:r>
              <w:rPr>
                <w:rFonts w:hint="eastAsia"/>
              </w:rPr>
              <w:t>完成28个贫困村“村医通”医保即时结算系统的安装工作</w:t>
            </w:r>
          </w:p>
        </w:tc>
      </w:tr>
      <w:tr w14:paraId="5E3CC7EB">
        <w:tblPrEx>
          <w:tblCellMar>
            <w:top w:w="0" w:type="dxa"/>
            <w:left w:w="0" w:type="dxa"/>
            <w:bottom w:w="0" w:type="dxa"/>
            <w:right w:w="0" w:type="dxa"/>
          </w:tblCellMar>
        </w:tblPrEx>
        <w:trPr>
          <w:trHeight w:val="8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2A688D2">
            <w:pPr>
              <w:jc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5C4A52A">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0FE85">
            <w:pPr>
              <w:jc w:val="cente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1D148">
            <w:pPr>
              <w:jc w:val="center"/>
            </w:pPr>
            <w:r>
              <w:rPr>
                <w:rFonts w:hint="eastAsia"/>
              </w:rPr>
              <w:t>村医通专项经费（含网络费）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AED78">
            <w:pPr>
              <w:jc w:val="center"/>
            </w:pPr>
            <w:r>
              <w:rPr>
                <w:rFonts w:hint="eastAsia"/>
              </w:rPr>
              <w:t>6.5万元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5188D">
            <w:pPr>
              <w:jc w:val="center"/>
            </w:pPr>
            <w:r>
              <w:rPr>
                <w:rFonts w:hint="eastAsia"/>
              </w:rPr>
              <w:t>1.23万元</w:t>
            </w:r>
          </w:p>
        </w:tc>
      </w:tr>
      <w:tr w14:paraId="6DF21F52">
        <w:tblPrEx>
          <w:tblCellMar>
            <w:top w:w="0" w:type="dxa"/>
            <w:left w:w="0" w:type="dxa"/>
            <w:bottom w:w="0" w:type="dxa"/>
            <w:right w:w="0" w:type="dxa"/>
          </w:tblCellMar>
        </w:tblPrEx>
        <w:trPr>
          <w:trHeight w:val="6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BB76F09">
            <w:pPr>
              <w:jc w:val="center"/>
            </w:pPr>
          </w:p>
        </w:tc>
        <w:tc>
          <w:tcPr>
            <w:tcW w:w="1367" w:type="dxa"/>
            <w:tcBorders>
              <w:top w:val="single" w:color="000000" w:sz="4" w:space="0"/>
              <w:left w:val="single" w:color="000000" w:sz="4" w:space="0"/>
              <w:right w:val="single" w:color="000000" w:sz="4" w:space="0"/>
            </w:tcBorders>
            <w:tcMar>
              <w:top w:w="15" w:type="dxa"/>
              <w:left w:w="15" w:type="dxa"/>
              <w:right w:w="15" w:type="dxa"/>
            </w:tcMar>
            <w:vAlign w:val="center"/>
          </w:tcPr>
          <w:p w14:paraId="7DAE07DE">
            <w:pPr>
              <w:jc w:val="center"/>
            </w:pPr>
            <w:r>
              <w:rPr>
                <w:rFonts w:hint="eastAsia"/>
              </w:rPr>
              <w:t>效益指标</w:t>
            </w: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14:paraId="57BE84DD">
            <w:pPr>
              <w:jc w:val="cente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CE640">
            <w:pPr>
              <w:jc w:val="center"/>
            </w:pPr>
            <w:r>
              <w:rPr>
                <w:rFonts w:hint="eastAsia"/>
              </w:rPr>
              <w:t>开通村卫生室就医结算率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257C1">
            <w:pPr>
              <w:jc w:val="center"/>
            </w:pPr>
            <w:r>
              <w:rPr>
                <w:rFonts w:hint="eastAsia"/>
              </w:rPr>
              <w:t>90%及以上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13F05">
            <w:pPr>
              <w:jc w:val="center"/>
            </w:pPr>
            <w:r>
              <w:rPr>
                <w:rFonts w:hint="eastAsia"/>
              </w:rPr>
              <w:t>100%</w:t>
            </w:r>
          </w:p>
        </w:tc>
      </w:tr>
      <w:tr w14:paraId="25621D54">
        <w:tblPrEx>
          <w:tblCellMar>
            <w:top w:w="0" w:type="dxa"/>
            <w:left w:w="0" w:type="dxa"/>
            <w:bottom w:w="0" w:type="dxa"/>
            <w:right w:w="0" w:type="dxa"/>
          </w:tblCellMar>
        </w:tblPrEx>
        <w:trPr>
          <w:trHeight w:val="97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D0FF80B">
            <w:pPr>
              <w:jc w:val="cente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CBD50">
            <w:pPr>
              <w:jc w:val="center"/>
            </w:pPr>
            <w:r>
              <w:rPr>
                <w:rFonts w:hint="eastAsia"/>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CF33F">
            <w:pPr>
              <w:jc w:val="center"/>
            </w:pPr>
            <w:r>
              <w:rPr>
                <w:rFonts w:hint="eastAsia"/>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21BDA">
            <w:pPr>
              <w:jc w:val="center"/>
            </w:pPr>
            <w:r>
              <w:rPr>
                <w:rFonts w:hint="eastAsia"/>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FC388">
            <w:pPr>
              <w:jc w:val="center"/>
            </w:pPr>
            <w:r>
              <w:rPr>
                <w:rFonts w:hint="eastAsia"/>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262F1">
            <w:pPr>
              <w:jc w:val="center"/>
            </w:pPr>
            <w:r>
              <w:rPr>
                <w:rFonts w:hint="eastAsia"/>
              </w:rPr>
              <w:t>≥90%</w:t>
            </w:r>
          </w:p>
        </w:tc>
      </w:tr>
      <w:tr w14:paraId="74196A3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4F59902">
            <w:pPr>
              <w:widowControl/>
              <w:jc w:val="center"/>
              <w:textAlignment w:val="center"/>
              <w:rPr>
                <w:rFonts w:ascii="宋体" w:hAnsi="宋体" w:cs="宋体"/>
                <w:color w:val="000000"/>
                <w:sz w:val="36"/>
                <w:szCs w:val="36"/>
              </w:rPr>
            </w:pPr>
            <w:r>
              <w:rPr>
                <w:rFonts w:hint="eastAsia" w:ascii="宋体" w:hAnsi="宋体" w:cs="宋体"/>
                <w:b/>
                <w:bCs/>
                <w:color w:val="000000"/>
                <w:kern w:val="0"/>
                <w:sz w:val="32"/>
                <w:szCs w:val="32"/>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28"/>
                <w:szCs w:val="28"/>
              </w:rPr>
              <w:t>(2020年度)</w:t>
            </w:r>
          </w:p>
        </w:tc>
      </w:tr>
      <w:tr w14:paraId="3C83FF2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1618D">
            <w:pPr>
              <w:jc w:val="center"/>
            </w:pPr>
            <w:r>
              <w:rPr>
                <w:rFonts w:hint="eastAsia"/>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5181D">
            <w:pPr>
              <w:jc w:val="center"/>
            </w:pPr>
            <w:r>
              <w:rPr>
                <w:rFonts w:hint="eastAsia"/>
              </w:rPr>
              <w:t>离休干部、二等乙级伤残军人和伤残人民警察、建国初期参加革命工作人员医疗费用</w:t>
            </w:r>
          </w:p>
        </w:tc>
      </w:tr>
      <w:tr w14:paraId="6019306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DADBD">
            <w:pPr>
              <w:jc w:val="center"/>
            </w:pPr>
            <w:r>
              <w:rPr>
                <w:rFonts w:hint="eastAsia"/>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0F05A">
            <w:pPr>
              <w:jc w:val="center"/>
            </w:pPr>
            <w:r>
              <w:rPr>
                <w:rFonts w:hint="eastAsia"/>
              </w:rPr>
              <w:t>米易县医疗保障局</w:t>
            </w:r>
          </w:p>
        </w:tc>
      </w:tr>
      <w:tr w14:paraId="3F78ED0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253F8">
            <w:pPr>
              <w:jc w:val="center"/>
            </w:pPr>
            <w:r>
              <w:rPr>
                <w:rFonts w:hint="eastAsi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44997">
            <w:pPr>
              <w:jc w:val="center"/>
            </w:pPr>
            <w:r>
              <w:rPr>
                <w:rFonts w:hint="eastAsia"/>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C6FF0">
            <w:pPr>
              <w:jc w:val="center"/>
            </w:pPr>
            <w:r>
              <w:rPr>
                <w:rFonts w:hint="eastAsia"/>
              </w:rPr>
              <w:t>150万元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7AFD2">
            <w:pPr>
              <w:jc w:val="center"/>
            </w:pPr>
            <w:r>
              <w:rPr>
                <w:rFonts w:hint="eastAsia"/>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ECC4B">
            <w:pPr>
              <w:jc w:val="center"/>
            </w:pPr>
            <w:r>
              <w:rPr>
                <w:rFonts w:hint="eastAsia"/>
              </w:rPr>
              <w:t>126.13万元</w:t>
            </w:r>
          </w:p>
        </w:tc>
      </w:tr>
      <w:tr w14:paraId="1B8DBD16">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FB415">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C7B06">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6091B">
            <w:pPr>
              <w:jc w:val="center"/>
            </w:pPr>
            <w:r>
              <w:rPr>
                <w:rFonts w:hint="eastAsia"/>
              </w:rPr>
              <w:t>150万元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33359">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76EE5">
            <w:pPr>
              <w:jc w:val="center"/>
            </w:pPr>
            <w:r>
              <w:rPr>
                <w:rFonts w:hint="eastAsia"/>
              </w:rPr>
              <w:t>126.13万元</w:t>
            </w:r>
          </w:p>
        </w:tc>
      </w:tr>
      <w:tr w14:paraId="302833B8">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75135">
            <w:pPr>
              <w:jc w:val="cente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AAE57">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F3746">
            <w:pPr>
              <w:jc w:val="center"/>
            </w:pPr>
            <w:r>
              <w:rPr>
                <w:rFonts w:hint="eastAsia"/>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BCAA3">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8404E">
            <w:pPr>
              <w:jc w:val="center"/>
            </w:pPr>
            <w:r>
              <w:rPr>
                <w:rFonts w:hint="eastAsia"/>
              </w:rPr>
              <w:t>无</w:t>
            </w:r>
          </w:p>
        </w:tc>
      </w:tr>
      <w:tr w14:paraId="5793FF6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BD632">
            <w:pPr>
              <w:jc w:val="center"/>
            </w:pPr>
            <w:r>
              <w:rPr>
                <w:rFonts w:hint="eastAsi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E5DB1">
            <w:pPr>
              <w:jc w:val="center"/>
            </w:pPr>
            <w:r>
              <w:rPr>
                <w:rFonts w:hint="eastAsia"/>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FC532">
            <w:pPr>
              <w:jc w:val="center"/>
            </w:pPr>
            <w:r>
              <w:rPr>
                <w:rFonts w:hint="eastAsia"/>
              </w:rPr>
              <w:t>实际完成目标</w:t>
            </w:r>
          </w:p>
        </w:tc>
      </w:tr>
      <w:tr w14:paraId="2F32D90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99587">
            <w:pPr>
              <w:jc w:val="cente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D213D">
            <w:pPr>
              <w:jc w:val="left"/>
            </w:pPr>
            <w:r>
              <w:rPr>
                <w:rFonts w:hint="eastAsia"/>
              </w:rPr>
              <w:t>确保全县离休干部18人，二等乙级伤残人员21人，建国初期参加革命工作人员7人医疗费用足额安排拨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41BB1">
            <w:pPr>
              <w:jc w:val="left"/>
            </w:pPr>
            <w:r>
              <w:rPr>
                <w:rFonts w:hint="eastAsia"/>
              </w:rPr>
              <w:t>离休，二乙，建国初期特殊人员门诊报销588人次，住院报销104人次。</w:t>
            </w:r>
          </w:p>
        </w:tc>
      </w:tr>
      <w:tr w14:paraId="2A1E167E">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E19C43E">
            <w:pPr>
              <w:jc w:val="center"/>
            </w:pPr>
            <w:r>
              <w:rPr>
                <w:rFonts w:hint="eastAsia"/>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FEECC">
            <w:pPr>
              <w:jc w:val="center"/>
            </w:pPr>
            <w:r>
              <w:rPr>
                <w:rFonts w:hint="eastAsia"/>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9D5ED">
            <w:pPr>
              <w:jc w:val="center"/>
            </w:pPr>
            <w:r>
              <w:rPr>
                <w:rFonts w:hint="eastAsia"/>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C72DB">
            <w:pPr>
              <w:jc w:val="center"/>
            </w:pPr>
            <w:r>
              <w:rPr>
                <w:rFonts w:hint="eastAsia"/>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E89C9">
            <w:pPr>
              <w:jc w:val="center"/>
            </w:pPr>
            <w:r>
              <w:rPr>
                <w:rFonts w:hint="eastAsi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6C08F">
            <w:pPr>
              <w:jc w:val="center"/>
            </w:pPr>
            <w:r>
              <w:rPr>
                <w:rFonts w:hint="eastAsia"/>
              </w:rPr>
              <w:t>实际完成指标值(包含数字及文字描述)</w:t>
            </w:r>
          </w:p>
        </w:tc>
      </w:tr>
      <w:tr w14:paraId="17D950DF">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4FBF666">
            <w:pPr>
              <w:jc w:val="cente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38C87DB">
            <w:pPr>
              <w:jc w:val="center"/>
            </w:pPr>
            <w:r>
              <w:rPr>
                <w:rFonts w:hint="eastAsia"/>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C7234">
            <w:pPr>
              <w:jc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404C3">
            <w:pPr>
              <w:jc w:val="center"/>
            </w:pPr>
            <w:r>
              <w:rPr>
                <w:rFonts w:hint="eastAsia"/>
              </w:rPr>
              <w:t>离休干部18人，二等乙级伤残人员21人，建国初期参加革命工作人员7人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91B58">
            <w:pPr>
              <w:jc w:val="center"/>
            </w:pPr>
            <w:r>
              <w:rPr>
                <w:rFonts w:hint="eastAsia"/>
              </w:rPr>
              <w:t>离休干部18人，二等乙级伤残人员21人，建国初期参加革命工作人员7人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949A2">
            <w:pPr>
              <w:jc w:val="center"/>
            </w:pPr>
            <w:r>
              <w:rPr>
                <w:rFonts w:hint="eastAsia"/>
              </w:rPr>
              <w:t>离休干部18人，二等乙级伤残人员21人，建国初期参加革命工作人员7人</w:t>
            </w:r>
          </w:p>
        </w:tc>
      </w:tr>
      <w:tr w14:paraId="76A15B5B">
        <w:tblPrEx>
          <w:tblCellMar>
            <w:top w:w="0" w:type="dxa"/>
            <w:left w:w="0" w:type="dxa"/>
            <w:bottom w:w="0" w:type="dxa"/>
            <w:right w:w="0" w:type="dxa"/>
          </w:tblCellMar>
        </w:tblPrEx>
        <w:trPr>
          <w:trHeight w:val="87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FCB2511">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1C3E6BC5">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FFEF7">
            <w:pPr>
              <w:jc w:val="cente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72FEC">
            <w:pPr>
              <w:jc w:val="center"/>
            </w:pPr>
            <w:r>
              <w:rPr>
                <w:rFonts w:hint="eastAsia"/>
              </w:rPr>
              <w:t>离休干部、二乙伤残人员及建国初期参加工作人员的医疗费用足额拨付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86C44">
            <w:pPr>
              <w:jc w:val="center"/>
            </w:pPr>
            <w:r>
              <w:rPr>
                <w:rFonts w:hint="eastAsia"/>
              </w:rPr>
              <w:t>保障医疗费用足额拨付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7EBBE">
            <w:pPr>
              <w:jc w:val="center"/>
            </w:pPr>
            <w:r>
              <w:rPr>
                <w:rFonts w:hint="eastAsia"/>
              </w:rPr>
              <w:t>保障医疗费用足额拨付</w:t>
            </w:r>
          </w:p>
        </w:tc>
      </w:tr>
      <w:tr w14:paraId="4A93CB9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C6AFBB5">
            <w:pPr>
              <w:jc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14:paraId="404A459D">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C583B">
            <w:pPr>
              <w:jc w:val="cente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DE420">
            <w:pPr>
              <w:jc w:val="center"/>
              <w:rPr>
                <w:rFonts w:ascii="宋体" w:hAnsi="宋体" w:cs="宋体"/>
                <w:szCs w:val="21"/>
              </w:rPr>
            </w:pPr>
            <w:r>
              <w:rPr>
                <w:rFonts w:hint="eastAsia"/>
                <w:szCs w:val="21"/>
              </w:rPr>
              <w:t>离休干部、二乙伤残人员所产生的医疗费用及时足额拨付</w:t>
            </w:r>
          </w:p>
          <w:p w14:paraId="0197A641">
            <w:pPr>
              <w:jc w:val="cente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FE5E5">
            <w:pPr>
              <w:jc w:val="center"/>
              <w:rPr>
                <w:rFonts w:ascii="宋体" w:hAnsi="宋体" w:cs="宋体"/>
                <w:szCs w:val="21"/>
              </w:rPr>
            </w:pPr>
            <w:r>
              <w:rPr>
                <w:rFonts w:hint="eastAsia"/>
                <w:szCs w:val="21"/>
              </w:rPr>
              <w:t>2020年1月1日-2020年12月31日</w:t>
            </w:r>
          </w:p>
          <w:p w14:paraId="2198A980">
            <w:pPr>
              <w:jc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81FE2">
            <w:pPr>
              <w:jc w:val="center"/>
            </w:pPr>
            <w:r>
              <w:rPr>
                <w:rFonts w:hint="eastAsia"/>
                <w:szCs w:val="21"/>
              </w:rPr>
              <w:t>截至2020年12月31日已完成拨付126.13万元。</w:t>
            </w:r>
          </w:p>
        </w:tc>
      </w:tr>
      <w:tr w14:paraId="7B9915B2">
        <w:tblPrEx>
          <w:tblCellMar>
            <w:top w:w="0" w:type="dxa"/>
            <w:left w:w="0" w:type="dxa"/>
            <w:bottom w:w="0" w:type="dxa"/>
            <w:right w:w="0" w:type="dxa"/>
          </w:tblCellMar>
        </w:tblPrEx>
        <w:trPr>
          <w:trHeight w:val="8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981BAAF">
            <w:pPr>
              <w:jc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C0535C1">
            <w:pPr>
              <w:jc w:val="cente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C7120">
            <w:pPr>
              <w:jc w:val="cente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97AFB">
            <w:pPr>
              <w:jc w:val="center"/>
            </w:pPr>
            <w:r>
              <w:rPr>
                <w:rFonts w:hint="eastAsia"/>
              </w:rPr>
              <w:t>离休、二乙、建国初期人员所发生的医疗费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1CD96">
            <w:pPr>
              <w:jc w:val="center"/>
            </w:pPr>
            <w:r>
              <w:rPr>
                <w:rFonts w:hint="eastAsia"/>
              </w:rPr>
              <w:t>按照政策据实支付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83AE7">
            <w:pPr>
              <w:jc w:val="center"/>
            </w:pPr>
            <w:r>
              <w:rPr>
                <w:rFonts w:hint="eastAsia"/>
                <w:szCs w:val="21"/>
              </w:rPr>
              <w:t>完成拨付126.13万元</w:t>
            </w:r>
          </w:p>
        </w:tc>
      </w:tr>
      <w:tr w14:paraId="567C992D">
        <w:tblPrEx>
          <w:tblCellMar>
            <w:top w:w="0" w:type="dxa"/>
            <w:left w:w="0" w:type="dxa"/>
            <w:bottom w:w="0" w:type="dxa"/>
            <w:right w:w="0" w:type="dxa"/>
          </w:tblCellMar>
        </w:tblPrEx>
        <w:trPr>
          <w:trHeight w:val="6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A9838F2">
            <w:pPr>
              <w:jc w:val="center"/>
            </w:pPr>
          </w:p>
        </w:tc>
        <w:tc>
          <w:tcPr>
            <w:tcW w:w="1367" w:type="dxa"/>
            <w:tcBorders>
              <w:top w:val="single" w:color="000000" w:sz="4" w:space="0"/>
              <w:left w:val="single" w:color="000000" w:sz="4" w:space="0"/>
              <w:right w:val="single" w:color="000000" w:sz="4" w:space="0"/>
            </w:tcBorders>
            <w:tcMar>
              <w:top w:w="15" w:type="dxa"/>
              <w:left w:w="15" w:type="dxa"/>
              <w:right w:w="15" w:type="dxa"/>
            </w:tcMar>
            <w:vAlign w:val="center"/>
          </w:tcPr>
          <w:p w14:paraId="4B72E302">
            <w:pPr>
              <w:jc w:val="center"/>
            </w:pPr>
            <w:r>
              <w:rPr>
                <w:rFonts w:hint="eastAsia"/>
              </w:rPr>
              <w:t>效益指标</w:t>
            </w: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14:paraId="60029D9B">
            <w:pPr>
              <w:jc w:val="cente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8BFE1">
            <w:pPr>
              <w:jc w:val="center"/>
            </w:pPr>
            <w:r>
              <w:rPr>
                <w:rFonts w:hint="eastAsia"/>
              </w:rPr>
              <w:t>保障离休干部、二乙伤残人员、建国初期参加革命人员的医疗费用报销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2FF18">
            <w:pPr>
              <w:jc w:val="center"/>
            </w:pPr>
            <w:r>
              <w:rPr>
                <w:rFonts w:hint="eastAsia"/>
              </w:rPr>
              <w:t>90%及以上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5E9A7">
            <w:pPr>
              <w:jc w:val="center"/>
            </w:pPr>
            <w:r>
              <w:rPr>
                <w:rFonts w:hint="eastAsia"/>
              </w:rPr>
              <w:t>100%</w:t>
            </w:r>
          </w:p>
        </w:tc>
      </w:tr>
      <w:tr w14:paraId="5BC68F99">
        <w:tblPrEx>
          <w:tblCellMar>
            <w:top w:w="0" w:type="dxa"/>
            <w:left w:w="0" w:type="dxa"/>
            <w:bottom w:w="0" w:type="dxa"/>
            <w:right w:w="0" w:type="dxa"/>
          </w:tblCellMar>
        </w:tblPrEx>
        <w:trPr>
          <w:trHeight w:val="97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DCEF442">
            <w:pPr>
              <w:jc w:val="cente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217D9">
            <w:pPr>
              <w:jc w:val="center"/>
            </w:pPr>
            <w:r>
              <w:rPr>
                <w:rFonts w:hint="eastAsia"/>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01B5F">
            <w:pPr>
              <w:jc w:val="center"/>
            </w:pPr>
            <w:r>
              <w:rPr>
                <w:rFonts w:hint="eastAsia"/>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00EC2">
            <w:pPr>
              <w:jc w:val="center"/>
            </w:pPr>
            <w:r>
              <w:rPr>
                <w:rFonts w:hint="eastAsia"/>
              </w:rPr>
              <w:t>离休干部、二乙伤残人员满意度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6FFAC">
            <w:pPr>
              <w:jc w:val="center"/>
            </w:pPr>
            <w:r>
              <w:rPr>
                <w:rFonts w:hint="eastAsia"/>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C4213">
            <w:pPr>
              <w:jc w:val="center"/>
            </w:pPr>
            <w:r>
              <w:rPr>
                <w:rFonts w:hint="eastAsia"/>
              </w:rPr>
              <w:t>≥95%</w:t>
            </w:r>
          </w:p>
        </w:tc>
      </w:tr>
    </w:tbl>
    <w:p w14:paraId="77505DC2">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4.部门绩效评价结果。</w:t>
      </w:r>
    </w:p>
    <w:p w14:paraId="71DF2AF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本部门按要求对2020年部门整体支出绩效评价情况开展自评，《米易县医疗保障局2020年部门整体支出绩效评价报告》见附件（附件1）。</w:t>
      </w:r>
    </w:p>
    <w:p w14:paraId="37DB82EE">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eastAsia="仿宋_GB2312"/>
          <w:sz w:val="32"/>
          <w:szCs w:val="32"/>
        </w:rPr>
        <w:t>“建档立卡贫困人员参加2019年城乡居民医保个人缴费代缴资金”</w:t>
      </w:r>
      <w:r>
        <w:rPr>
          <w:rFonts w:hint="eastAsia" w:ascii="仿宋_GB2312" w:hAnsi="仿宋_GB2312" w:eastAsia="仿宋_GB2312" w:cs="仿宋_GB2312"/>
          <w:sz w:val="32"/>
          <w:szCs w:val="32"/>
        </w:rPr>
        <w:t>项目开展了绩效评价，《</w:t>
      </w:r>
      <w:r>
        <w:rPr>
          <w:rFonts w:eastAsia="仿宋_GB2312"/>
          <w:sz w:val="32"/>
          <w:szCs w:val="32"/>
        </w:rPr>
        <w:t>建档立卡贫困人员参加2019年城乡居民医保个人缴费代缴资金</w:t>
      </w:r>
      <w:r>
        <w:rPr>
          <w:rFonts w:hint="eastAsia" w:ascii="仿宋_GB2312" w:hAnsi="仿宋_GB2312" w:eastAsia="仿宋_GB2312" w:cs="仿宋_GB2312"/>
          <w:sz w:val="32"/>
          <w:szCs w:val="32"/>
        </w:rPr>
        <w:t>项目2019年绩效评价报告》见附件（附件2）。</w:t>
      </w:r>
    </w:p>
    <w:p w14:paraId="3472F2F7">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50D91B21">
      <w:pPr>
        <w:numPr>
          <w:ilvl w:val="0"/>
          <w:numId w:val="1"/>
        </w:numPr>
        <w:spacing w:line="600" w:lineRule="exact"/>
        <w:ind w:firstLine="660" w:firstLineChars="150"/>
        <w:jc w:val="center"/>
        <w:outlineLvl w:val="0"/>
        <w:rPr>
          <w:rStyle w:val="26"/>
          <w:rFonts w:ascii="黑体" w:hAnsi="黑体" w:eastAsia="黑体"/>
          <w:b w:val="0"/>
        </w:rPr>
      </w:pPr>
      <w:bookmarkStart w:id="49" w:name="_Toc15396613"/>
      <w:bookmarkStart w:id="50"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49"/>
      <w:bookmarkEnd w:id="50"/>
    </w:p>
    <w:p w14:paraId="5B01F875">
      <w:pPr>
        <w:spacing w:line="600" w:lineRule="exact"/>
        <w:jc w:val="left"/>
        <w:rPr>
          <w:rFonts w:ascii="宋体"/>
          <w:b/>
          <w:color w:val="000000"/>
          <w:sz w:val="44"/>
          <w:szCs w:val="44"/>
        </w:rPr>
      </w:pPr>
    </w:p>
    <w:p w14:paraId="1327AF6D">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36DC008">
      <w:pPr>
        <w:pStyle w:val="24"/>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8479711">
      <w:pPr>
        <w:pStyle w:val="24"/>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3.</w:t>
      </w:r>
      <w:r>
        <w:rPr>
          <w:rFonts w:hint="eastAsia" w:ascii="仿宋_GB2312" w:eastAsia="仿宋_GB2312"/>
          <w:sz w:val="32"/>
          <w:szCs w:val="32"/>
        </w:rPr>
        <w:t>结余分配：指事业单位按照事业单位会计制度的规定从非财政补助结余中分配的事业基金和职工福利基金等。</w:t>
      </w:r>
    </w:p>
    <w:p w14:paraId="3B22AC86">
      <w:pPr>
        <w:pStyle w:val="24"/>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4.</w:t>
      </w:r>
      <w:r>
        <w:rPr>
          <w:rFonts w:hint="eastAsia" w:ascii="仿宋_GB2312" w:eastAsia="仿宋_GB2312"/>
          <w:sz w:val="32"/>
          <w:szCs w:val="32"/>
        </w:rPr>
        <w:t>年末结转和结余：指单位按有关规定结转到下年或以后年度继续使用的资金。</w:t>
      </w:r>
    </w:p>
    <w:p w14:paraId="4B88FBF4">
      <w:pPr>
        <w:ind w:firstLine="627" w:firstLineChars="196"/>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一般公共服务支出：指单位含下属部门用于保障机构正常运行、开展日常工作的基本支出。开展调查研究、政务公开和服务、应急演练培训宣传、公共信息服务等相关工作的项目。</w:t>
      </w:r>
    </w:p>
    <w:p w14:paraId="7877EC53">
      <w:pPr>
        <w:ind w:firstLine="627" w:firstLineChars="196"/>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社会保障和就业支出：指单位含下属部门用于基本养老保险缴费，职业年金缴费支出。</w:t>
      </w:r>
    </w:p>
    <w:p w14:paraId="246291B5">
      <w:pPr>
        <w:ind w:firstLine="627" w:firstLineChars="196"/>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住房保障支出：指单位含下属部门用于在职人员住房公积金缴存。</w:t>
      </w:r>
    </w:p>
    <w:p w14:paraId="62BE9EC1">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基本支出：指为保障机构正常运转、完成日常工作任务而发生的人员支出和公用支出。</w:t>
      </w:r>
    </w:p>
    <w:p w14:paraId="0395AC2D">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6DE467A7">
      <w:pPr>
        <w:pStyle w:val="24"/>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sz w:val="32"/>
          <w:szCs w:val="32"/>
        </w:rPr>
        <w:t xml:space="preserve"> </w:t>
      </w:r>
    </w:p>
    <w:p w14:paraId="1A3E4BB4">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2742AC8E">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12、年末结转和结余：指单位按有关规定结转到下年或以后年度继续使用的资金。</w:t>
      </w:r>
    </w:p>
    <w:p w14:paraId="724F6DAD">
      <w:pPr>
        <w:ind w:firstLine="643" w:firstLineChars="200"/>
        <w:rPr>
          <w:rFonts w:ascii="仿宋" w:hAnsi="仿宋" w:eastAsia="仿宋"/>
          <w:b/>
          <w:color w:val="000000"/>
          <w:sz w:val="32"/>
          <w:szCs w:val="32"/>
        </w:rPr>
      </w:pPr>
    </w:p>
    <w:p w14:paraId="7A798F34">
      <w:pPr>
        <w:spacing w:line="600" w:lineRule="exact"/>
        <w:jc w:val="center"/>
        <w:outlineLvl w:val="0"/>
        <w:rPr>
          <w:rStyle w:val="26"/>
          <w:rFonts w:ascii="黑体" w:hAnsi="黑体" w:eastAsia="黑体"/>
          <w:b w:val="0"/>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2"/>
    </w:p>
    <w:p w14:paraId="698DE4C4">
      <w:pPr>
        <w:spacing w:line="600" w:lineRule="exact"/>
        <w:jc w:val="left"/>
        <w:outlineLvl w:val="0"/>
        <w:rPr>
          <w:rFonts w:ascii="黑体" w:hAnsi="黑体" w:eastAsia="黑体" w:cs="黑体"/>
          <w:sz w:val="32"/>
          <w:szCs w:val="32"/>
        </w:rPr>
      </w:pPr>
      <w:r>
        <w:rPr>
          <w:rFonts w:hint="eastAsia" w:ascii="黑体" w:hAnsi="黑体" w:eastAsia="黑体" w:cs="黑体"/>
          <w:sz w:val="32"/>
          <w:szCs w:val="32"/>
        </w:rPr>
        <w:t>附件1</w:t>
      </w:r>
    </w:p>
    <w:p w14:paraId="31C7439D">
      <w:pPr>
        <w:spacing w:line="600" w:lineRule="exact"/>
        <w:jc w:val="left"/>
        <w:outlineLvl w:val="0"/>
        <w:rPr>
          <w:rFonts w:ascii="方正小标宋简体" w:hAnsi="方正小标宋简体" w:eastAsia="方正小标宋简体" w:cs="方正小标宋简体"/>
          <w:sz w:val="32"/>
          <w:szCs w:val="32"/>
        </w:rPr>
      </w:pPr>
    </w:p>
    <w:p w14:paraId="404C2833">
      <w:pPr>
        <w:spacing w:line="560" w:lineRule="exact"/>
        <w:jc w:val="center"/>
        <w:rPr>
          <w:rStyle w:val="38"/>
          <w:rFonts w:hint="default" w:ascii="Calibri"/>
        </w:rPr>
      </w:pPr>
      <w:r>
        <w:rPr>
          <w:rStyle w:val="38"/>
          <w:rFonts w:hint="default" w:ascii="Calibri"/>
        </w:rPr>
        <w:t>米易县医疗保障局</w:t>
      </w:r>
    </w:p>
    <w:p w14:paraId="058BF778">
      <w:pPr>
        <w:spacing w:line="560" w:lineRule="exact"/>
        <w:jc w:val="center"/>
        <w:rPr>
          <w:rStyle w:val="38"/>
          <w:rFonts w:hint="default"/>
        </w:rPr>
      </w:pPr>
      <w:r>
        <w:rPr>
          <w:rStyle w:val="38"/>
          <w:rFonts w:hint="default"/>
        </w:rPr>
        <w:t>2020年部门预算整体绩效评价报告</w:t>
      </w:r>
    </w:p>
    <w:p w14:paraId="4FD6B155">
      <w:pPr>
        <w:spacing w:line="560" w:lineRule="exact"/>
        <w:jc w:val="center"/>
        <w:rPr>
          <w:rStyle w:val="40"/>
          <w:rFonts w:hint="default" w:ascii="方正小标宋_GBK" w:hAnsi="Calibri" w:eastAsia="方正小标宋_GBK"/>
          <w:sz w:val="44"/>
          <w:szCs w:val="44"/>
        </w:rPr>
      </w:pPr>
    </w:p>
    <w:p w14:paraId="6F9F75DB">
      <w:pPr>
        <w:spacing w:line="560" w:lineRule="exact"/>
        <w:ind w:firstLine="640" w:firstLineChars="200"/>
        <w:rPr>
          <w:rStyle w:val="43"/>
          <w:rFonts w:hint="default" w:eastAsia="仿宋_GB2312"/>
        </w:rPr>
      </w:pPr>
      <w:r>
        <w:rPr>
          <w:rStyle w:val="40"/>
          <w:rFonts w:hint="default"/>
        </w:rPr>
        <w:t>一、部门概况</w:t>
      </w:r>
      <w:r>
        <w:rPr>
          <w:rStyle w:val="40"/>
          <w:rFonts w:hint="default" w:eastAsia="仿宋_GB2312"/>
        </w:rPr>
        <w:t>。</w:t>
      </w:r>
    </w:p>
    <w:p w14:paraId="2349E653">
      <w:pPr>
        <w:spacing w:line="560" w:lineRule="exact"/>
        <w:ind w:firstLine="630" w:firstLineChars="196"/>
        <w:rPr>
          <w:rFonts w:eastAsia="楷体"/>
          <w:b/>
          <w:color w:val="000000"/>
          <w:sz w:val="32"/>
          <w:szCs w:val="32"/>
        </w:rPr>
      </w:pPr>
      <w:r>
        <w:rPr>
          <w:rFonts w:hAnsi="楷体" w:eastAsia="楷体"/>
          <w:b/>
          <w:color w:val="000000"/>
          <w:sz w:val="32"/>
          <w:szCs w:val="32"/>
        </w:rPr>
        <w:t>（一）机构及人员情况</w:t>
      </w:r>
    </w:p>
    <w:p w14:paraId="7235724E">
      <w:pPr>
        <w:spacing w:line="560" w:lineRule="exact"/>
        <w:ind w:firstLine="640" w:firstLineChars="200"/>
        <w:rPr>
          <w:rFonts w:eastAsia="仿宋_GB2312"/>
          <w:bCs/>
          <w:color w:val="000000"/>
          <w:sz w:val="32"/>
          <w:szCs w:val="32"/>
        </w:rPr>
      </w:pPr>
      <w:r>
        <w:rPr>
          <w:rFonts w:eastAsia="仿宋_GB2312"/>
          <w:color w:val="000000"/>
          <w:sz w:val="32"/>
          <w:szCs w:val="32"/>
        </w:rPr>
        <w:t>米易县医疗保障局于2019年2月25日挂牌成立（</w:t>
      </w:r>
      <w:r>
        <w:rPr>
          <w:rFonts w:eastAsia="仿宋_GB2312"/>
          <w:color w:val="000000"/>
          <w:kern w:val="0"/>
          <w:sz w:val="32"/>
          <w:szCs w:val="32"/>
        </w:rPr>
        <w:t>《米易县机构改革方案》米委发〔2019〕2 号</w:t>
      </w:r>
      <w:r>
        <w:rPr>
          <w:rFonts w:eastAsia="仿宋_GB2312"/>
          <w:color w:val="000000"/>
          <w:sz w:val="32"/>
          <w:szCs w:val="32"/>
        </w:rPr>
        <w:t>），属于行政单位，公务员</w:t>
      </w:r>
      <w:r>
        <w:rPr>
          <w:rFonts w:eastAsia="仿宋_GB2312"/>
          <w:bCs/>
          <w:color w:val="000000"/>
          <w:sz w:val="32"/>
          <w:szCs w:val="32"/>
        </w:rPr>
        <w:t>行政编制5名。其中：局长1名，副局长2名；内设机构领导职数2人，内设机构为办公室和业务股。年末</w:t>
      </w:r>
      <w:r>
        <w:rPr>
          <w:rFonts w:eastAsia="仿宋_GB2312"/>
          <w:color w:val="000000"/>
          <w:sz w:val="32"/>
          <w:szCs w:val="32"/>
        </w:rPr>
        <w:t>在职在册职工</w:t>
      </w:r>
      <w:r>
        <w:rPr>
          <w:rFonts w:eastAsia="仿宋_GB2312"/>
          <w:bCs/>
          <w:color w:val="000000"/>
          <w:sz w:val="32"/>
          <w:szCs w:val="32"/>
        </w:rPr>
        <w:t>3人。</w:t>
      </w:r>
    </w:p>
    <w:p w14:paraId="5B1D0D85">
      <w:pPr>
        <w:spacing w:line="560" w:lineRule="exact"/>
        <w:ind w:firstLine="640" w:firstLineChars="200"/>
        <w:rPr>
          <w:rFonts w:eastAsia="仿宋_GB2312"/>
          <w:bCs/>
          <w:color w:val="000000"/>
          <w:sz w:val="32"/>
          <w:szCs w:val="32"/>
        </w:rPr>
      </w:pPr>
      <w:r>
        <w:rPr>
          <w:rFonts w:eastAsia="仿宋_GB2312"/>
          <w:color w:val="000000"/>
          <w:sz w:val="32"/>
          <w:szCs w:val="32"/>
        </w:rPr>
        <w:t>米易县医疗保障局下属单位米易县医疗保障事务中心。米易县医疗保障事务中心原名米易医疗保险管理中心，成立于2002年3月27日（米编发</w:t>
      </w:r>
      <w:r>
        <w:rPr>
          <w:rFonts w:eastAsia="仿宋_GB2312"/>
          <w:color w:val="000000"/>
          <w:kern w:val="0"/>
          <w:sz w:val="32"/>
          <w:szCs w:val="32"/>
        </w:rPr>
        <w:t>〔</w:t>
      </w:r>
      <w:r>
        <w:rPr>
          <w:rFonts w:eastAsia="仿宋_GB2312"/>
          <w:color w:val="000000"/>
          <w:sz w:val="32"/>
          <w:szCs w:val="32"/>
        </w:rPr>
        <w:t>2002</w:t>
      </w:r>
      <w:r>
        <w:rPr>
          <w:rFonts w:eastAsia="仿宋_GB2312"/>
          <w:color w:val="000000"/>
          <w:kern w:val="0"/>
          <w:sz w:val="32"/>
          <w:szCs w:val="32"/>
        </w:rPr>
        <w:t>〕</w:t>
      </w:r>
      <w:r>
        <w:rPr>
          <w:rFonts w:eastAsia="仿宋_GB2312"/>
          <w:color w:val="000000"/>
          <w:sz w:val="32"/>
          <w:szCs w:val="32"/>
        </w:rPr>
        <w:t>02号），2008年8月26日更名为米易县医疗保险管理局（米编发</w:t>
      </w:r>
      <w:r>
        <w:rPr>
          <w:rFonts w:eastAsia="仿宋_GB2312"/>
          <w:color w:val="000000"/>
          <w:kern w:val="0"/>
          <w:sz w:val="32"/>
          <w:szCs w:val="32"/>
        </w:rPr>
        <w:t>〔</w:t>
      </w:r>
      <w:r>
        <w:rPr>
          <w:rFonts w:eastAsia="仿宋_GB2312"/>
          <w:color w:val="000000"/>
          <w:sz w:val="32"/>
          <w:szCs w:val="32"/>
        </w:rPr>
        <w:t>2008</w:t>
      </w:r>
      <w:r>
        <w:rPr>
          <w:rFonts w:eastAsia="仿宋_GB2312"/>
          <w:color w:val="000000"/>
          <w:kern w:val="0"/>
          <w:sz w:val="32"/>
          <w:szCs w:val="32"/>
        </w:rPr>
        <w:t>〕</w:t>
      </w:r>
      <w:r>
        <w:rPr>
          <w:rFonts w:eastAsia="仿宋_GB2312"/>
          <w:color w:val="000000"/>
          <w:sz w:val="32"/>
          <w:szCs w:val="32"/>
        </w:rPr>
        <w:t>8号），2019年6月4日再次更名为米易县医疗保障事务中心（米编发</w:t>
      </w:r>
      <w:r>
        <w:rPr>
          <w:rFonts w:eastAsia="仿宋_GB2312"/>
          <w:color w:val="000000"/>
          <w:kern w:val="0"/>
          <w:sz w:val="32"/>
          <w:szCs w:val="32"/>
        </w:rPr>
        <w:t>〔</w:t>
      </w:r>
      <w:r>
        <w:rPr>
          <w:rFonts w:eastAsia="仿宋_GB2312"/>
          <w:color w:val="000000"/>
          <w:sz w:val="32"/>
          <w:szCs w:val="32"/>
        </w:rPr>
        <w:t>2019</w:t>
      </w:r>
      <w:r>
        <w:rPr>
          <w:rFonts w:eastAsia="仿宋_GB2312"/>
          <w:color w:val="000000"/>
          <w:kern w:val="0"/>
          <w:sz w:val="32"/>
          <w:szCs w:val="32"/>
        </w:rPr>
        <w:t>〕</w:t>
      </w:r>
      <w:r>
        <w:rPr>
          <w:rFonts w:eastAsia="仿宋_GB2312"/>
          <w:color w:val="000000"/>
          <w:sz w:val="32"/>
          <w:szCs w:val="32"/>
        </w:rPr>
        <w:t>13号），</w:t>
      </w:r>
      <w:r>
        <w:rPr>
          <w:rFonts w:eastAsia="仿宋_GB2312"/>
          <w:color w:val="000000"/>
          <w:kern w:val="0"/>
          <w:sz w:val="32"/>
          <w:szCs w:val="32"/>
        </w:rPr>
        <w:t>管理隶属关系由县人力资源和社会保障局管理调整为县医疗保障局管理，单位参照公务员法管理、类别为公益一类、机构规格为副科级、事业编制17 名，主要职责为承担医疗保障服务及相关事务性工作。</w:t>
      </w:r>
      <w:r>
        <w:rPr>
          <w:rFonts w:eastAsia="仿宋_GB2312"/>
          <w:color w:val="000000"/>
          <w:sz w:val="32"/>
          <w:szCs w:val="32"/>
        </w:rPr>
        <w:t>年末在职在册职工16人。</w:t>
      </w:r>
    </w:p>
    <w:p w14:paraId="7E782B73">
      <w:pPr>
        <w:spacing w:line="560" w:lineRule="exact"/>
        <w:ind w:firstLine="643" w:firstLineChars="200"/>
        <w:rPr>
          <w:rFonts w:eastAsia="仿宋_GB2312"/>
          <w:bCs/>
          <w:color w:val="000000"/>
          <w:sz w:val="32"/>
          <w:szCs w:val="32"/>
        </w:rPr>
      </w:pPr>
      <w:r>
        <w:rPr>
          <w:rFonts w:eastAsia="方正楷体_GBK"/>
          <w:b/>
          <w:color w:val="000000"/>
          <w:sz w:val="32"/>
          <w:szCs w:val="32"/>
        </w:rPr>
        <w:t>（二）单位基本职能</w:t>
      </w:r>
    </w:p>
    <w:p w14:paraId="43EE30CA">
      <w:pPr>
        <w:spacing w:line="560" w:lineRule="exact"/>
        <w:ind w:firstLine="640" w:firstLineChars="200"/>
        <w:rPr>
          <w:rFonts w:eastAsia="仿宋_GB2312"/>
          <w:bCs/>
          <w:color w:val="000000"/>
          <w:sz w:val="32"/>
          <w:szCs w:val="32"/>
        </w:rPr>
      </w:pPr>
      <w:r>
        <w:rPr>
          <w:rFonts w:eastAsia="仿宋_GB2312"/>
          <w:bCs/>
          <w:color w:val="000000"/>
          <w:sz w:val="32"/>
          <w:szCs w:val="32"/>
        </w:rPr>
        <w:t>1.贯彻执行医疗保险、生育保险、医疗救助等医疗保障法律、法规、规章。拟订全县医疗保障事业发展规划。执行全市统一的医疗保障政策和标准，进行监督检查。</w:t>
      </w:r>
    </w:p>
    <w:p w14:paraId="6B40F612">
      <w:pPr>
        <w:spacing w:line="560" w:lineRule="exact"/>
        <w:ind w:firstLine="640" w:firstLineChars="200"/>
        <w:rPr>
          <w:rFonts w:eastAsia="仿宋_GB2312"/>
          <w:bCs/>
          <w:color w:val="000000"/>
          <w:sz w:val="32"/>
          <w:szCs w:val="32"/>
        </w:rPr>
      </w:pPr>
      <w:r>
        <w:rPr>
          <w:rFonts w:eastAsia="仿宋_GB2312"/>
          <w:bCs/>
          <w:color w:val="000000"/>
          <w:sz w:val="32"/>
          <w:szCs w:val="32"/>
        </w:rPr>
        <w:t>2.组织实施医疗保障基金监督管理制度，建立健全医疗</w:t>
      </w:r>
      <w:r>
        <w:rPr>
          <w:rFonts w:eastAsia="仿宋_GB2312"/>
          <w:bCs/>
          <w:color w:val="000000"/>
          <w:spacing w:val="-10"/>
          <w:sz w:val="32"/>
          <w:szCs w:val="32"/>
        </w:rPr>
        <w:t>保障基金安全防控机制，监督强化全县医疗保障基金运行管理。</w:t>
      </w:r>
    </w:p>
    <w:p w14:paraId="2C6F8DE9">
      <w:pPr>
        <w:spacing w:line="560" w:lineRule="exact"/>
        <w:ind w:firstLine="640" w:firstLineChars="200"/>
        <w:rPr>
          <w:rFonts w:eastAsia="仿宋_GB2312"/>
          <w:bCs/>
          <w:color w:val="000000"/>
          <w:sz w:val="32"/>
          <w:szCs w:val="32"/>
        </w:rPr>
      </w:pPr>
      <w:r>
        <w:rPr>
          <w:rFonts w:eastAsia="仿宋_GB2312"/>
          <w:bCs/>
          <w:color w:val="000000"/>
          <w:sz w:val="32"/>
          <w:szCs w:val="32"/>
        </w:rPr>
        <w:t>3.组织实施医疗保障筹资和待遇政策。组织实施长期护理保险制度改革方案。</w:t>
      </w:r>
    </w:p>
    <w:p w14:paraId="40E96691">
      <w:pPr>
        <w:spacing w:line="560" w:lineRule="exact"/>
        <w:ind w:firstLine="640" w:firstLineChars="200"/>
        <w:rPr>
          <w:rFonts w:eastAsia="仿宋_GB2312"/>
          <w:bCs/>
          <w:color w:val="000000"/>
          <w:sz w:val="32"/>
          <w:szCs w:val="32"/>
        </w:rPr>
      </w:pPr>
      <w:r>
        <w:rPr>
          <w:rFonts w:eastAsia="仿宋_GB2312"/>
          <w:bCs/>
          <w:color w:val="000000"/>
          <w:sz w:val="32"/>
          <w:szCs w:val="32"/>
        </w:rPr>
        <w:t>4.组织实施全省、市统一的药品、医用耗材、医疗服务项目、医疗服务设施等医疗保障目录和支付标准。</w:t>
      </w:r>
    </w:p>
    <w:p w14:paraId="6E7645A8">
      <w:pPr>
        <w:spacing w:line="560" w:lineRule="exact"/>
        <w:ind w:firstLine="640" w:firstLineChars="200"/>
        <w:rPr>
          <w:rFonts w:eastAsia="仿宋_GB2312"/>
          <w:bCs/>
          <w:color w:val="000000"/>
          <w:sz w:val="32"/>
          <w:szCs w:val="32"/>
        </w:rPr>
      </w:pPr>
      <w:r>
        <w:rPr>
          <w:rFonts w:eastAsia="仿宋_GB2312"/>
          <w:bCs/>
          <w:color w:val="000000"/>
          <w:sz w:val="32"/>
          <w:szCs w:val="32"/>
        </w:rPr>
        <w:t>5.组织实施全市城乡统一的药品、医用耗材价格和医疗服务项目、医疗服务设施收费等政策，建立价格信息监测和</w:t>
      </w:r>
      <w:r>
        <w:rPr>
          <w:rFonts w:eastAsia="仿宋_GB2312"/>
          <w:bCs/>
          <w:color w:val="000000"/>
          <w:spacing w:val="-20"/>
          <w:sz w:val="32"/>
          <w:szCs w:val="32"/>
        </w:rPr>
        <w:t>信息发布制度，推动建立市场主导的社会医药服务价格形成机制。</w:t>
      </w:r>
    </w:p>
    <w:p w14:paraId="7347A86F">
      <w:pPr>
        <w:spacing w:line="560" w:lineRule="exact"/>
        <w:ind w:firstLine="640" w:firstLineChars="200"/>
        <w:rPr>
          <w:rFonts w:eastAsia="仿宋_GB2312"/>
          <w:bCs/>
          <w:color w:val="000000"/>
          <w:sz w:val="32"/>
          <w:szCs w:val="32"/>
        </w:rPr>
      </w:pPr>
      <w:r>
        <w:rPr>
          <w:rFonts w:eastAsia="仿宋_GB2312"/>
          <w:bCs/>
          <w:color w:val="000000"/>
          <w:sz w:val="32"/>
          <w:szCs w:val="32"/>
        </w:rPr>
        <w:t>6.组织实施基本医疗保险制度、生育保险制度，及相关联的大病保险、补充医疗保险、公务员医疗补助等政策规定。</w:t>
      </w:r>
    </w:p>
    <w:p w14:paraId="47D0BD29">
      <w:pPr>
        <w:spacing w:line="560" w:lineRule="exact"/>
        <w:ind w:firstLine="640" w:firstLineChars="200"/>
        <w:rPr>
          <w:rFonts w:eastAsia="仿宋_GB2312"/>
          <w:bCs/>
          <w:color w:val="000000"/>
          <w:sz w:val="32"/>
          <w:szCs w:val="32"/>
        </w:rPr>
      </w:pPr>
      <w:r>
        <w:rPr>
          <w:rFonts w:eastAsia="仿宋_GB2312"/>
          <w:bCs/>
          <w:color w:val="000000"/>
          <w:sz w:val="32"/>
          <w:szCs w:val="32"/>
        </w:rPr>
        <w:t>7.组织实施全市城乡医疗救助制度，完善全县医疗救助基金管理办法，推进“一站式服务”机制。</w:t>
      </w:r>
    </w:p>
    <w:p w14:paraId="419D82D7">
      <w:pPr>
        <w:spacing w:line="560" w:lineRule="exact"/>
        <w:ind w:firstLine="640" w:firstLineChars="200"/>
        <w:rPr>
          <w:rFonts w:eastAsia="仿宋_GB2312"/>
          <w:bCs/>
          <w:color w:val="000000"/>
          <w:sz w:val="32"/>
          <w:szCs w:val="32"/>
        </w:rPr>
      </w:pPr>
      <w:r>
        <w:rPr>
          <w:rFonts w:eastAsia="仿宋_GB2312"/>
          <w:bCs/>
          <w:color w:val="000000"/>
          <w:sz w:val="32"/>
          <w:szCs w:val="32"/>
        </w:rPr>
        <w:t>8.贯彻执行全省药品、医用耗材的招标采购政策并监</w:t>
      </w:r>
      <w:r>
        <w:rPr>
          <w:rFonts w:eastAsia="仿宋_GB2312"/>
          <w:bCs/>
          <w:color w:val="000000"/>
          <w:spacing w:val="-10"/>
          <w:sz w:val="32"/>
          <w:szCs w:val="32"/>
        </w:rPr>
        <w:t>督实施，按照省、市招标采购平台建设要求，承担相关工作任务。</w:t>
      </w:r>
    </w:p>
    <w:p w14:paraId="6E96271A">
      <w:pPr>
        <w:spacing w:line="560" w:lineRule="exact"/>
        <w:ind w:firstLine="640" w:firstLineChars="200"/>
        <w:rPr>
          <w:rFonts w:eastAsia="仿宋_GB2312"/>
          <w:bCs/>
          <w:color w:val="000000"/>
          <w:sz w:val="32"/>
          <w:szCs w:val="32"/>
        </w:rPr>
      </w:pPr>
      <w:r>
        <w:rPr>
          <w:rFonts w:eastAsia="仿宋_GB2312"/>
          <w:bCs/>
          <w:color w:val="000000"/>
          <w:sz w:val="32"/>
          <w:szCs w:val="32"/>
        </w:rPr>
        <w:t>9.推进全县医疗保障基金支付方式改革，实行多元复合式医保支付方式。组织实施基金支付管理办法，保障参保人员基本权益和医保制度长期可持续发展。</w:t>
      </w:r>
    </w:p>
    <w:p w14:paraId="3E4CEC82">
      <w:pPr>
        <w:spacing w:line="560" w:lineRule="exact"/>
        <w:ind w:firstLine="640" w:firstLineChars="200"/>
        <w:rPr>
          <w:rFonts w:eastAsia="仿宋_GB2312"/>
          <w:bCs/>
          <w:color w:val="000000"/>
          <w:sz w:val="32"/>
          <w:szCs w:val="32"/>
        </w:rPr>
      </w:pPr>
      <w:r>
        <w:rPr>
          <w:rFonts w:eastAsia="仿宋_GB2312"/>
          <w:bCs/>
          <w:color w:val="000000"/>
          <w:sz w:val="32"/>
          <w:szCs w:val="32"/>
        </w:rPr>
        <w:t>10.负责全县医疗保障定点医药机构管理，制定并组织实施米易县医药机构医疗保障定点工作方案，组织实施定点医药机构服务协议。执行医疗保障信用评价体系和信息披露制度，监督管理纳入医疗保障范围内的医疗服务行为和医疗费用，依法查处医疗保障领域违法违规行为。</w:t>
      </w:r>
    </w:p>
    <w:p w14:paraId="3E2F1CA1">
      <w:pPr>
        <w:spacing w:line="560" w:lineRule="exact"/>
        <w:ind w:firstLine="640" w:firstLineChars="200"/>
        <w:rPr>
          <w:rFonts w:eastAsia="仿宋_GB2312"/>
          <w:bCs/>
          <w:color w:val="000000"/>
          <w:sz w:val="32"/>
          <w:szCs w:val="32"/>
        </w:rPr>
      </w:pPr>
      <w:r>
        <w:rPr>
          <w:rFonts w:eastAsia="仿宋_GB2312"/>
          <w:bCs/>
          <w:color w:val="000000"/>
          <w:sz w:val="32"/>
          <w:szCs w:val="32"/>
        </w:rPr>
        <w:t>11.负责全县医疗保障业务经办管理和公共服务体系建设。组织实施异地就医管理和费用结算政策。贯彻执行医疗保障关系转移接续政策。监督管理全县医保经办服务工作。开展医疗保障领域对外合作交流。</w:t>
      </w:r>
    </w:p>
    <w:p w14:paraId="11D0222C">
      <w:pPr>
        <w:spacing w:line="560" w:lineRule="exact"/>
        <w:ind w:firstLine="640" w:firstLineChars="200"/>
        <w:rPr>
          <w:rFonts w:eastAsia="仿宋_GB2312"/>
          <w:bCs/>
          <w:color w:val="000000"/>
          <w:sz w:val="32"/>
          <w:szCs w:val="32"/>
        </w:rPr>
      </w:pPr>
      <w:r>
        <w:rPr>
          <w:rFonts w:eastAsia="仿宋_GB2312"/>
          <w:bCs/>
          <w:color w:val="000000"/>
          <w:sz w:val="32"/>
          <w:szCs w:val="32"/>
        </w:rPr>
        <w:t>12.</w:t>
      </w:r>
      <w:r>
        <w:rPr>
          <w:rFonts w:eastAsia="仿宋_GB2312"/>
          <w:bCs/>
          <w:color w:val="000000"/>
          <w:spacing w:val="-10"/>
          <w:sz w:val="32"/>
          <w:szCs w:val="32"/>
        </w:rPr>
        <w:t>组织开展医疗保障信息化建设、大数据管理和应用。</w:t>
      </w:r>
    </w:p>
    <w:p w14:paraId="4B286961">
      <w:pPr>
        <w:spacing w:line="560" w:lineRule="exact"/>
        <w:ind w:firstLine="640" w:firstLineChars="200"/>
        <w:rPr>
          <w:rFonts w:eastAsia="仿宋_GB2312"/>
          <w:bCs/>
          <w:color w:val="000000"/>
          <w:sz w:val="32"/>
          <w:szCs w:val="32"/>
        </w:rPr>
      </w:pPr>
      <w:r>
        <w:rPr>
          <w:rFonts w:eastAsia="仿宋_GB2312"/>
          <w:bCs/>
          <w:color w:val="000000"/>
          <w:sz w:val="32"/>
          <w:szCs w:val="32"/>
        </w:rPr>
        <w:t>13.组织拟订县本级离休干部、六级以上革命伤残军人（警察）的医疗保障政策，以及建国初期参加革命工作和厅级干部、县级干部、高级知识分子的医疗照顾政策。</w:t>
      </w:r>
    </w:p>
    <w:p w14:paraId="1B9521F2">
      <w:pPr>
        <w:spacing w:line="560" w:lineRule="exact"/>
        <w:ind w:firstLine="640" w:firstLineChars="200"/>
        <w:rPr>
          <w:rFonts w:eastAsia="仿宋_GB2312"/>
          <w:bCs/>
          <w:color w:val="000000"/>
          <w:sz w:val="32"/>
          <w:szCs w:val="32"/>
        </w:rPr>
      </w:pPr>
      <w:r>
        <w:rPr>
          <w:rFonts w:eastAsia="仿宋_GB2312"/>
          <w:bCs/>
          <w:color w:val="000000"/>
          <w:sz w:val="32"/>
          <w:szCs w:val="32"/>
        </w:rPr>
        <w:t>14.负责职责范围内的安全生产和职业健康、生态环境保护、审批服务便民化等工作。</w:t>
      </w:r>
    </w:p>
    <w:p w14:paraId="2606AACD">
      <w:pPr>
        <w:spacing w:line="560" w:lineRule="exact"/>
        <w:ind w:firstLine="640" w:firstLineChars="200"/>
        <w:rPr>
          <w:rFonts w:eastAsia="仿宋_GB2312"/>
          <w:bCs/>
          <w:color w:val="000000"/>
          <w:sz w:val="32"/>
          <w:szCs w:val="32"/>
        </w:rPr>
      </w:pPr>
      <w:r>
        <w:rPr>
          <w:rFonts w:eastAsia="仿宋_GB2312"/>
          <w:bCs/>
          <w:color w:val="000000"/>
          <w:sz w:val="32"/>
          <w:szCs w:val="32"/>
        </w:rPr>
        <w:t>15.完成县委、县政府交办的其他任务。</w:t>
      </w:r>
    </w:p>
    <w:p w14:paraId="7307240E">
      <w:pPr>
        <w:spacing w:line="560" w:lineRule="exact"/>
        <w:ind w:firstLine="643" w:firstLineChars="200"/>
        <w:rPr>
          <w:rFonts w:eastAsia="楷体"/>
          <w:b/>
          <w:color w:val="000000"/>
          <w:sz w:val="32"/>
          <w:szCs w:val="32"/>
        </w:rPr>
      </w:pPr>
      <w:r>
        <w:rPr>
          <w:rFonts w:hAnsi="楷体" w:eastAsia="楷体"/>
          <w:b/>
          <w:color w:val="000000"/>
          <w:sz w:val="32"/>
          <w:szCs w:val="32"/>
        </w:rPr>
        <w:t>（三）机关内设机构</w:t>
      </w:r>
    </w:p>
    <w:p w14:paraId="60910BD9">
      <w:pPr>
        <w:spacing w:line="560" w:lineRule="exact"/>
        <w:ind w:firstLine="633" w:firstLineChars="197"/>
        <w:rPr>
          <w:rFonts w:ascii="仿宋_GB2312" w:eastAsia="仿宋_GB2312"/>
          <w:bCs/>
          <w:color w:val="000000"/>
          <w:sz w:val="32"/>
          <w:szCs w:val="32"/>
        </w:rPr>
      </w:pPr>
      <w:r>
        <w:rPr>
          <w:rFonts w:hint="eastAsia" w:ascii="仿宋_GB2312" w:eastAsia="仿宋_GB2312"/>
          <w:b/>
          <w:color w:val="000000"/>
          <w:sz w:val="32"/>
          <w:szCs w:val="32"/>
        </w:rPr>
        <w:t>1.办公室。</w:t>
      </w:r>
      <w:r>
        <w:rPr>
          <w:rFonts w:hint="eastAsia" w:ascii="仿宋_GB2312" w:eastAsia="仿宋_GB2312"/>
          <w:bCs/>
          <w:color w:val="000000"/>
          <w:sz w:val="32"/>
          <w:szCs w:val="32"/>
        </w:rPr>
        <w:t>负责综合性文件、重要报告的起草。负责文电、会务、接待、信息、宣传、机要等机关日常运转工作。承担保密、档案、信访、普法、综治、党群，以及目标、绩效管理、安全生产和职业健康、生态环境保护、审批服务便民化等工作。负责机关和所属单位有关规章制度的拟订和组织实施。负责财务、资产管理工作。承担各级审计、检查相关工作。承担机关和所属单位的机构编制、人事管理工作。组织办理人大代表建议、政协委员提案。组织拟订工作规划和工作计划。</w:t>
      </w:r>
    </w:p>
    <w:p w14:paraId="2BC34A90">
      <w:pPr>
        <w:spacing w:line="560" w:lineRule="exact"/>
        <w:ind w:firstLine="633" w:firstLineChars="197"/>
        <w:rPr>
          <w:rFonts w:ascii="仿宋_GB2312" w:eastAsia="仿宋_GB2312"/>
          <w:bCs/>
          <w:color w:val="000000"/>
          <w:sz w:val="32"/>
          <w:szCs w:val="32"/>
        </w:rPr>
      </w:pPr>
      <w:r>
        <w:rPr>
          <w:rFonts w:hint="eastAsia" w:ascii="仿宋_GB2312" w:eastAsia="仿宋_GB2312"/>
          <w:b/>
          <w:color w:val="000000"/>
          <w:sz w:val="32"/>
          <w:szCs w:val="32"/>
        </w:rPr>
        <w:t>2.业务股。</w:t>
      </w:r>
      <w:r>
        <w:rPr>
          <w:rFonts w:hint="eastAsia" w:ascii="仿宋_GB2312" w:eastAsia="仿宋_GB2312"/>
          <w:bCs/>
          <w:color w:val="000000"/>
          <w:sz w:val="32"/>
          <w:szCs w:val="32"/>
        </w:rPr>
        <w:t>组织实施医疗保障筹资和待遇政策，统筹推进多层次医疗保障建设，并承担待遇管理、行政复议、行政应诉等工作。组织实施基金支付、异地就医等政策，执行医保关系转移接续政策。组织实施长期护理保险制度改革方案和医疗救助工作，完善全县医疗救助基金管理办法。组织实施全市统一的药品、医用耗材价格和医疗服务项目、设施收费政策，负责药品、医用耗材的招标采购、配送及结算管理和监督工作。组织实施医保目录和支付标准。贯彻落实医保基金监督管理制度，健全安全防控机制，监督管理纳入基金支付范围的医疗行为和医疗费用，依法查处医疗保障领域违法违规行为。组织实施定点医药机构服务协议，指导全县定点医药机构管理工作，负责县域内定点医药机构资格的准入工作。组织推进医保支付方式改革，建立激励约束机制和费用控制机制。组织开展医疗保障信息化建设、大数据管理和应用。执行全省医疗保障经办服务规程，监督管理全县经办服务工作。拟订完善县本级离休干部、六级以上革命伤残军人（警察）的医疗保障政策和特殊人群医疗照顾政策。与县卫生等部门协同推进“三医联动”改革。与税务部门做好社会保险费征缴工作。</w:t>
      </w:r>
    </w:p>
    <w:p w14:paraId="0509B10E">
      <w:pPr>
        <w:spacing w:line="560" w:lineRule="exact"/>
        <w:ind w:firstLine="640" w:firstLineChars="200"/>
        <w:rPr>
          <w:rFonts w:eastAsia="方正仿宋_GBK"/>
          <w:bCs/>
          <w:color w:val="000000"/>
          <w:sz w:val="32"/>
          <w:szCs w:val="32"/>
        </w:rPr>
      </w:pPr>
      <w:r>
        <w:rPr>
          <w:rFonts w:eastAsia="黑体"/>
          <w:color w:val="000000"/>
          <w:sz w:val="32"/>
          <w:szCs w:val="32"/>
        </w:rPr>
        <w:t>二、评价工作开展情况</w:t>
      </w:r>
    </w:p>
    <w:p w14:paraId="42A97A00">
      <w:pPr>
        <w:spacing w:line="560" w:lineRule="exact"/>
        <w:ind w:firstLine="640" w:firstLineChars="200"/>
        <w:rPr>
          <w:rFonts w:eastAsia="仿宋_GB2312"/>
          <w:color w:val="000000"/>
          <w:sz w:val="32"/>
          <w:szCs w:val="32"/>
        </w:rPr>
      </w:pPr>
      <w:r>
        <w:rPr>
          <w:rFonts w:hAnsi="仿宋_GB2312" w:eastAsia="仿宋_GB2312"/>
          <w:color w:val="000000"/>
          <w:sz w:val="32"/>
          <w:szCs w:val="32"/>
        </w:rPr>
        <w:t>按照《</w:t>
      </w:r>
      <w:r>
        <w:rPr>
          <w:rFonts w:hAnsi="仿宋_GB2312" w:eastAsia="仿宋_GB2312"/>
          <w:color w:val="000000"/>
          <w:kern w:val="0"/>
          <w:sz w:val="32"/>
          <w:szCs w:val="32"/>
        </w:rPr>
        <w:t>米易县财政局关于开展</w:t>
      </w:r>
      <w:r>
        <w:rPr>
          <w:rFonts w:eastAsia="仿宋_GB2312"/>
          <w:color w:val="000000"/>
          <w:kern w:val="0"/>
          <w:sz w:val="32"/>
          <w:szCs w:val="32"/>
        </w:rPr>
        <w:t xml:space="preserve"> 2021 </w:t>
      </w:r>
      <w:r>
        <w:rPr>
          <w:rFonts w:hAnsi="仿宋_GB2312" w:eastAsia="仿宋_GB2312"/>
          <w:color w:val="000000"/>
          <w:kern w:val="0"/>
          <w:sz w:val="32"/>
          <w:szCs w:val="32"/>
        </w:rPr>
        <w:t>年财政绩效评价工作的通知</w:t>
      </w:r>
      <w:r>
        <w:rPr>
          <w:rFonts w:hAnsi="仿宋_GB2312" w:eastAsia="仿宋_GB2312"/>
          <w:color w:val="000000"/>
          <w:sz w:val="32"/>
          <w:szCs w:val="32"/>
        </w:rPr>
        <w:t>》（米财绩</w:t>
      </w:r>
      <w:r>
        <w:rPr>
          <w:rFonts w:eastAsia="仿宋_GB2312"/>
          <w:color w:val="000000"/>
          <w:sz w:val="32"/>
          <w:szCs w:val="32"/>
        </w:rPr>
        <w:t>[2021]80</w:t>
      </w:r>
      <w:r>
        <w:rPr>
          <w:rFonts w:hAnsi="仿宋_GB2312" w:eastAsia="仿宋_GB2312"/>
          <w:color w:val="000000"/>
          <w:sz w:val="32"/>
          <w:szCs w:val="32"/>
        </w:rPr>
        <w:t>号）要求，我单位</w:t>
      </w:r>
      <w:r>
        <w:rPr>
          <w:rFonts w:eastAsia="仿宋_GB2312"/>
          <w:color w:val="000000"/>
          <w:sz w:val="32"/>
          <w:szCs w:val="32"/>
        </w:rPr>
        <w:t>领导高度重视，成立部门整体预算绩效评价工作小组，对我单位2020年收入支出绩效进行评价，对项目支出绩效进行重点评价。</w:t>
      </w:r>
    </w:p>
    <w:p w14:paraId="3A5B1816">
      <w:pPr>
        <w:spacing w:line="560" w:lineRule="exact"/>
        <w:ind w:firstLine="780" w:firstLineChars="244"/>
        <w:rPr>
          <w:rStyle w:val="40"/>
          <w:rFonts w:hint="default"/>
        </w:rPr>
      </w:pPr>
      <w:r>
        <w:rPr>
          <w:rFonts w:eastAsia="黑体"/>
          <w:color w:val="000000"/>
          <w:sz w:val="32"/>
          <w:szCs w:val="32"/>
        </w:rPr>
        <w:t>三</w:t>
      </w:r>
      <w:r>
        <w:rPr>
          <w:rStyle w:val="40"/>
          <w:rFonts w:hint="default"/>
        </w:rPr>
        <w:t>、部门资金基本情况</w:t>
      </w:r>
    </w:p>
    <w:p w14:paraId="0D3DF1CC">
      <w:pPr>
        <w:spacing w:line="560" w:lineRule="exact"/>
        <w:ind w:firstLine="630" w:firstLineChars="196"/>
        <w:rPr>
          <w:rFonts w:eastAsia="楷体"/>
          <w:b/>
          <w:color w:val="000000"/>
          <w:sz w:val="32"/>
          <w:szCs w:val="32"/>
        </w:rPr>
      </w:pPr>
      <w:r>
        <w:rPr>
          <w:rFonts w:eastAsia="楷体"/>
          <w:b/>
          <w:color w:val="000000"/>
          <w:sz w:val="32"/>
          <w:szCs w:val="32"/>
        </w:rPr>
        <w:t>（一）部门财政资金收入情况。</w:t>
      </w:r>
    </w:p>
    <w:p w14:paraId="099176DA">
      <w:pPr>
        <w:spacing w:line="560" w:lineRule="exact"/>
        <w:ind w:firstLine="627" w:firstLineChars="196"/>
        <w:rPr>
          <w:rFonts w:ascii="仿宋_GB2312" w:hAnsi="仿宋_GB2312" w:eastAsia="仿宋_GB2312"/>
          <w:color w:val="000000"/>
          <w:sz w:val="32"/>
        </w:rPr>
      </w:pPr>
      <w:r>
        <w:rPr>
          <w:rFonts w:hint="eastAsia" w:ascii="仿宋_GB2312" w:hAnsi="仿宋_GB2312" w:eastAsia="仿宋_GB2312"/>
          <w:color w:val="000000"/>
          <w:sz w:val="32"/>
        </w:rPr>
        <w:t>2020年米易县医疗保障局财政资金收入总额为18</w:t>
      </w:r>
      <w:r>
        <w:rPr>
          <w:rFonts w:ascii="仿宋_GB2312" w:hAnsi="仿宋_GB2312" w:eastAsia="仿宋_GB2312"/>
          <w:color w:val="000000"/>
          <w:sz w:val="32"/>
        </w:rPr>
        <w:t>,</w:t>
      </w:r>
      <w:r>
        <w:rPr>
          <w:rFonts w:hint="eastAsia" w:ascii="仿宋_GB2312" w:hAnsi="仿宋_GB2312" w:eastAsia="仿宋_GB2312"/>
          <w:color w:val="000000"/>
          <w:sz w:val="32"/>
        </w:rPr>
        <w:t>814</w:t>
      </w:r>
      <w:r>
        <w:rPr>
          <w:rFonts w:ascii="仿宋_GB2312" w:hAnsi="仿宋_GB2312" w:eastAsia="仿宋_GB2312"/>
          <w:color w:val="000000"/>
          <w:sz w:val="32"/>
        </w:rPr>
        <w:t>,</w:t>
      </w:r>
      <w:r>
        <w:rPr>
          <w:rFonts w:hint="eastAsia" w:ascii="仿宋_GB2312" w:hAnsi="仿宋_GB2312" w:eastAsia="仿宋_GB2312"/>
          <w:color w:val="000000"/>
          <w:sz w:val="32"/>
        </w:rPr>
        <w:t>516</w:t>
      </w:r>
      <w:r>
        <w:rPr>
          <w:rFonts w:ascii="仿宋_GB2312" w:hAnsi="仿宋_GB2312" w:eastAsia="仿宋_GB2312"/>
          <w:color w:val="000000"/>
          <w:sz w:val="32"/>
        </w:rPr>
        <w:t>.</w:t>
      </w:r>
      <w:r>
        <w:rPr>
          <w:rFonts w:hint="eastAsia" w:ascii="仿宋_GB2312" w:hAnsi="仿宋_GB2312" w:eastAsia="仿宋_GB2312"/>
          <w:color w:val="000000"/>
          <w:sz w:val="32"/>
        </w:rPr>
        <w:t>49元。明细请参见下表：</w:t>
      </w:r>
    </w:p>
    <w:p w14:paraId="05590C4A">
      <w:pPr>
        <w:spacing w:line="560" w:lineRule="exact"/>
        <w:ind w:firstLine="630" w:firstLineChars="196"/>
        <w:rPr>
          <w:rFonts w:eastAsia="楷体"/>
          <w:b/>
          <w:color w:val="000000"/>
          <w:sz w:val="32"/>
          <w:szCs w:val="32"/>
        </w:rPr>
      </w:pPr>
    </w:p>
    <w:tbl>
      <w:tblPr>
        <w:tblStyle w:val="14"/>
        <w:tblW w:w="8270" w:type="dxa"/>
        <w:tblInd w:w="96" w:type="dxa"/>
        <w:tblLayout w:type="autofit"/>
        <w:tblCellMar>
          <w:top w:w="0" w:type="dxa"/>
          <w:left w:w="108" w:type="dxa"/>
          <w:bottom w:w="0" w:type="dxa"/>
          <w:right w:w="108" w:type="dxa"/>
        </w:tblCellMar>
      </w:tblPr>
      <w:tblGrid>
        <w:gridCol w:w="436"/>
        <w:gridCol w:w="436"/>
        <w:gridCol w:w="436"/>
        <w:gridCol w:w="3524"/>
        <w:gridCol w:w="1719"/>
        <w:gridCol w:w="1719"/>
      </w:tblGrid>
      <w:tr w14:paraId="3EB922E6">
        <w:tblPrEx>
          <w:tblCellMar>
            <w:top w:w="0" w:type="dxa"/>
            <w:left w:w="108" w:type="dxa"/>
            <w:bottom w:w="0" w:type="dxa"/>
            <w:right w:w="108" w:type="dxa"/>
          </w:tblCellMar>
        </w:tblPrEx>
        <w:trPr>
          <w:trHeight w:val="309" w:hRule="atLeast"/>
        </w:trPr>
        <w:tc>
          <w:tcPr>
            <w:tcW w:w="4832" w:type="dxa"/>
            <w:gridSpan w:val="4"/>
            <w:tcBorders>
              <w:top w:val="single" w:color="auto" w:sz="4" w:space="0"/>
              <w:left w:val="single" w:color="auto" w:sz="4" w:space="0"/>
              <w:bottom w:val="single" w:color="auto" w:sz="4" w:space="0"/>
              <w:right w:val="single" w:color="auto" w:sz="4" w:space="0"/>
            </w:tcBorders>
            <w:shd w:val="clear" w:color="FFFFFF" w:fill="C0C0C0"/>
            <w:noWrap/>
            <w:vAlign w:val="center"/>
          </w:tcPr>
          <w:p w14:paraId="50ABA432">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719"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14:paraId="3E64A53A">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1719"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14:paraId="5EF768BE">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r>
      <w:tr w14:paraId="267F182C">
        <w:tblPrEx>
          <w:tblCellMar>
            <w:top w:w="0" w:type="dxa"/>
            <w:left w:w="108" w:type="dxa"/>
            <w:bottom w:w="0" w:type="dxa"/>
            <w:right w:w="108" w:type="dxa"/>
          </w:tblCellMar>
        </w:tblPrEx>
        <w:trPr>
          <w:trHeight w:val="312" w:hRule="atLeast"/>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FFFFFF" w:fill="C0C0C0"/>
            <w:vAlign w:val="center"/>
          </w:tcPr>
          <w:p w14:paraId="6B903A62">
            <w:pPr>
              <w:widowControl/>
              <w:jc w:val="center"/>
              <w:rPr>
                <w:rFonts w:ascii="宋体" w:hAnsi="宋体" w:cs="Arial"/>
                <w:color w:val="000000"/>
                <w:kern w:val="0"/>
                <w:sz w:val="22"/>
              </w:rPr>
            </w:pPr>
            <w:r>
              <w:rPr>
                <w:rFonts w:hint="eastAsia" w:ascii="宋体" w:hAnsi="宋体" w:cs="Arial"/>
                <w:color w:val="000000"/>
                <w:kern w:val="0"/>
                <w:sz w:val="22"/>
              </w:rPr>
              <w:t>支出功能分类科目编码</w:t>
            </w:r>
          </w:p>
        </w:tc>
        <w:tc>
          <w:tcPr>
            <w:tcW w:w="3524" w:type="dxa"/>
            <w:vMerge w:val="restart"/>
            <w:tcBorders>
              <w:top w:val="nil"/>
              <w:left w:val="single" w:color="auto" w:sz="4" w:space="0"/>
              <w:bottom w:val="single" w:color="auto" w:sz="4" w:space="0"/>
              <w:right w:val="single" w:color="auto" w:sz="4" w:space="0"/>
            </w:tcBorders>
            <w:shd w:val="clear" w:color="FFFFFF" w:fill="C0C0C0"/>
            <w:noWrap/>
            <w:vAlign w:val="center"/>
          </w:tcPr>
          <w:p w14:paraId="21935CA6">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719" w:type="dxa"/>
            <w:vMerge w:val="continue"/>
            <w:tcBorders>
              <w:top w:val="single" w:color="auto" w:sz="4" w:space="0"/>
              <w:left w:val="single" w:color="auto" w:sz="4" w:space="0"/>
              <w:bottom w:val="single" w:color="auto" w:sz="4" w:space="0"/>
              <w:right w:val="single" w:color="auto" w:sz="4" w:space="0"/>
            </w:tcBorders>
            <w:vAlign w:val="center"/>
          </w:tcPr>
          <w:p w14:paraId="4006DFBD">
            <w:pPr>
              <w:widowControl/>
              <w:jc w:val="left"/>
              <w:rPr>
                <w:rFonts w:ascii="宋体" w:hAnsi="宋体" w:cs="Arial"/>
                <w:color w:val="000000"/>
                <w:kern w:val="0"/>
                <w:sz w:val="22"/>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14:paraId="7E96ECB5">
            <w:pPr>
              <w:widowControl/>
              <w:jc w:val="left"/>
              <w:rPr>
                <w:rFonts w:ascii="宋体" w:hAnsi="宋体" w:cs="Arial"/>
                <w:color w:val="000000"/>
                <w:kern w:val="0"/>
                <w:sz w:val="22"/>
              </w:rPr>
            </w:pPr>
          </w:p>
        </w:tc>
      </w:tr>
      <w:tr w14:paraId="30B264DB">
        <w:tblPrEx>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14:paraId="77576B05">
            <w:pPr>
              <w:widowControl/>
              <w:jc w:val="left"/>
              <w:rPr>
                <w:rFonts w:ascii="宋体" w:hAnsi="宋体" w:cs="Arial"/>
                <w:color w:val="000000"/>
                <w:kern w:val="0"/>
                <w:sz w:val="22"/>
              </w:rPr>
            </w:pPr>
          </w:p>
        </w:tc>
        <w:tc>
          <w:tcPr>
            <w:tcW w:w="3524" w:type="dxa"/>
            <w:vMerge w:val="continue"/>
            <w:tcBorders>
              <w:top w:val="nil"/>
              <w:left w:val="single" w:color="auto" w:sz="4" w:space="0"/>
              <w:bottom w:val="single" w:color="auto" w:sz="4" w:space="0"/>
              <w:right w:val="single" w:color="auto" w:sz="4" w:space="0"/>
            </w:tcBorders>
            <w:vAlign w:val="center"/>
          </w:tcPr>
          <w:p w14:paraId="4863595A">
            <w:pPr>
              <w:widowControl/>
              <w:jc w:val="left"/>
              <w:rPr>
                <w:rFonts w:ascii="宋体" w:hAnsi="宋体" w:cs="Arial"/>
                <w:color w:val="000000"/>
                <w:kern w:val="0"/>
                <w:sz w:val="22"/>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14:paraId="15B193A0">
            <w:pPr>
              <w:widowControl/>
              <w:jc w:val="left"/>
              <w:rPr>
                <w:rFonts w:ascii="宋体" w:hAnsi="宋体" w:cs="Arial"/>
                <w:color w:val="000000"/>
                <w:kern w:val="0"/>
                <w:sz w:val="22"/>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14:paraId="0EC256CF">
            <w:pPr>
              <w:widowControl/>
              <w:jc w:val="left"/>
              <w:rPr>
                <w:rFonts w:ascii="宋体" w:hAnsi="宋体" w:cs="Arial"/>
                <w:color w:val="000000"/>
                <w:kern w:val="0"/>
                <w:sz w:val="22"/>
              </w:rPr>
            </w:pPr>
          </w:p>
        </w:tc>
      </w:tr>
      <w:tr w14:paraId="1B60E0AD">
        <w:tblPrEx>
          <w:tblCellMar>
            <w:top w:w="0" w:type="dxa"/>
            <w:left w:w="108" w:type="dxa"/>
            <w:bottom w:w="0" w:type="dxa"/>
            <w:right w:w="108" w:type="dxa"/>
          </w:tblCellMar>
        </w:tblPrEx>
        <w:trPr>
          <w:trHeight w:val="600"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14:paraId="581EE325">
            <w:pPr>
              <w:widowControl/>
              <w:jc w:val="left"/>
              <w:rPr>
                <w:rFonts w:ascii="宋体" w:hAnsi="宋体" w:cs="Arial"/>
                <w:color w:val="000000"/>
                <w:kern w:val="0"/>
                <w:sz w:val="22"/>
              </w:rPr>
            </w:pPr>
          </w:p>
        </w:tc>
        <w:tc>
          <w:tcPr>
            <w:tcW w:w="3524" w:type="dxa"/>
            <w:vMerge w:val="continue"/>
            <w:tcBorders>
              <w:top w:val="nil"/>
              <w:left w:val="single" w:color="auto" w:sz="4" w:space="0"/>
              <w:bottom w:val="single" w:color="auto" w:sz="4" w:space="0"/>
              <w:right w:val="single" w:color="auto" w:sz="4" w:space="0"/>
            </w:tcBorders>
            <w:vAlign w:val="center"/>
          </w:tcPr>
          <w:p w14:paraId="514E432D">
            <w:pPr>
              <w:widowControl/>
              <w:jc w:val="left"/>
              <w:rPr>
                <w:rFonts w:ascii="宋体" w:hAnsi="宋体" w:cs="Arial"/>
                <w:color w:val="000000"/>
                <w:kern w:val="0"/>
                <w:sz w:val="22"/>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14:paraId="339D6D9D">
            <w:pPr>
              <w:widowControl/>
              <w:jc w:val="left"/>
              <w:rPr>
                <w:rFonts w:ascii="宋体" w:hAnsi="宋体" w:cs="Arial"/>
                <w:color w:val="000000"/>
                <w:kern w:val="0"/>
                <w:sz w:val="22"/>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14:paraId="5131F7EF">
            <w:pPr>
              <w:widowControl/>
              <w:jc w:val="left"/>
              <w:rPr>
                <w:rFonts w:ascii="宋体" w:hAnsi="宋体" w:cs="Arial"/>
                <w:color w:val="000000"/>
                <w:kern w:val="0"/>
                <w:sz w:val="22"/>
              </w:rPr>
            </w:pPr>
          </w:p>
        </w:tc>
      </w:tr>
      <w:tr w14:paraId="2868049E">
        <w:tblPrEx>
          <w:tblCellMar>
            <w:top w:w="0" w:type="dxa"/>
            <w:left w:w="108" w:type="dxa"/>
            <w:bottom w:w="0" w:type="dxa"/>
            <w:right w:w="108" w:type="dxa"/>
          </w:tblCellMar>
        </w:tblPrEx>
        <w:trPr>
          <w:trHeight w:val="309" w:hRule="atLeast"/>
        </w:trPr>
        <w:tc>
          <w:tcPr>
            <w:tcW w:w="436" w:type="dxa"/>
            <w:vMerge w:val="restart"/>
            <w:tcBorders>
              <w:top w:val="nil"/>
              <w:left w:val="single" w:color="auto" w:sz="4" w:space="0"/>
              <w:bottom w:val="single" w:color="auto" w:sz="4" w:space="0"/>
              <w:right w:val="single" w:color="auto" w:sz="4" w:space="0"/>
            </w:tcBorders>
            <w:shd w:val="clear" w:color="FFFFFF" w:fill="C0C0C0"/>
            <w:noWrap/>
            <w:vAlign w:val="center"/>
          </w:tcPr>
          <w:p w14:paraId="4921B05E">
            <w:pPr>
              <w:widowControl/>
              <w:jc w:val="center"/>
              <w:rPr>
                <w:rFonts w:ascii="宋体" w:hAnsi="宋体" w:cs="Arial"/>
                <w:color w:val="000000"/>
                <w:kern w:val="0"/>
                <w:sz w:val="22"/>
              </w:rPr>
            </w:pPr>
            <w:r>
              <w:rPr>
                <w:rFonts w:hint="eastAsia" w:ascii="宋体" w:hAnsi="宋体" w:cs="Arial"/>
                <w:color w:val="000000"/>
                <w:kern w:val="0"/>
                <w:sz w:val="22"/>
              </w:rPr>
              <w:t>类</w:t>
            </w:r>
          </w:p>
        </w:tc>
        <w:tc>
          <w:tcPr>
            <w:tcW w:w="436" w:type="dxa"/>
            <w:vMerge w:val="restart"/>
            <w:tcBorders>
              <w:top w:val="nil"/>
              <w:left w:val="single" w:color="auto" w:sz="4" w:space="0"/>
              <w:bottom w:val="single" w:color="auto" w:sz="4" w:space="0"/>
              <w:right w:val="single" w:color="auto" w:sz="4" w:space="0"/>
            </w:tcBorders>
            <w:shd w:val="clear" w:color="FFFFFF" w:fill="C0C0C0"/>
            <w:noWrap/>
            <w:vAlign w:val="center"/>
          </w:tcPr>
          <w:p w14:paraId="748239DD">
            <w:pPr>
              <w:widowControl/>
              <w:jc w:val="center"/>
              <w:rPr>
                <w:rFonts w:ascii="宋体" w:hAnsi="宋体" w:cs="Arial"/>
                <w:color w:val="000000"/>
                <w:kern w:val="0"/>
                <w:sz w:val="22"/>
              </w:rPr>
            </w:pPr>
            <w:r>
              <w:rPr>
                <w:rFonts w:hint="eastAsia" w:ascii="宋体" w:hAnsi="宋体" w:cs="Arial"/>
                <w:color w:val="000000"/>
                <w:kern w:val="0"/>
                <w:sz w:val="22"/>
              </w:rPr>
              <w:t>款</w:t>
            </w:r>
          </w:p>
        </w:tc>
        <w:tc>
          <w:tcPr>
            <w:tcW w:w="436" w:type="dxa"/>
            <w:vMerge w:val="restart"/>
            <w:tcBorders>
              <w:top w:val="nil"/>
              <w:left w:val="single" w:color="auto" w:sz="4" w:space="0"/>
              <w:bottom w:val="single" w:color="auto" w:sz="4" w:space="0"/>
              <w:right w:val="single" w:color="auto" w:sz="4" w:space="0"/>
            </w:tcBorders>
            <w:shd w:val="clear" w:color="FFFFFF" w:fill="C0C0C0"/>
            <w:noWrap/>
            <w:vAlign w:val="center"/>
          </w:tcPr>
          <w:p w14:paraId="69AE6087">
            <w:pPr>
              <w:widowControl/>
              <w:jc w:val="center"/>
              <w:rPr>
                <w:rFonts w:ascii="宋体" w:hAnsi="宋体" w:cs="Arial"/>
                <w:color w:val="000000"/>
                <w:kern w:val="0"/>
                <w:sz w:val="22"/>
              </w:rPr>
            </w:pPr>
            <w:r>
              <w:rPr>
                <w:rFonts w:hint="eastAsia" w:ascii="宋体" w:hAnsi="宋体" w:cs="Arial"/>
                <w:color w:val="000000"/>
                <w:kern w:val="0"/>
                <w:sz w:val="22"/>
              </w:rPr>
              <w:t>项</w:t>
            </w:r>
          </w:p>
        </w:tc>
        <w:tc>
          <w:tcPr>
            <w:tcW w:w="3524" w:type="dxa"/>
            <w:tcBorders>
              <w:top w:val="nil"/>
              <w:left w:val="nil"/>
              <w:bottom w:val="single" w:color="auto" w:sz="4" w:space="0"/>
              <w:right w:val="single" w:color="auto" w:sz="4" w:space="0"/>
            </w:tcBorders>
            <w:shd w:val="clear" w:color="FFFFFF" w:fill="C0C0C0"/>
            <w:noWrap/>
            <w:vAlign w:val="center"/>
          </w:tcPr>
          <w:p w14:paraId="5EF6092C">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719" w:type="dxa"/>
            <w:tcBorders>
              <w:top w:val="nil"/>
              <w:left w:val="nil"/>
              <w:bottom w:val="single" w:color="auto" w:sz="4" w:space="0"/>
              <w:right w:val="single" w:color="auto" w:sz="4" w:space="0"/>
            </w:tcBorders>
            <w:shd w:val="clear" w:color="FFFFFF" w:fill="C0C0C0"/>
            <w:vAlign w:val="center"/>
          </w:tcPr>
          <w:p w14:paraId="7143E00C">
            <w:pPr>
              <w:widowControl/>
              <w:jc w:val="center"/>
              <w:rPr>
                <w:rFonts w:ascii="宋体" w:hAnsi="宋体" w:cs="Arial"/>
                <w:color w:val="000000"/>
                <w:kern w:val="0"/>
                <w:sz w:val="22"/>
              </w:rPr>
            </w:pPr>
            <w:r>
              <w:rPr>
                <w:rFonts w:hint="eastAsia" w:ascii="宋体" w:hAnsi="宋体" w:cs="Arial"/>
                <w:color w:val="000000"/>
                <w:kern w:val="0"/>
                <w:sz w:val="22"/>
              </w:rPr>
              <w:t>5</w:t>
            </w:r>
          </w:p>
        </w:tc>
        <w:tc>
          <w:tcPr>
            <w:tcW w:w="1719" w:type="dxa"/>
            <w:tcBorders>
              <w:top w:val="nil"/>
              <w:left w:val="nil"/>
              <w:bottom w:val="single" w:color="auto" w:sz="4" w:space="0"/>
              <w:right w:val="single" w:color="auto" w:sz="4" w:space="0"/>
            </w:tcBorders>
            <w:shd w:val="clear" w:color="FFFFFF" w:fill="C0C0C0"/>
            <w:vAlign w:val="center"/>
          </w:tcPr>
          <w:p w14:paraId="598BC5FE">
            <w:pPr>
              <w:widowControl/>
              <w:jc w:val="center"/>
              <w:rPr>
                <w:rFonts w:ascii="宋体" w:hAnsi="宋体" w:cs="Arial"/>
                <w:color w:val="000000"/>
                <w:kern w:val="0"/>
                <w:sz w:val="22"/>
              </w:rPr>
            </w:pPr>
            <w:r>
              <w:rPr>
                <w:rFonts w:hint="eastAsia" w:ascii="宋体" w:hAnsi="宋体" w:cs="Arial"/>
                <w:color w:val="000000"/>
                <w:kern w:val="0"/>
                <w:sz w:val="22"/>
              </w:rPr>
              <w:t>6</w:t>
            </w:r>
          </w:p>
        </w:tc>
      </w:tr>
      <w:tr w14:paraId="0A5E06F0">
        <w:tblPrEx>
          <w:tblCellMar>
            <w:top w:w="0" w:type="dxa"/>
            <w:left w:w="108" w:type="dxa"/>
            <w:bottom w:w="0" w:type="dxa"/>
            <w:right w:w="108" w:type="dxa"/>
          </w:tblCellMar>
        </w:tblPrEx>
        <w:trPr>
          <w:trHeight w:val="309" w:hRule="atLeast"/>
        </w:trPr>
        <w:tc>
          <w:tcPr>
            <w:tcW w:w="436" w:type="dxa"/>
            <w:vMerge w:val="continue"/>
            <w:tcBorders>
              <w:top w:val="nil"/>
              <w:left w:val="single" w:color="auto" w:sz="4" w:space="0"/>
              <w:bottom w:val="single" w:color="auto" w:sz="4" w:space="0"/>
              <w:right w:val="single" w:color="auto" w:sz="4" w:space="0"/>
            </w:tcBorders>
            <w:vAlign w:val="center"/>
          </w:tcPr>
          <w:p w14:paraId="512FE723">
            <w:pPr>
              <w:widowControl/>
              <w:jc w:val="left"/>
              <w:rPr>
                <w:rFonts w:ascii="宋体" w:hAnsi="宋体" w:cs="Arial"/>
                <w:color w:val="000000"/>
                <w:kern w:val="0"/>
                <w:sz w:val="22"/>
              </w:rPr>
            </w:pPr>
          </w:p>
        </w:tc>
        <w:tc>
          <w:tcPr>
            <w:tcW w:w="436" w:type="dxa"/>
            <w:vMerge w:val="continue"/>
            <w:tcBorders>
              <w:top w:val="nil"/>
              <w:left w:val="single" w:color="auto" w:sz="4" w:space="0"/>
              <w:bottom w:val="single" w:color="auto" w:sz="4" w:space="0"/>
              <w:right w:val="single" w:color="auto" w:sz="4" w:space="0"/>
            </w:tcBorders>
            <w:vAlign w:val="center"/>
          </w:tcPr>
          <w:p w14:paraId="64306D93">
            <w:pPr>
              <w:widowControl/>
              <w:jc w:val="left"/>
              <w:rPr>
                <w:rFonts w:ascii="宋体" w:hAnsi="宋体" w:cs="Arial"/>
                <w:color w:val="000000"/>
                <w:kern w:val="0"/>
                <w:sz w:val="22"/>
              </w:rPr>
            </w:pPr>
          </w:p>
        </w:tc>
        <w:tc>
          <w:tcPr>
            <w:tcW w:w="436" w:type="dxa"/>
            <w:vMerge w:val="continue"/>
            <w:tcBorders>
              <w:top w:val="nil"/>
              <w:left w:val="single" w:color="auto" w:sz="4" w:space="0"/>
              <w:bottom w:val="single" w:color="auto" w:sz="4" w:space="0"/>
              <w:right w:val="single" w:color="auto" w:sz="4" w:space="0"/>
            </w:tcBorders>
            <w:vAlign w:val="center"/>
          </w:tcPr>
          <w:p w14:paraId="06A036F2">
            <w:pPr>
              <w:widowControl/>
              <w:jc w:val="left"/>
              <w:rPr>
                <w:rFonts w:ascii="宋体" w:hAnsi="宋体" w:cs="Arial"/>
                <w:color w:val="000000"/>
                <w:kern w:val="0"/>
                <w:sz w:val="22"/>
              </w:rPr>
            </w:pPr>
          </w:p>
        </w:tc>
        <w:tc>
          <w:tcPr>
            <w:tcW w:w="3524" w:type="dxa"/>
            <w:tcBorders>
              <w:top w:val="nil"/>
              <w:left w:val="nil"/>
              <w:bottom w:val="single" w:color="auto" w:sz="4" w:space="0"/>
              <w:right w:val="single" w:color="auto" w:sz="4" w:space="0"/>
            </w:tcBorders>
            <w:shd w:val="clear" w:color="FFFFFF" w:fill="C0C0C0"/>
            <w:noWrap/>
            <w:vAlign w:val="center"/>
          </w:tcPr>
          <w:p w14:paraId="2F3AB902">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719" w:type="dxa"/>
            <w:tcBorders>
              <w:top w:val="nil"/>
              <w:left w:val="nil"/>
              <w:bottom w:val="single" w:color="auto" w:sz="4" w:space="0"/>
              <w:right w:val="single" w:color="auto" w:sz="4" w:space="0"/>
            </w:tcBorders>
            <w:shd w:val="clear" w:color="auto" w:fill="auto"/>
            <w:noWrap/>
            <w:vAlign w:val="center"/>
          </w:tcPr>
          <w:p w14:paraId="1A8A6737">
            <w:pPr>
              <w:widowControl/>
              <w:jc w:val="right"/>
              <w:rPr>
                <w:rFonts w:ascii="宋体" w:hAnsi="宋体" w:cs="Arial"/>
                <w:color w:val="000000"/>
                <w:kern w:val="0"/>
                <w:sz w:val="22"/>
              </w:rPr>
            </w:pPr>
            <w:r>
              <w:rPr>
                <w:rFonts w:hint="eastAsia" w:ascii="宋体" w:hAnsi="宋体" w:cs="Arial"/>
                <w:color w:val="000000"/>
                <w:kern w:val="0"/>
                <w:sz w:val="22"/>
              </w:rPr>
              <w:t>18,814,516.49</w:t>
            </w:r>
          </w:p>
        </w:tc>
        <w:tc>
          <w:tcPr>
            <w:tcW w:w="1719" w:type="dxa"/>
            <w:tcBorders>
              <w:top w:val="nil"/>
              <w:left w:val="nil"/>
              <w:bottom w:val="single" w:color="auto" w:sz="4" w:space="0"/>
              <w:right w:val="single" w:color="auto" w:sz="4" w:space="0"/>
            </w:tcBorders>
            <w:shd w:val="clear" w:color="auto" w:fill="auto"/>
            <w:noWrap/>
            <w:vAlign w:val="center"/>
          </w:tcPr>
          <w:p w14:paraId="7B46BC83">
            <w:pPr>
              <w:widowControl/>
              <w:jc w:val="right"/>
              <w:rPr>
                <w:rFonts w:ascii="宋体" w:hAnsi="宋体" w:cs="Arial"/>
                <w:color w:val="000000"/>
                <w:kern w:val="0"/>
                <w:sz w:val="22"/>
              </w:rPr>
            </w:pPr>
            <w:r>
              <w:rPr>
                <w:rFonts w:hint="eastAsia" w:ascii="宋体" w:hAnsi="宋体" w:cs="Arial"/>
                <w:color w:val="000000"/>
                <w:kern w:val="0"/>
                <w:sz w:val="22"/>
              </w:rPr>
              <w:t>18,814,516.49</w:t>
            </w:r>
          </w:p>
        </w:tc>
      </w:tr>
      <w:tr w14:paraId="56AC7169">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969A20">
            <w:pPr>
              <w:widowControl/>
              <w:jc w:val="left"/>
              <w:rPr>
                <w:rFonts w:ascii="宋体" w:hAnsi="宋体" w:cs="Arial"/>
                <w:color w:val="000000"/>
                <w:kern w:val="0"/>
                <w:sz w:val="22"/>
              </w:rPr>
            </w:pPr>
            <w:r>
              <w:rPr>
                <w:rFonts w:hint="eastAsia" w:ascii="宋体" w:hAnsi="宋体" w:cs="Arial"/>
                <w:color w:val="000000"/>
                <w:kern w:val="0"/>
                <w:sz w:val="22"/>
              </w:rPr>
              <w:t>208</w:t>
            </w:r>
          </w:p>
        </w:tc>
        <w:tc>
          <w:tcPr>
            <w:tcW w:w="3524" w:type="dxa"/>
            <w:tcBorders>
              <w:top w:val="nil"/>
              <w:left w:val="nil"/>
              <w:bottom w:val="single" w:color="auto" w:sz="4" w:space="0"/>
              <w:right w:val="single" w:color="auto" w:sz="4" w:space="0"/>
            </w:tcBorders>
            <w:shd w:val="clear" w:color="auto" w:fill="auto"/>
            <w:noWrap/>
            <w:vAlign w:val="center"/>
          </w:tcPr>
          <w:p w14:paraId="17E287E8">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719" w:type="dxa"/>
            <w:tcBorders>
              <w:top w:val="nil"/>
              <w:left w:val="nil"/>
              <w:bottom w:val="single" w:color="auto" w:sz="4" w:space="0"/>
              <w:right w:val="single" w:color="auto" w:sz="4" w:space="0"/>
            </w:tcBorders>
            <w:shd w:val="clear" w:color="auto" w:fill="auto"/>
            <w:noWrap/>
            <w:vAlign w:val="center"/>
          </w:tcPr>
          <w:p w14:paraId="51DDABFF">
            <w:pPr>
              <w:widowControl/>
              <w:jc w:val="right"/>
              <w:rPr>
                <w:rFonts w:ascii="宋体" w:hAnsi="宋体" w:cs="Arial"/>
                <w:color w:val="000000"/>
                <w:kern w:val="0"/>
                <w:sz w:val="22"/>
              </w:rPr>
            </w:pPr>
            <w:r>
              <w:rPr>
                <w:rFonts w:hint="eastAsia" w:ascii="宋体" w:hAnsi="宋体" w:cs="Arial"/>
                <w:color w:val="000000"/>
                <w:kern w:val="0"/>
                <w:sz w:val="22"/>
              </w:rPr>
              <w:t>214,909.79</w:t>
            </w:r>
          </w:p>
        </w:tc>
        <w:tc>
          <w:tcPr>
            <w:tcW w:w="1719" w:type="dxa"/>
            <w:tcBorders>
              <w:top w:val="nil"/>
              <w:left w:val="nil"/>
              <w:bottom w:val="single" w:color="auto" w:sz="4" w:space="0"/>
              <w:right w:val="single" w:color="auto" w:sz="4" w:space="0"/>
            </w:tcBorders>
            <w:shd w:val="clear" w:color="auto" w:fill="auto"/>
            <w:noWrap/>
            <w:vAlign w:val="center"/>
          </w:tcPr>
          <w:p w14:paraId="784D7E7D">
            <w:pPr>
              <w:widowControl/>
              <w:jc w:val="right"/>
              <w:rPr>
                <w:rFonts w:ascii="宋体" w:hAnsi="宋体" w:cs="Arial"/>
                <w:color w:val="000000"/>
                <w:kern w:val="0"/>
                <w:sz w:val="22"/>
              </w:rPr>
            </w:pPr>
            <w:r>
              <w:rPr>
                <w:rFonts w:hint="eastAsia" w:ascii="宋体" w:hAnsi="宋体" w:cs="Arial"/>
                <w:color w:val="000000"/>
                <w:kern w:val="0"/>
                <w:sz w:val="22"/>
              </w:rPr>
              <w:t>214,909.79</w:t>
            </w:r>
          </w:p>
        </w:tc>
      </w:tr>
      <w:tr w14:paraId="49F97E8A">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86A853">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524" w:type="dxa"/>
            <w:tcBorders>
              <w:top w:val="nil"/>
              <w:left w:val="nil"/>
              <w:bottom w:val="single" w:color="auto" w:sz="4" w:space="0"/>
              <w:right w:val="single" w:color="auto" w:sz="4" w:space="0"/>
            </w:tcBorders>
            <w:shd w:val="clear" w:color="auto" w:fill="auto"/>
            <w:noWrap/>
            <w:vAlign w:val="center"/>
          </w:tcPr>
          <w:p w14:paraId="252898C4">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719" w:type="dxa"/>
            <w:tcBorders>
              <w:top w:val="nil"/>
              <w:left w:val="nil"/>
              <w:bottom w:val="single" w:color="auto" w:sz="4" w:space="0"/>
              <w:right w:val="single" w:color="auto" w:sz="4" w:space="0"/>
            </w:tcBorders>
            <w:shd w:val="clear" w:color="auto" w:fill="auto"/>
            <w:noWrap/>
            <w:vAlign w:val="center"/>
          </w:tcPr>
          <w:p w14:paraId="0CA9D414">
            <w:pPr>
              <w:widowControl/>
              <w:jc w:val="right"/>
              <w:rPr>
                <w:rFonts w:ascii="宋体" w:hAnsi="宋体" w:cs="Arial"/>
                <w:color w:val="000000"/>
                <w:kern w:val="0"/>
                <w:sz w:val="22"/>
              </w:rPr>
            </w:pPr>
            <w:r>
              <w:rPr>
                <w:rFonts w:hint="eastAsia" w:ascii="宋体" w:hAnsi="宋体" w:cs="Arial"/>
                <w:color w:val="000000"/>
                <w:kern w:val="0"/>
                <w:sz w:val="22"/>
              </w:rPr>
              <w:t>214,909.79</w:t>
            </w:r>
          </w:p>
        </w:tc>
        <w:tc>
          <w:tcPr>
            <w:tcW w:w="1719" w:type="dxa"/>
            <w:tcBorders>
              <w:top w:val="nil"/>
              <w:left w:val="nil"/>
              <w:bottom w:val="single" w:color="auto" w:sz="4" w:space="0"/>
              <w:right w:val="single" w:color="auto" w:sz="4" w:space="0"/>
            </w:tcBorders>
            <w:shd w:val="clear" w:color="auto" w:fill="auto"/>
            <w:noWrap/>
            <w:vAlign w:val="center"/>
          </w:tcPr>
          <w:p w14:paraId="09E4829A">
            <w:pPr>
              <w:widowControl/>
              <w:jc w:val="right"/>
              <w:rPr>
                <w:rFonts w:ascii="宋体" w:hAnsi="宋体" w:cs="Arial"/>
                <w:color w:val="000000"/>
                <w:kern w:val="0"/>
                <w:sz w:val="22"/>
              </w:rPr>
            </w:pPr>
            <w:r>
              <w:rPr>
                <w:rFonts w:hint="eastAsia" w:ascii="宋体" w:hAnsi="宋体" w:cs="Arial"/>
                <w:color w:val="000000"/>
                <w:kern w:val="0"/>
                <w:sz w:val="22"/>
              </w:rPr>
              <w:t>214,909.79</w:t>
            </w:r>
          </w:p>
        </w:tc>
      </w:tr>
      <w:tr w14:paraId="4B6817C9">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A98254">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3524" w:type="dxa"/>
            <w:tcBorders>
              <w:top w:val="nil"/>
              <w:left w:val="nil"/>
              <w:bottom w:val="single" w:color="auto" w:sz="4" w:space="0"/>
              <w:right w:val="single" w:color="auto" w:sz="4" w:space="0"/>
            </w:tcBorders>
            <w:shd w:val="clear" w:color="auto" w:fill="auto"/>
            <w:noWrap/>
            <w:vAlign w:val="center"/>
          </w:tcPr>
          <w:p w14:paraId="2C82EC84">
            <w:pPr>
              <w:widowControl/>
              <w:jc w:val="left"/>
              <w:rPr>
                <w:rFonts w:ascii="宋体" w:hAnsi="宋体" w:cs="Arial"/>
                <w:color w:val="000000"/>
                <w:kern w:val="0"/>
                <w:sz w:val="22"/>
              </w:rPr>
            </w:pPr>
            <w:r>
              <w:rPr>
                <w:rFonts w:hint="eastAsia" w:ascii="宋体" w:hAnsi="宋体" w:cs="Arial"/>
                <w:color w:val="000000"/>
                <w:kern w:val="0"/>
                <w:sz w:val="22"/>
              </w:rPr>
              <w:t xml:space="preserve">  行政单位离退休</w:t>
            </w:r>
          </w:p>
        </w:tc>
        <w:tc>
          <w:tcPr>
            <w:tcW w:w="1719" w:type="dxa"/>
            <w:tcBorders>
              <w:top w:val="nil"/>
              <w:left w:val="nil"/>
              <w:bottom w:val="single" w:color="auto" w:sz="4" w:space="0"/>
              <w:right w:val="single" w:color="auto" w:sz="4" w:space="0"/>
            </w:tcBorders>
            <w:shd w:val="clear" w:color="auto" w:fill="auto"/>
            <w:noWrap/>
            <w:vAlign w:val="center"/>
          </w:tcPr>
          <w:p w14:paraId="793B405D">
            <w:pPr>
              <w:widowControl/>
              <w:jc w:val="right"/>
              <w:rPr>
                <w:rFonts w:ascii="宋体" w:hAnsi="宋体" w:cs="Arial"/>
                <w:color w:val="000000"/>
                <w:kern w:val="0"/>
                <w:sz w:val="22"/>
              </w:rPr>
            </w:pPr>
            <w:r>
              <w:rPr>
                <w:rFonts w:hint="eastAsia" w:ascii="宋体" w:hAnsi="宋体" w:cs="Arial"/>
                <w:color w:val="000000"/>
                <w:kern w:val="0"/>
                <w:sz w:val="22"/>
              </w:rPr>
              <w:t>10,328.57</w:t>
            </w:r>
          </w:p>
        </w:tc>
        <w:tc>
          <w:tcPr>
            <w:tcW w:w="1719" w:type="dxa"/>
            <w:tcBorders>
              <w:top w:val="nil"/>
              <w:left w:val="nil"/>
              <w:bottom w:val="single" w:color="auto" w:sz="4" w:space="0"/>
              <w:right w:val="single" w:color="auto" w:sz="4" w:space="0"/>
            </w:tcBorders>
            <w:shd w:val="clear" w:color="auto" w:fill="auto"/>
            <w:noWrap/>
            <w:vAlign w:val="center"/>
          </w:tcPr>
          <w:p w14:paraId="37FDF9BC">
            <w:pPr>
              <w:widowControl/>
              <w:jc w:val="right"/>
              <w:rPr>
                <w:rFonts w:ascii="宋体" w:hAnsi="宋体" w:cs="Arial"/>
                <w:color w:val="000000"/>
                <w:kern w:val="0"/>
                <w:sz w:val="22"/>
              </w:rPr>
            </w:pPr>
            <w:r>
              <w:rPr>
                <w:rFonts w:hint="eastAsia" w:ascii="宋体" w:hAnsi="宋体" w:cs="Arial"/>
                <w:color w:val="000000"/>
                <w:kern w:val="0"/>
                <w:sz w:val="22"/>
              </w:rPr>
              <w:t>10,328.57</w:t>
            </w:r>
          </w:p>
        </w:tc>
      </w:tr>
      <w:tr w14:paraId="71B457A0">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18FBC54">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3524" w:type="dxa"/>
            <w:tcBorders>
              <w:top w:val="nil"/>
              <w:left w:val="nil"/>
              <w:bottom w:val="single" w:color="auto" w:sz="4" w:space="0"/>
              <w:right w:val="single" w:color="auto" w:sz="4" w:space="0"/>
            </w:tcBorders>
            <w:shd w:val="clear" w:color="auto" w:fill="auto"/>
            <w:noWrap/>
            <w:vAlign w:val="center"/>
          </w:tcPr>
          <w:p w14:paraId="198E6B08">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1719" w:type="dxa"/>
            <w:tcBorders>
              <w:top w:val="nil"/>
              <w:left w:val="nil"/>
              <w:bottom w:val="single" w:color="auto" w:sz="4" w:space="0"/>
              <w:right w:val="single" w:color="auto" w:sz="4" w:space="0"/>
            </w:tcBorders>
            <w:shd w:val="clear" w:color="auto" w:fill="auto"/>
            <w:noWrap/>
            <w:vAlign w:val="center"/>
          </w:tcPr>
          <w:p w14:paraId="04A3E5FD">
            <w:pPr>
              <w:widowControl/>
              <w:jc w:val="right"/>
              <w:rPr>
                <w:rFonts w:ascii="宋体" w:hAnsi="宋体" w:cs="Arial"/>
                <w:color w:val="000000"/>
                <w:kern w:val="0"/>
                <w:sz w:val="22"/>
              </w:rPr>
            </w:pPr>
            <w:r>
              <w:rPr>
                <w:rFonts w:hint="eastAsia" w:ascii="宋体" w:hAnsi="宋体" w:cs="Arial"/>
                <w:color w:val="000000"/>
                <w:kern w:val="0"/>
                <w:sz w:val="22"/>
              </w:rPr>
              <w:t>204,581.22</w:t>
            </w:r>
          </w:p>
        </w:tc>
        <w:tc>
          <w:tcPr>
            <w:tcW w:w="1719" w:type="dxa"/>
            <w:tcBorders>
              <w:top w:val="nil"/>
              <w:left w:val="nil"/>
              <w:bottom w:val="single" w:color="auto" w:sz="4" w:space="0"/>
              <w:right w:val="single" w:color="auto" w:sz="4" w:space="0"/>
            </w:tcBorders>
            <w:shd w:val="clear" w:color="auto" w:fill="auto"/>
            <w:noWrap/>
            <w:vAlign w:val="center"/>
          </w:tcPr>
          <w:p w14:paraId="5C90C27D">
            <w:pPr>
              <w:widowControl/>
              <w:jc w:val="right"/>
              <w:rPr>
                <w:rFonts w:ascii="宋体" w:hAnsi="宋体" w:cs="Arial"/>
                <w:color w:val="000000"/>
                <w:kern w:val="0"/>
                <w:sz w:val="22"/>
              </w:rPr>
            </w:pPr>
            <w:r>
              <w:rPr>
                <w:rFonts w:hint="eastAsia" w:ascii="宋体" w:hAnsi="宋体" w:cs="Arial"/>
                <w:color w:val="000000"/>
                <w:kern w:val="0"/>
                <w:sz w:val="22"/>
              </w:rPr>
              <w:t>204,581.22</w:t>
            </w:r>
          </w:p>
        </w:tc>
      </w:tr>
      <w:tr w14:paraId="2D37F271">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8F224F9">
            <w:pPr>
              <w:widowControl/>
              <w:jc w:val="left"/>
              <w:rPr>
                <w:rFonts w:ascii="宋体" w:hAnsi="宋体" w:cs="Arial"/>
                <w:color w:val="000000"/>
                <w:kern w:val="0"/>
                <w:sz w:val="22"/>
              </w:rPr>
            </w:pPr>
            <w:r>
              <w:rPr>
                <w:rFonts w:hint="eastAsia" w:ascii="宋体" w:hAnsi="宋体" w:cs="Arial"/>
                <w:color w:val="000000"/>
                <w:kern w:val="0"/>
                <w:sz w:val="22"/>
              </w:rPr>
              <w:t>210</w:t>
            </w:r>
          </w:p>
        </w:tc>
        <w:tc>
          <w:tcPr>
            <w:tcW w:w="3524" w:type="dxa"/>
            <w:tcBorders>
              <w:top w:val="nil"/>
              <w:left w:val="nil"/>
              <w:bottom w:val="single" w:color="auto" w:sz="4" w:space="0"/>
              <w:right w:val="single" w:color="auto" w:sz="4" w:space="0"/>
            </w:tcBorders>
            <w:shd w:val="clear" w:color="auto" w:fill="auto"/>
            <w:noWrap/>
            <w:vAlign w:val="center"/>
          </w:tcPr>
          <w:p w14:paraId="2F8660F0">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719" w:type="dxa"/>
            <w:tcBorders>
              <w:top w:val="nil"/>
              <w:left w:val="nil"/>
              <w:bottom w:val="single" w:color="auto" w:sz="4" w:space="0"/>
              <w:right w:val="single" w:color="auto" w:sz="4" w:space="0"/>
            </w:tcBorders>
            <w:shd w:val="clear" w:color="auto" w:fill="auto"/>
            <w:noWrap/>
            <w:vAlign w:val="center"/>
          </w:tcPr>
          <w:p w14:paraId="24344CFC">
            <w:pPr>
              <w:widowControl/>
              <w:jc w:val="right"/>
              <w:rPr>
                <w:rFonts w:ascii="宋体" w:hAnsi="宋体" w:cs="Arial"/>
                <w:color w:val="000000"/>
                <w:kern w:val="0"/>
                <w:sz w:val="22"/>
              </w:rPr>
            </w:pPr>
            <w:r>
              <w:rPr>
                <w:rFonts w:hint="eastAsia" w:ascii="宋体" w:hAnsi="宋体" w:cs="Arial"/>
                <w:color w:val="000000"/>
                <w:kern w:val="0"/>
                <w:sz w:val="22"/>
              </w:rPr>
              <w:t>11,130,148.03</w:t>
            </w:r>
          </w:p>
        </w:tc>
        <w:tc>
          <w:tcPr>
            <w:tcW w:w="1719" w:type="dxa"/>
            <w:tcBorders>
              <w:top w:val="nil"/>
              <w:left w:val="nil"/>
              <w:bottom w:val="single" w:color="auto" w:sz="4" w:space="0"/>
              <w:right w:val="single" w:color="auto" w:sz="4" w:space="0"/>
            </w:tcBorders>
            <w:shd w:val="clear" w:color="auto" w:fill="auto"/>
            <w:noWrap/>
            <w:vAlign w:val="center"/>
          </w:tcPr>
          <w:p w14:paraId="71AD0BBD">
            <w:pPr>
              <w:widowControl/>
              <w:jc w:val="right"/>
              <w:rPr>
                <w:rFonts w:ascii="宋体" w:hAnsi="宋体" w:cs="Arial"/>
                <w:color w:val="000000"/>
                <w:kern w:val="0"/>
                <w:sz w:val="22"/>
              </w:rPr>
            </w:pPr>
            <w:r>
              <w:rPr>
                <w:rFonts w:hint="eastAsia" w:ascii="宋体" w:hAnsi="宋体" w:cs="Arial"/>
                <w:color w:val="000000"/>
                <w:kern w:val="0"/>
                <w:sz w:val="22"/>
              </w:rPr>
              <w:t>11,130,148.03</w:t>
            </w:r>
          </w:p>
        </w:tc>
      </w:tr>
      <w:tr w14:paraId="22708C17">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826AA7">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524" w:type="dxa"/>
            <w:tcBorders>
              <w:top w:val="nil"/>
              <w:left w:val="nil"/>
              <w:bottom w:val="single" w:color="auto" w:sz="4" w:space="0"/>
              <w:right w:val="single" w:color="auto" w:sz="4" w:space="0"/>
            </w:tcBorders>
            <w:shd w:val="clear" w:color="auto" w:fill="auto"/>
            <w:noWrap/>
            <w:vAlign w:val="center"/>
          </w:tcPr>
          <w:p w14:paraId="0E13DBDE">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719" w:type="dxa"/>
            <w:tcBorders>
              <w:top w:val="nil"/>
              <w:left w:val="nil"/>
              <w:bottom w:val="single" w:color="auto" w:sz="4" w:space="0"/>
              <w:right w:val="single" w:color="auto" w:sz="4" w:space="0"/>
            </w:tcBorders>
            <w:shd w:val="clear" w:color="auto" w:fill="auto"/>
            <w:noWrap/>
            <w:vAlign w:val="center"/>
          </w:tcPr>
          <w:p w14:paraId="6DADFD8A">
            <w:pPr>
              <w:widowControl/>
              <w:jc w:val="right"/>
              <w:rPr>
                <w:rFonts w:ascii="宋体" w:hAnsi="宋体" w:cs="Arial"/>
                <w:color w:val="000000"/>
                <w:kern w:val="0"/>
                <w:sz w:val="22"/>
              </w:rPr>
            </w:pPr>
            <w:r>
              <w:rPr>
                <w:rFonts w:hint="eastAsia" w:ascii="宋体" w:hAnsi="宋体" w:cs="Arial"/>
                <w:color w:val="000000"/>
                <w:kern w:val="0"/>
                <w:sz w:val="22"/>
              </w:rPr>
              <w:t>173,111.40</w:t>
            </w:r>
          </w:p>
        </w:tc>
        <w:tc>
          <w:tcPr>
            <w:tcW w:w="1719" w:type="dxa"/>
            <w:tcBorders>
              <w:top w:val="nil"/>
              <w:left w:val="nil"/>
              <w:bottom w:val="single" w:color="auto" w:sz="4" w:space="0"/>
              <w:right w:val="single" w:color="auto" w:sz="4" w:space="0"/>
            </w:tcBorders>
            <w:shd w:val="clear" w:color="auto" w:fill="auto"/>
            <w:noWrap/>
            <w:vAlign w:val="center"/>
          </w:tcPr>
          <w:p w14:paraId="34DEEED7">
            <w:pPr>
              <w:widowControl/>
              <w:jc w:val="right"/>
              <w:rPr>
                <w:rFonts w:ascii="宋体" w:hAnsi="宋体" w:cs="Arial"/>
                <w:color w:val="000000"/>
                <w:kern w:val="0"/>
                <w:sz w:val="22"/>
              </w:rPr>
            </w:pPr>
            <w:r>
              <w:rPr>
                <w:rFonts w:hint="eastAsia" w:ascii="宋体" w:hAnsi="宋体" w:cs="Arial"/>
                <w:color w:val="000000"/>
                <w:kern w:val="0"/>
                <w:sz w:val="22"/>
              </w:rPr>
              <w:t>173,111.40</w:t>
            </w:r>
          </w:p>
        </w:tc>
      </w:tr>
      <w:tr w14:paraId="6A4D02B3">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27584C">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3524" w:type="dxa"/>
            <w:tcBorders>
              <w:top w:val="nil"/>
              <w:left w:val="nil"/>
              <w:bottom w:val="single" w:color="auto" w:sz="4" w:space="0"/>
              <w:right w:val="single" w:color="auto" w:sz="4" w:space="0"/>
            </w:tcBorders>
            <w:shd w:val="clear" w:color="auto" w:fill="auto"/>
            <w:noWrap/>
            <w:vAlign w:val="center"/>
          </w:tcPr>
          <w:p w14:paraId="54839054">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719" w:type="dxa"/>
            <w:tcBorders>
              <w:top w:val="nil"/>
              <w:left w:val="nil"/>
              <w:bottom w:val="single" w:color="auto" w:sz="4" w:space="0"/>
              <w:right w:val="single" w:color="auto" w:sz="4" w:space="0"/>
            </w:tcBorders>
            <w:shd w:val="clear" w:color="auto" w:fill="auto"/>
            <w:noWrap/>
            <w:vAlign w:val="center"/>
          </w:tcPr>
          <w:p w14:paraId="6063FC0E">
            <w:pPr>
              <w:widowControl/>
              <w:jc w:val="right"/>
              <w:rPr>
                <w:rFonts w:ascii="宋体" w:hAnsi="宋体" w:cs="Arial"/>
                <w:color w:val="000000"/>
                <w:kern w:val="0"/>
                <w:sz w:val="22"/>
              </w:rPr>
            </w:pPr>
            <w:r>
              <w:rPr>
                <w:rFonts w:hint="eastAsia" w:ascii="宋体" w:hAnsi="宋体" w:cs="Arial"/>
                <w:color w:val="000000"/>
                <w:kern w:val="0"/>
                <w:sz w:val="22"/>
              </w:rPr>
              <w:t>159,511.40</w:t>
            </w:r>
          </w:p>
        </w:tc>
        <w:tc>
          <w:tcPr>
            <w:tcW w:w="1719" w:type="dxa"/>
            <w:tcBorders>
              <w:top w:val="nil"/>
              <w:left w:val="nil"/>
              <w:bottom w:val="single" w:color="auto" w:sz="4" w:space="0"/>
              <w:right w:val="single" w:color="auto" w:sz="4" w:space="0"/>
            </w:tcBorders>
            <w:shd w:val="clear" w:color="auto" w:fill="auto"/>
            <w:noWrap/>
            <w:vAlign w:val="center"/>
          </w:tcPr>
          <w:p w14:paraId="0CB8EB83">
            <w:pPr>
              <w:widowControl/>
              <w:jc w:val="right"/>
              <w:rPr>
                <w:rFonts w:ascii="宋体" w:hAnsi="宋体" w:cs="Arial"/>
                <w:color w:val="000000"/>
                <w:kern w:val="0"/>
                <w:sz w:val="22"/>
              </w:rPr>
            </w:pPr>
            <w:r>
              <w:rPr>
                <w:rFonts w:hint="eastAsia" w:ascii="宋体" w:hAnsi="宋体" w:cs="Arial"/>
                <w:color w:val="000000"/>
                <w:kern w:val="0"/>
                <w:sz w:val="22"/>
              </w:rPr>
              <w:t>159,511.40</w:t>
            </w:r>
          </w:p>
        </w:tc>
      </w:tr>
      <w:tr w14:paraId="72FDB072">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1D4646">
            <w:pPr>
              <w:widowControl/>
              <w:jc w:val="left"/>
              <w:rPr>
                <w:rFonts w:ascii="宋体" w:hAnsi="宋体" w:cs="Arial"/>
                <w:color w:val="000000"/>
                <w:kern w:val="0"/>
                <w:sz w:val="22"/>
              </w:rPr>
            </w:pPr>
            <w:r>
              <w:rPr>
                <w:rFonts w:hint="eastAsia" w:ascii="宋体" w:hAnsi="宋体" w:cs="Arial"/>
                <w:color w:val="000000"/>
                <w:kern w:val="0"/>
                <w:sz w:val="22"/>
              </w:rPr>
              <w:t>2101103</w:t>
            </w:r>
          </w:p>
        </w:tc>
        <w:tc>
          <w:tcPr>
            <w:tcW w:w="3524" w:type="dxa"/>
            <w:tcBorders>
              <w:top w:val="nil"/>
              <w:left w:val="nil"/>
              <w:bottom w:val="single" w:color="auto" w:sz="4" w:space="0"/>
              <w:right w:val="single" w:color="auto" w:sz="4" w:space="0"/>
            </w:tcBorders>
            <w:shd w:val="clear" w:color="auto" w:fill="auto"/>
            <w:noWrap/>
            <w:vAlign w:val="center"/>
          </w:tcPr>
          <w:p w14:paraId="29407067">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w:t>
            </w:r>
          </w:p>
        </w:tc>
        <w:tc>
          <w:tcPr>
            <w:tcW w:w="1719" w:type="dxa"/>
            <w:tcBorders>
              <w:top w:val="nil"/>
              <w:left w:val="nil"/>
              <w:bottom w:val="single" w:color="auto" w:sz="4" w:space="0"/>
              <w:right w:val="single" w:color="auto" w:sz="4" w:space="0"/>
            </w:tcBorders>
            <w:shd w:val="clear" w:color="auto" w:fill="auto"/>
            <w:noWrap/>
            <w:vAlign w:val="center"/>
          </w:tcPr>
          <w:p w14:paraId="54F13A25">
            <w:pPr>
              <w:widowControl/>
              <w:jc w:val="right"/>
              <w:rPr>
                <w:rFonts w:ascii="宋体" w:hAnsi="宋体" w:cs="Arial"/>
                <w:color w:val="000000"/>
                <w:kern w:val="0"/>
                <w:sz w:val="22"/>
              </w:rPr>
            </w:pPr>
            <w:r>
              <w:rPr>
                <w:rFonts w:hint="eastAsia" w:ascii="宋体" w:hAnsi="宋体" w:cs="Arial"/>
                <w:color w:val="000000"/>
                <w:kern w:val="0"/>
                <w:sz w:val="22"/>
              </w:rPr>
              <w:t>13,600.00</w:t>
            </w:r>
          </w:p>
        </w:tc>
        <w:tc>
          <w:tcPr>
            <w:tcW w:w="1719" w:type="dxa"/>
            <w:tcBorders>
              <w:top w:val="nil"/>
              <w:left w:val="nil"/>
              <w:bottom w:val="single" w:color="auto" w:sz="4" w:space="0"/>
              <w:right w:val="single" w:color="auto" w:sz="4" w:space="0"/>
            </w:tcBorders>
            <w:shd w:val="clear" w:color="auto" w:fill="auto"/>
            <w:noWrap/>
            <w:vAlign w:val="center"/>
          </w:tcPr>
          <w:p w14:paraId="6498A10A">
            <w:pPr>
              <w:widowControl/>
              <w:jc w:val="right"/>
              <w:rPr>
                <w:rFonts w:ascii="宋体" w:hAnsi="宋体" w:cs="Arial"/>
                <w:color w:val="000000"/>
                <w:kern w:val="0"/>
                <w:sz w:val="22"/>
              </w:rPr>
            </w:pPr>
            <w:r>
              <w:rPr>
                <w:rFonts w:hint="eastAsia" w:ascii="宋体" w:hAnsi="宋体" w:cs="Arial"/>
                <w:color w:val="000000"/>
                <w:kern w:val="0"/>
                <w:sz w:val="22"/>
              </w:rPr>
              <w:t>13,600.00</w:t>
            </w:r>
          </w:p>
        </w:tc>
      </w:tr>
      <w:tr w14:paraId="2E067FEF">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CDE6A9">
            <w:pPr>
              <w:widowControl/>
              <w:jc w:val="left"/>
              <w:rPr>
                <w:rFonts w:ascii="宋体" w:hAnsi="宋体" w:cs="Arial"/>
                <w:color w:val="000000"/>
                <w:kern w:val="0"/>
                <w:sz w:val="22"/>
              </w:rPr>
            </w:pPr>
            <w:r>
              <w:rPr>
                <w:rFonts w:hint="eastAsia" w:ascii="宋体" w:hAnsi="宋体" w:cs="Arial"/>
                <w:color w:val="000000"/>
                <w:kern w:val="0"/>
                <w:sz w:val="22"/>
              </w:rPr>
              <w:t>21013</w:t>
            </w:r>
          </w:p>
        </w:tc>
        <w:tc>
          <w:tcPr>
            <w:tcW w:w="3524" w:type="dxa"/>
            <w:tcBorders>
              <w:top w:val="nil"/>
              <w:left w:val="nil"/>
              <w:bottom w:val="single" w:color="auto" w:sz="4" w:space="0"/>
              <w:right w:val="single" w:color="auto" w:sz="4" w:space="0"/>
            </w:tcBorders>
            <w:shd w:val="clear" w:color="auto" w:fill="auto"/>
            <w:noWrap/>
            <w:vAlign w:val="center"/>
          </w:tcPr>
          <w:p w14:paraId="0FD67A92">
            <w:pPr>
              <w:widowControl/>
              <w:jc w:val="left"/>
              <w:rPr>
                <w:rFonts w:ascii="宋体" w:hAnsi="宋体" w:cs="Arial"/>
                <w:color w:val="000000"/>
                <w:kern w:val="0"/>
                <w:sz w:val="22"/>
              </w:rPr>
            </w:pPr>
            <w:r>
              <w:rPr>
                <w:rFonts w:hint="eastAsia" w:ascii="宋体" w:hAnsi="宋体" w:cs="Arial"/>
                <w:color w:val="000000"/>
                <w:kern w:val="0"/>
                <w:sz w:val="22"/>
              </w:rPr>
              <w:t>医疗救助</w:t>
            </w:r>
          </w:p>
        </w:tc>
        <w:tc>
          <w:tcPr>
            <w:tcW w:w="1719" w:type="dxa"/>
            <w:tcBorders>
              <w:top w:val="nil"/>
              <w:left w:val="nil"/>
              <w:bottom w:val="single" w:color="auto" w:sz="4" w:space="0"/>
              <w:right w:val="single" w:color="auto" w:sz="4" w:space="0"/>
            </w:tcBorders>
            <w:shd w:val="clear" w:color="auto" w:fill="auto"/>
            <w:noWrap/>
            <w:vAlign w:val="center"/>
          </w:tcPr>
          <w:p w14:paraId="4DAF68CD">
            <w:pPr>
              <w:widowControl/>
              <w:jc w:val="right"/>
              <w:rPr>
                <w:rFonts w:ascii="宋体" w:hAnsi="宋体" w:cs="Arial"/>
                <w:color w:val="000000"/>
                <w:kern w:val="0"/>
                <w:sz w:val="22"/>
              </w:rPr>
            </w:pPr>
            <w:r>
              <w:rPr>
                <w:rFonts w:hint="eastAsia" w:ascii="宋体" w:hAnsi="宋体" w:cs="Arial"/>
                <w:color w:val="000000"/>
                <w:kern w:val="0"/>
                <w:sz w:val="22"/>
              </w:rPr>
              <w:t>7,094,250.00</w:t>
            </w:r>
          </w:p>
        </w:tc>
        <w:tc>
          <w:tcPr>
            <w:tcW w:w="1719" w:type="dxa"/>
            <w:tcBorders>
              <w:top w:val="nil"/>
              <w:left w:val="nil"/>
              <w:bottom w:val="single" w:color="auto" w:sz="4" w:space="0"/>
              <w:right w:val="single" w:color="auto" w:sz="4" w:space="0"/>
            </w:tcBorders>
            <w:shd w:val="clear" w:color="auto" w:fill="auto"/>
            <w:noWrap/>
            <w:vAlign w:val="center"/>
          </w:tcPr>
          <w:p w14:paraId="261346AC">
            <w:pPr>
              <w:widowControl/>
              <w:jc w:val="right"/>
              <w:rPr>
                <w:rFonts w:ascii="宋体" w:hAnsi="宋体" w:cs="Arial"/>
                <w:color w:val="000000"/>
                <w:kern w:val="0"/>
                <w:sz w:val="22"/>
              </w:rPr>
            </w:pPr>
            <w:r>
              <w:rPr>
                <w:rFonts w:hint="eastAsia" w:ascii="宋体" w:hAnsi="宋体" w:cs="Arial"/>
                <w:color w:val="000000"/>
                <w:kern w:val="0"/>
                <w:sz w:val="22"/>
              </w:rPr>
              <w:t>7,094,250.00</w:t>
            </w:r>
          </w:p>
        </w:tc>
      </w:tr>
      <w:tr w14:paraId="56BF75AA">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5AB1B8">
            <w:pPr>
              <w:widowControl/>
              <w:jc w:val="left"/>
              <w:rPr>
                <w:rFonts w:ascii="宋体" w:hAnsi="宋体" w:cs="Arial"/>
                <w:color w:val="000000"/>
                <w:kern w:val="0"/>
                <w:sz w:val="22"/>
              </w:rPr>
            </w:pPr>
            <w:r>
              <w:rPr>
                <w:rFonts w:hint="eastAsia" w:ascii="宋体" w:hAnsi="宋体" w:cs="Arial"/>
                <w:color w:val="000000"/>
                <w:kern w:val="0"/>
                <w:sz w:val="22"/>
              </w:rPr>
              <w:t>2101301</w:t>
            </w:r>
          </w:p>
        </w:tc>
        <w:tc>
          <w:tcPr>
            <w:tcW w:w="3524" w:type="dxa"/>
            <w:tcBorders>
              <w:top w:val="nil"/>
              <w:left w:val="nil"/>
              <w:bottom w:val="single" w:color="auto" w:sz="4" w:space="0"/>
              <w:right w:val="single" w:color="auto" w:sz="4" w:space="0"/>
            </w:tcBorders>
            <w:shd w:val="clear" w:color="auto" w:fill="auto"/>
            <w:noWrap/>
            <w:vAlign w:val="center"/>
          </w:tcPr>
          <w:p w14:paraId="14D54397">
            <w:pPr>
              <w:widowControl/>
              <w:jc w:val="left"/>
              <w:rPr>
                <w:rFonts w:ascii="宋体" w:hAnsi="宋体" w:cs="Arial"/>
                <w:color w:val="000000"/>
                <w:kern w:val="0"/>
                <w:sz w:val="22"/>
              </w:rPr>
            </w:pPr>
            <w:r>
              <w:rPr>
                <w:rFonts w:hint="eastAsia" w:ascii="宋体" w:hAnsi="宋体" w:cs="Arial"/>
                <w:color w:val="000000"/>
                <w:kern w:val="0"/>
                <w:sz w:val="22"/>
              </w:rPr>
              <w:t xml:space="preserve">  城乡医疗救助</w:t>
            </w:r>
          </w:p>
        </w:tc>
        <w:tc>
          <w:tcPr>
            <w:tcW w:w="1719" w:type="dxa"/>
            <w:tcBorders>
              <w:top w:val="nil"/>
              <w:left w:val="nil"/>
              <w:bottom w:val="single" w:color="auto" w:sz="4" w:space="0"/>
              <w:right w:val="single" w:color="auto" w:sz="4" w:space="0"/>
            </w:tcBorders>
            <w:shd w:val="clear" w:color="auto" w:fill="auto"/>
            <w:noWrap/>
            <w:vAlign w:val="center"/>
          </w:tcPr>
          <w:p w14:paraId="56A3670E">
            <w:pPr>
              <w:widowControl/>
              <w:jc w:val="right"/>
              <w:rPr>
                <w:rFonts w:ascii="宋体" w:hAnsi="宋体" w:cs="Arial"/>
                <w:color w:val="000000"/>
                <w:kern w:val="0"/>
                <w:sz w:val="22"/>
              </w:rPr>
            </w:pPr>
            <w:r>
              <w:rPr>
                <w:rFonts w:hint="eastAsia" w:ascii="宋体" w:hAnsi="宋体" w:cs="Arial"/>
                <w:color w:val="000000"/>
                <w:kern w:val="0"/>
                <w:sz w:val="22"/>
              </w:rPr>
              <w:t>7,094,250.00</w:t>
            </w:r>
          </w:p>
        </w:tc>
        <w:tc>
          <w:tcPr>
            <w:tcW w:w="1719" w:type="dxa"/>
            <w:tcBorders>
              <w:top w:val="nil"/>
              <w:left w:val="nil"/>
              <w:bottom w:val="single" w:color="auto" w:sz="4" w:space="0"/>
              <w:right w:val="single" w:color="auto" w:sz="4" w:space="0"/>
            </w:tcBorders>
            <w:shd w:val="clear" w:color="auto" w:fill="auto"/>
            <w:noWrap/>
            <w:vAlign w:val="center"/>
          </w:tcPr>
          <w:p w14:paraId="4133AD65">
            <w:pPr>
              <w:widowControl/>
              <w:jc w:val="right"/>
              <w:rPr>
                <w:rFonts w:ascii="宋体" w:hAnsi="宋体" w:cs="Arial"/>
                <w:color w:val="000000"/>
                <w:kern w:val="0"/>
                <w:sz w:val="22"/>
              </w:rPr>
            </w:pPr>
            <w:r>
              <w:rPr>
                <w:rFonts w:hint="eastAsia" w:ascii="宋体" w:hAnsi="宋体" w:cs="Arial"/>
                <w:color w:val="000000"/>
                <w:kern w:val="0"/>
                <w:sz w:val="22"/>
              </w:rPr>
              <w:t>7,094,250.00</w:t>
            </w:r>
          </w:p>
        </w:tc>
      </w:tr>
      <w:tr w14:paraId="3209B789">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0520EA">
            <w:pPr>
              <w:widowControl/>
              <w:jc w:val="left"/>
              <w:rPr>
                <w:rFonts w:ascii="宋体" w:hAnsi="宋体" w:cs="Arial"/>
                <w:color w:val="000000"/>
                <w:kern w:val="0"/>
                <w:sz w:val="22"/>
              </w:rPr>
            </w:pPr>
            <w:r>
              <w:rPr>
                <w:rFonts w:hint="eastAsia" w:ascii="宋体" w:hAnsi="宋体" w:cs="Arial"/>
                <w:color w:val="000000"/>
                <w:kern w:val="0"/>
                <w:sz w:val="22"/>
              </w:rPr>
              <w:t>21015</w:t>
            </w:r>
          </w:p>
        </w:tc>
        <w:tc>
          <w:tcPr>
            <w:tcW w:w="3524" w:type="dxa"/>
            <w:tcBorders>
              <w:top w:val="nil"/>
              <w:left w:val="nil"/>
              <w:bottom w:val="single" w:color="auto" w:sz="4" w:space="0"/>
              <w:right w:val="single" w:color="auto" w:sz="4" w:space="0"/>
            </w:tcBorders>
            <w:shd w:val="clear" w:color="auto" w:fill="auto"/>
            <w:noWrap/>
            <w:vAlign w:val="center"/>
          </w:tcPr>
          <w:p w14:paraId="2B545E71">
            <w:pPr>
              <w:widowControl/>
              <w:jc w:val="left"/>
              <w:rPr>
                <w:rFonts w:ascii="宋体" w:hAnsi="宋体" w:cs="Arial"/>
                <w:color w:val="000000"/>
                <w:kern w:val="0"/>
                <w:sz w:val="22"/>
              </w:rPr>
            </w:pPr>
            <w:r>
              <w:rPr>
                <w:rFonts w:hint="eastAsia" w:ascii="宋体" w:hAnsi="宋体" w:cs="Arial"/>
                <w:color w:val="000000"/>
                <w:kern w:val="0"/>
                <w:sz w:val="22"/>
              </w:rPr>
              <w:t>医疗保障管理事务</w:t>
            </w:r>
          </w:p>
        </w:tc>
        <w:tc>
          <w:tcPr>
            <w:tcW w:w="1719" w:type="dxa"/>
            <w:tcBorders>
              <w:top w:val="nil"/>
              <w:left w:val="nil"/>
              <w:bottom w:val="single" w:color="auto" w:sz="4" w:space="0"/>
              <w:right w:val="single" w:color="auto" w:sz="4" w:space="0"/>
            </w:tcBorders>
            <w:shd w:val="clear" w:color="auto" w:fill="auto"/>
            <w:noWrap/>
            <w:vAlign w:val="center"/>
          </w:tcPr>
          <w:p w14:paraId="20D5F2F8">
            <w:pPr>
              <w:widowControl/>
              <w:jc w:val="right"/>
              <w:rPr>
                <w:rFonts w:ascii="宋体" w:hAnsi="宋体" w:cs="Arial"/>
                <w:color w:val="000000"/>
                <w:kern w:val="0"/>
                <w:sz w:val="22"/>
              </w:rPr>
            </w:pPr>
            <w:r>
              <w:rPr>
                <w:rFonts w:hint="eastAsia" w:ascii="宋体" w:hAnsi="宋体" w:cs="Arial"/>
                <w:color w:val="000000"/>
                <w:kern w:val="0"/>
                <w:sz w:val="22"/>
              </w:rPr>
              <w:t>3,862,786.63</w:t>
            </w:r>
          </w:p>
        </w:tc>
        <w:tc>
          <w:tcPr>
            <w:tcW w:w="1719" w:type="dxa"/>
            <w:tcBorders>
              <w:top w:val="nil"/>
              <w:left w:val="nil"/>
              <w:bottom w:val="single" w:color="auto" w:sz="4" w:space="0"/>
              <w:right w:val="single" w:color="auto" w:sz="4" w:space="0"/>
            </w:tcBorders>
            <w:shd w:val="clear" w:color="auto" w:fill="auto"/>
            <w:noWrap/>
            <w:vAlign w:val="center"/>
          </w:tcPr>
          <w:p w14:paraId="43C1AB44">
            <w:pPr>
              <w:widowControl/>
              <w:jc w:val="right"/>
              <w:rPr>
                <w:rFonts w:ascii="宋体" w:hAnsi="宋体" w:cs="Arial"/>
                <w:color w:val="000000"/>
                <w:kern w:val="0"/>
                <w:sz w:val="22"/>
              </w:rPr>
            </w:pPr>
            <w:r>
              <w:rPr>
                <w:rFonts w:hint="eastAsia" w:ascii="宋体" w:hAnsi="宋体" w:cs="Arial"/>
                <w:color w:val="000000"/>
                <w:kern w:val="0"/>
                <w:sz w:val="22"/>
              </w:rPr>
              <w:t>3,862,786.63</w:t>
            </w:r>
          </w:p>
        </w:tc>
      </w:tr>
      <w:tr w14:paraId="20D3DCBF">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11CD82">
            <w:pPr>
              <w:widowControl/>
              <w:jc w:val="left"/>
              <w:rPr>
                <w:rFonts w:ascii="宋体" w:hAnsi="宋体" w:cs="Arial"/>
                <w:color w:val="000000"/>
                <w:kern w:val="0"/>
                <w:sz w:val="22"/>
              </w:rPr>
            </w:pPr>
            <w:r>
              <w:rPr>
                <w:rFonts w:hint="eastAsia" w:ascii="宋体" w:hAnsi="宋体" w:cs="Arial"/>
                <w:color w:val="000000"/>
                <w:kern w:val="0"/>
                <w:sz w:val="22"/>
              </w:rPr>
              <w:t>2101501</w:t>
            </w:r>
          </w:p>
        </w:tc>
        <w:tc>
          <w:tcPr>
            <w:tcW w:w="3524" w:type="dxa"/>
            <w:tcBorders>
              <w:top w:val="nil"/>
              <w:left w:val="nil"/>
              <w:bottom w:val="single" w:color="auto" w:sz="4" w:space="0"/>
              <w:right w:val="single" w:color="auto" w:sz="4" w:space="0"/>
            </w:tcBorders>
            <w:shd w:val="clear" w:color="auto" w:fill="auto"/>
            <w:noWrap/>
            <w:vAlign w:val="center"/>
          </w:tcPr>
          <w:p w14:paraId="4AFB4390">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719" w:type="dxa"/>
            <w:tcBorders>
              <w:top w:val="nil"/>
              <w:left w:val="nil"/>
              <w:bottom w:val="single" w:color="auto" w:sz="4" w:space="0"/>
              <w:right w:val="single" w:color="auto" w:sz="4" w:space="0"/>
            </w:tcBorders>
            <w:shd w:val="clear" w:color="auto" w:fill="auto"/>
            <w:noWrap/>
            <w:vAlign w:val="center"/>
          </w:tcPr>
          <w:p w14:paraId="15075029">
            <w:pPr>
              <w:widowControl/>
              <w:jc w:val="right"/>
              <w:rPr>
                <w:rFonts w:ascii="宋体" w:hAnsi="宋体" w:cs="Arial"/>
                <w:color w:val="000000"/>
                <w:kern w:val="0"/>
                <w:sz w:val="22"/>
              </w:rPr>
            </w:pPr>
            <w:r>
              <w:rPr>
                <w:rFonts w:hint="eastAsia" w:ascii="宋体" w:hAnsi="宋体" w:cs="Arial"/>
                <w:color w:val="000000"/>
                <w:kern w:val="0"/>
                <w:sz w:val="22"/>
              </w:rPr>
              <w:t>2,394,147.01</w:t>
            </w:r>
          </w:p>
        </w:tc>
        <w:tc>
          <w:tcPr>
            <w:tcW w:w="1719" w:type="dxa"/>
            <w:tcBorders>
              <w:top w:val="nil"/>
              <w:left w:val="nil"/>
              <w:bottom w:val="single" w:color="auto" w:sz="4" w:space="0"/>
              <w:right w:val="single" w:color="auto" w:sz="4" w:space="0"/>
            </w:tcBorders>
            <w:shd w:val="clear" w:color="auto" w:fill="auto"/>
            <w:noWrap/>
            <w:vAlign w:val="center"/>
          </w:tcPr>
          <w:p w14:paraId="73574DC9">
            <w:pPr>
              <w:widowControl/>
              <w:jc w:val="right"/>
              <w:rPr>
                <w:rFonts w:ascii="宋体" w:hAnsi="宋体" w:cs="Arial"/>
                <w:color w:val="000000"/>
                <w:kern w:val="0"/>
                <w:sz w:val="22"/>
              </w:rPr>
            </w:pPr>
            <w:r>
              <w:rPr>
                <w:rFonts w:hint="eastAsia" w:ascii="宋体" w:hAnsi="宋体" w:cs="Arial"/>
                <w:color w:val="000000"/>
                <w:kern w:val="0"/>
                <w:sz w:val="22"/>
              </w:rPr>
              <w:t>2,394,147.01</w:t>
            </w:r>
          </w:p>
        </w:tc>
      </w:tr>
      <w:tr w14:paraId="5C3C2F8C">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D38E94">
            <w:pPr>
              <w:widowControl/>
              <w:jc w:val="left"/>
              <w:rPr>
                <w:rFonts w:ascii="宋体" w:hAnsi="宋体" w:cs="Arial"/>
                <w:color w:val="000000"/>
                <w:kern w:val="0"/>
                <w:sz w:val="22"/>
              </w:rPr>
            </w:pPr>
            <w:r>
              <w:rPr>
                <w:rFonts w:hint="eastAsia" w:ascii="宋体" w:hAnsi="宋体" w:cs="Arial"/>
                <w:color w:val="000000"/>
                <w:kern w:val="0"/>
                <w:sz w:val="22"/>
              </w:rPr>
              <w:t>2101599</w:t>
            </w:r>
          </w:p>
        </w:tc>
        <w:tc>
          <w:tcPr>
            <w:tcW w:w="3524" w:type="dxa"/>
            <w:tcBorders>
              <w:top w:val="nil"/>
              <w:left w:val="nil"/>
              <w:bottom w:val="single" w:color="auto" w:sz="4" w:space="0"/>
              <w:right w:val="single" w:color="auto" w:sz="4" w:space="0"/>
            </w:tcBorders>
            <w:shd w:val="clear" w:color="auto" w:fill="auto"/>
            <w:noWrap/>
            <w:vAlign w:val="center"/>
          </w:tcPr>
          <w:p w14:paraId="07715ADB">
            <w:pPr>
              <w:widowControl/>
              <w:jc w:val="left"/>
              <w:rPr>
                <w:rFonts w:ascii="宋体" w:hAnsi="宋体" w:cs="Arial"/>
                <w:color w:val="000000"/>
                <w:kern w:val="0"/>
                <w:sz w:val="22"/>
              </w:rPr>
            </w:pPr>
            <w:r>
              <w:rPr>
                <w:rFonts w:hint="eastAsia" w:ascii="宋体" w:hAnsi="宋体" w:cs="Arial"/>
                <w:color w:val="000000"/>
                <w:kern w:val="0"/>
                <w:sz w:val="22"/>
              </w:rPr>
              <w:t xml:space="preserve">  其他医疗保障管理事务支出</w:t>
            </w:r>
          </w:p>
        </w:tc>
        <w:tc>
          <w:tcPr>
            <w:tcW w:w="1719" w:type="dxa"/>
            <w:tcBorders>
              <w:top w:val="nil"/>
              <w:left w:val="nil"/>
              <w:bottom w:val="single" w:color="auto" w:sz="4" w:space="0"/>
              <w:right w:val="single" w:color="auto" w:sz="4" w:space="0"/>
            </w:tcBorders>
            <w:shd w:val="clear" w:color="auto" w:fill="auto"/>
            <w:noWrap/>
            <w:vAlign w:val="center"/>
          </w:tcPr>
          <w:p w14:paraId="3C960A4A">
            <w:pPr>
              <w:widowControl/>
              <w:jc w:val="right"/>
              <w:rPr>
                <w:rFonts w:ascii="宋体" w:hAnsi="宋体" w:cs="Arial"/>
                <w:color w:val="000000"/>
                <w:kern w:val="0"/>
                <w:sz w:val="22"/>
              </w:rPr>
            </w:pPr>
            <w:r>
              <w:rPr>
                <w:rFonts w:hint="eastAsia" w:ascii="宋体" w:hAnsi="宋体" w:cs="Arial"/>
                <w:color w:val="000000"/>
                <w:kern w:val="0"/>
                <w:sz w:val="22"/>
              </w:rPr>
              <w:t>1,468,639.62</w:t>
            </w:r>
          </w:p>
        </w:tc>
        <w:tc>
          <w:tcPr>
            <w:tcW w:w="1719" w:type="dxa"/>
            <w:tcBorders>
              <w:top w:val="nil"/>
              <w:left w:val="nil"/>
              <w:bottom w:val="single" w:color="auto" w:sz="4" w:space="0"/>
              <w:right w:val="single" w:color="auto" w:sz="4" w:space="0"/>
            </w:tcBorders>
            <w:shd w:val="clear" w:color="auto" w:fill="auto"/>
            <w:noWrap/>
            <w:vAlign w:val="center"/>
          </w:tcPr>
          <w:p w14:paraId="4C2BA72A">
            <w:pPr>
              <w:widowControl/>
              <w:jc w:val="right"/>
              <w:rPr>
                <w:rFonts w:ascii="宋体" w:hAnsi="宋体" w:cs="Arial"/>
                <w:color w:val="000000"/>
                <w:kern w:val="0"/>
                <w:sz w:val="22"/>
              </w:rPr>
            </w:pPr>
            <w:r>
              <w:rPr>
                <w:rFonts w:hint="eastAsia" w:ascii="宋体" w:hAnsi="宋体" w:cs="Arial"/>
                <w:color w:val="000000"/>
                <w:kern w:val="0"/>
                <w:sz w:val="22"/>
              </w:rPr>
              <w:t>1,468,639.62</w:t>
            </w:r>
          </w:p>
        </w:tc>
      </w:tr>
      <w:tr w14:paraId="7BE82486">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4FFBF0">
            <w:pPr>
              <w:widowControl/>
              <w:jc w:val="left"/>
              <w:rPr>
                <w:rFonts w:ascii="宋体" w:hAnsi="宋体" w:cs="Arial"/>
                <w:color w:val="000000"/>
                <w:kern w:val="0"/>
                <w:sz w:val="22"/>
              </w:rPr>
            </w:pPr>
            <w:r>
              <w:rPr>
                <w:rFonts w:hint="eastAsia" w:ascii="宋体" w:hAnsi="宋体" w:cs="Arial"/>
                <w:color w:val="000000"/>
                <w:kern w:val="0"/>
                <w:sz w:val="22"/>
              </w:rPr>
              <w:t>212</w:t>
            </w:r>
          </w:p>
        </w:tc>
        <w:tc>
          <w:tcPr>
            <w:tcW w:w="3524" w:type="dxa"/>
            <w:tcBorders>
              <w:top w:val="nil"/>
              <w:left w:val="nil"/>
              <w:bottom w:val="single" w:color="auto" w:sz="4" w:space="0"/>
              <w:right w:val="single" w:color="auto" w:sz="4" w:space="0"/>
            </w:tcBorders>
            <w:shd w:val="clear" w:color="auto" w:fill="auto"/>
            <w:noWrap/>
            <w:vAlign w:val="center"/>
          </w:tcPr>
          <w:p w14:paraId="5CC51320">
            <w:pPr>
              <w:widowControl/>
              <w:jc w:val="left"/>
              <w:rPr>
                <w:rFonts w:ascii="宋体" w:hAnsi="宋体" w:cs="Arial"/>
                <w:color w:val="000000"/>
                <w:kern w:val="0"/>
                <w:sz w:val="22"/>
              </w:rPr>
            </w:pPr>
            <w:r>
              <w:rPr>
                <w:rFonts w:hint="eastAsia" w:ascii="宋体" w:hAnsi="宋体" w:cs="Arial"/>
                <w:color w:val="000000"/>
                <w:kern w:val="0"/>
                <w:sz w:val="22"/>
              </w:rPr>
              <w:t>城乡社区支出</w:t>
            </w:r>
          </w:p>
        </w:tc>
        <w:tc>
          <w:tcPr>
            <w:tcW w:w="1719" w:type="dxa"/>
            <w:tcBorders>
              <w:top w:val="nil"/>
              <w:left w:val="nil"/>
              <w:bottom w:val="single" w:color="auto" w:sz="4" w:space="0"/>
              <w:right w:val="single" w:color="auto" w:sz="4" w:space="0"/>
            </w:tcBorders>
            <w:shd w:val="clear" w:color="auto" w:fill="auto"/>
            <w:noWrap/>
            <w:vAlign w:val="center"/>
          </w:tcPr>
          <w:p w14:paraId="3D6A108D">
            <w:pPr>
              <w:widowControl/>
              <w:jc w:val="right"/>
              <w:rPr>
                <w:rFonts w:ascii="宋体" w:hAnsi="宋体" w:cs="Arial"/>
                <w:color w:val="000000"/>
                <w:kern w:val="0"/>
                <w:sz w:val="22"/>
              </w:rPr>
            </w:pPr>
            <w:r>
              <w:rPr>
                <w:rFonts w:hint="eastAsia" w:ascii="宋体" w:hAnsi="宋体" w:cs="Arial"/>
                <w:color w:val="000000"/>
                <w:kern w:val="0"/>
                <w:sz w:val="22"/>
              </w:rPr>
              <w:t>239,621.67</w:t>
            </w:r>
          </w:p>
        </w:tc>
        <w:tc>
          <w:tcPr>
            <w:tcW w:w="1719" w:type="dxa"/>
            <w:tcBorders>
              <w:top w:val="nil"/>
              <w:left w:val="nil"/>
              <w:bottom w:val="single" w:color="auto" w:sz="4" w:space="0"/>
              <w:right w:val="single" w:color="auto" w:sz="4" w:space="0"/>
            </w:tcBorders>
            <w:shd w:val="clear" w:color="auto" w:fill="auto"/>
            <w:noWrap/>
            <w:vAlign w:val="center"/>
          </w:tcPr>
          <w:p w14:paraId="7DB6E823">
            <w:pPr>
              <w:widowControl/>
              <w:jc w:val="right"/>
              <w:rPr>
                <w:rFonts w:ascii="宋体" w:hAnsi="宋体" w:cs="Arial"/>
                <w:color w:val="000000"/>
                <w:kern w:val="0"/>
                <w:sz w:val="22"/>
              </w:rPr>
            </w:pPr>
            <w:r>
              <w:rPr>
                <w:rFonts w:hint="eastAsia" w:ascii="宋体" w:hAnsi="宋体" w:cs="Arial"/>
                <w:color w:val="000000"/>
                <w:kern w:val="0"/>
                <w:sz w:val="22"/>
              </w:rPr>
              <w:t>239,621.67</w:t>
            </w:r>
          </w:p>
        </w:tc>
      </w:tr>
      <w:tr w14:paraId="30F6B277">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F03C6D">
            <w:pPr>
              <w:widowControl/>
              <w:jc w:val="left"/>
              <w:rPr>
                <w:rFonts w:ascii="宋体" w:hAnsi="宋体" w:cs="Arial"/>
                <w:color w:val="000000"/>
                <w:kern w:val="0"/>
                <w:sz w:val="22"/>
              </w:rPr>
            </w:pPr>
            <w:r>
              <w:rPr>
                <w:rFonts w:hint="eastAsia" w:ascii="宋体" w:hAnsi="宋体" w:cs="Arial"/>
                <w:color w:val="000000"/>
                <w:kern w:val="0"/>
                <w:sz w:val="22"/>
              </w:rPr>
              <w:t>21208</w:t>
            </w:r>
          </w:p>
        </w:tc>
        <w:tc>
          <w:tcPr>
            <w:tcW w:w="3524" w:type="dxa"/>
            <w:tcBorders>
              <w:top w:val="nil"/>
              <w:left w:val="nil"/>
              <w:bottom w:val="single" w:color="auto" w:sz="4" w:space="0"/>
              <w:right w:val="single" w:color="auto" w:sz="4" w:space="0"/>
            </w:tcBorders>
            <w:shd w:val="clear" w:color="auto" w:fill="auto"/>
            <w:noWrap/>
            <w:vAlign w:val="center"/>
          </w:tcPr>
          <w:p w14:paraId="5804D0B4">
            <w:pPr>
              <w:widowControl/>
              <w:jc w:val="left"/>
              <w:rPr>
                <w:rFonts w:ascii="宋体" w:hAnsi="宋体" w:cs="Arial"/>
                <w:color w:val="000000"/>
                <w:kern w:val="0"/>
                <w:sz w:val="22"/>
              </w:rPr>
            </w:pPr>
            <w:r>
              <w:rPr>
                <w:rFonts w:hint="eastAsia" w:ascii="宋体" w:hAnsi="宋体" w:cs="Arial"/>
                <w:color w:val="000000"/>
                <w:kern w:val="0"/>
                <w:sz w:val="22"/>
              </w:rPr>
              <w:t>国有土地使用权出让收入安排的支出</w:t>
            </w:r>
          </w:p>
        </w:tc>
        <w:tc>
          <w:tcPr>
            <w:tcW w:w="1719" w:type="dxa"/>
            <w:tcBorders>
              <w:top w:val="nil"/>
              <w:left w:val="nil"/>
              <w:bottom w:val="single" w:color="auto" w:sz="4" w:space="0"/>
              <w:right w:val="single" w:color="auto" w:sz="4" w:space="0"/>
            </w:tcBorders>
            <w:shd w:val="clear" w:color="auto" w:fill="auto"/>
            <w:noWrap/>
            <w:vAlign w:val="center"/>
          </w:tcPr>
          <w:p w14:paraId="0AFAA156">
            <w:pPr>
              <w:widowControl/>
              <w:jc w:val="right"/>
              <w:rPr>
                <w:rFonts w:ascii="宋体" w:hAnsi="宋体" w:cs="Arial"/>
                <w:color w:val="000000"/>
                <w:kern w:val="0"/>
                <w:sz w:val="22"/>
              </w:rPr>
            </w:pPr>
            <w:r>
              <w:rPr>
                <w:rFonts w:hint="eastAsia" w:ascii="宋体" w:hAnsi="宋体" w:cs="Arial"/>
                <w:color w:val="000000"/>
                <w:kern w:val="0"/>
                <w:sz w:val="22"/>
              </w:rPr>
              <w:t>239,621.67</w:t>
            </w:r>
          </w:p>
        </w:tc>
        <w:tc>
          <w:tcPr>
            <w:tcW w:w="1719" w:type="dxa"/>
            <w:tcBorders>
              <w:top w:val="nil"/>
              <w:left w:val="nil"/>
              <w:bottom w:val="single" w:color="auto" w:sz="4" w:space="0"/>
              <w:right w:val="single" w:color="auto" w:sz="4" w:space="0"/>
            </w:tcBorders>
            <w:shd w:val="clear" w:color="auto" w:fill="auto"/>
            <w:noWrap/>
            <w:vAlign w:val="center"/>
          </w:tcPr>
          <w:p w14:paraId="37D6A8D6">
            <w:pPr>
              <w:widowControl/>
              <w:jc w:val="right"/>
              <w:rPr>
                <w:rFonts w:ascii="宋体" w:hAnsi="宋体" w:cs="Arial"/>
                <w:color w:val="000000"/>
                <w:kern w:val="0"/>
                <w:sz w:val="22"/>
              </w:rPr>
            </w:pPr>
            <w:r>
              <w:rPr>
                <w:rFonts w:hint="eastAsia" w:ascii="宋体" w:hAnsi="宋体" w:cs="Arial"/>
                <w:color w:val="000000"/>
                <w:kern w:val="0"/>
                <w:sz w:val="22"/>
              </w:rPr>
              <w:t>239,621.67</w:t>
            </w:r>
          </w:p>
        </w:tc>
      </w:tr>
      <w:tr w14:paraId="6C77B76D">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E2E5866">
            <w:pPr>
              <w:widowControl/>
              <w:jc w:val="left"/>
              <w:rPr>
                <w:rFonts w:ascii="宋体" w:hAnsi="宋体" w:cs="Arial"/>
                <w:color w:val="000000"/>
                <w:kern w:val="0"/>
                <w:sz w:val="22"/>
              </w:rPr>
            </w:pPr>
            <w:r>
              <w:rPr>
                <w:rFonts w:hint="eastAsia" w:ascii="宋体" w:hAnsi="宋体" w:cs="Arial"/>
                <w:color w:val="000000"/>
                <w:kern w:val="0"/>
                <w:sz w:val="22"/>
              </w:rPr>
              <w:t>2120802</w:t>
            </w:r>
          </w:p>
        </w:tc>
        <w:tc>
          <w:tcPr>
            <w:tcW w:w="3524" w:type="dxa"/>
            <w:tcBorders>
              <w:top w:val="nil"/>
              <w:left w:val="nil"/>
              <w:bottom w:val="single" w:color="auto" w:sz="4" w:space="0"/>
              <w:right w:val="single" w:color="auto" w:sz="4" w:space="0"/>
            </w:tcBorders>
            <w:shd w:val="clear" w:color="auto" w:fill="auto"/>
            <w:noWrap/>
            <w:vAlign w:val="center"/>
          </w:tcPr>
          <w:p w14:paraId="1110880D">
            <w:pPr>
              <w:widowControl/>
              <w:jc w:val="left"/>
              <w:rPr>
                <w:rFonts w:ascii="宋体" w:hAnsi="宋体" w:cs="Arial"/>
                <w:color w:val="000000"/>
                <w:kern w:val="0"/>
                <w:sz w:val="22"/>
              </w:rPr>
            </w:pPr>
            <w:r>
              <w:rPr>
                <w:rFonts w:hint="eastAsia" w:ascii="宋体" w:hAnsi="宋体" w:cs="Arial"/>
                <w:color w:val="000000"/>
                <w:kern w:val="0"/>
                <w:sz w:val="22"/>
              </w:rPr>
              <w:t xml:space="preserve">  土地开发支出</w:t>
            </w:r>
          </w:p>
        </w:tc>
        <w:tc>
          <w:tcPr>
            <w:tcW w:w="1719" w:type="dxa"/>
            <w:tcBorders>
              <w:top w:val="nil"/>
              <w:left w:val="nil"/>
              <w:bottom w:val="single" w:color="auto" w:sz="4" w:space="0"/>
              <w:right w:val="single" w:color="auto" w:sz="4" w:space="0"/>
            </w:tcBorders>
            <w:shd w:val="clear" w:color="auto" w:fill="auto"/>
            <w:noWrap/>
            <w:vAlign w:val="center"/>
          </w:tcPr>
          <w:p w14:paraId="135332D6">
            <w:pPr>
              <w:widowControl/>
              <w:jc w:val="right"/>
              <w:rPr>
                <w:rFonts w:ascii="宋体" w:hAnsi="宋体" w:cs="Arial"/>
                <w:color w:val="000000"/>
                <w:kern w:val="0"/>
                <w:sz w:val="22"/>
              </w:rPr>
            </w:pPr>
            <w:r>
              <w:rPr>
                <w:rFonts w:hint="eastAsia" w:ascii="宋体" w:hAnsi="宋体" w:cs="Arial"/>
                <w:color w:val="000000"/>
                <w:kern w:val="0"/>
                <w:sz w:val="22"/>
              </w:rPr>
              <w:t>239,621.67</w:t>
            </w:r>
          </w:p>
        </w:tc>
        <w:tc>
          <w:tcPr>
            <w:tcW w:w="1719" w:type="dxa"/>
            <w:tcBorders>
              <w:top w:val="nil"/>
              <w:left w:val="nil"/>
              <w:bottom w:val="single" w:color="auto" w:sz="4" w:space="0"/>
              <w:right w:val="single" w:color="auto" w:sz="4" w:space="0"/>
            </w:tcBorders>
            <w:shd w:val="clear" w:color="auto" w:fill="auto"/>
            <w:noWrap/>
            <w:vAlign w:val="center"/>
          </w:tcPr>
          <w:p w14:paraId="2CCEDDCC">
            <w:pPr>
              <w:widowControl/>
              <w:jc w:val="right"/>
              <w:rPr>
                <w:rFonts w:ascii="宋体" w:hAnsi="宋体" w:cs="Arial"/>
                <w:color w:val="000000"/>
                <w:kern w:val="0"/>
                <w:sz w:val="22"/>
              </w:rPr>
            </w:pPr>
            <w:r>
              <w:rPr>
                <w:rFonts w:hint="eastAsia" w:ascii="宋体" w:hAnsi="宋体" w:cs="Arial"/>
                <w:color w:val="000000"/>
                <w:kern w:val="0"/>
                <w:sz w:val="22"/>
              </w:rPr>
              <w:t>239,621.67</w:t>
            </w:r>
          </w:p>
        </w:tc>
      </w:tr>
      <w:tr w14:paraId="114F7444">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7F2D519">
            <w:pPr>
              <w:widowControl/>
              <w:jc w:val="left"/>
              <w:rPr>
                <w:rFonts w:ascii="宋体" w:hAnsi="宋体" w:cs="Arial"/>
                <w:color w:val="000000"/>
                <w:kern w:val="0"/>
                <w:sz w:val="22"/>
              </w:rPr>
            </w:pPr>
            <w:r>
              <w:rPr>
                <w:rFonts w:hint="eastAsia" w:ascii="宋体" w:hAnsi="宋体" w:cs="Arial"/>
                <w:color w:val="000000"/>
                <w:kern w:val="0"/>
                <w:sz w:val="22"/>
              </w:rPr>
              <w:t>213</w:t>
            </w:r>
          </w:p>
        </w:tc>
        <w:tc>
          <w:tcPr>
            <w:tcW w:w="3524" w:type="dxa"/>
            <w:tcBorders>
              <w:top w:val="nil"/>
              <w:left w:val="nil"/>
              <w:bottom w:val="single" w:color="auto" w:sz="4" w:space="0"/>
              <w:right w:val="single" w:color="auto" w:sz="4" w:space="0"/>
            </w:tcBorders>
            <w:shd w:val="clear" w:color="auto" w:fill="auto"/>
            <w:noWrap/>
            <w:vAlign w:val="center"/>
          </w:tcPr>
          <w:p w14:paraId="589B7AA0">
            <w:pPr>
              <w:widowControl/>
              <w:jc w:val="left"/>
              <w:rPr>
                <w:rFonts w:ascii="宋体" w:hAnsi="宋体" w:cs="Arial"/>
                <w:color w:val="000000"/>
                <w:kern w:val="0"/>
                <w:sz w:val="22"/>
              </w:rPr>
            </w:pPr>
            <w:r>
              <w:rPr>
                <w:rFonts w:hint="eastAsia" w:ascii="宋体" w:hAnsi="宋体" w:cs="Arial"/>
                <w:color w:val="000000"/>
                <w:kern w:val="0"/>
                <w:sz w:val="22"/>
              </w:rPr>
              <w:t>农林水支出</w:t>
            </w:r>
          </w:p>
        </w:tc>
        <w:tc>
          <w:tcPr>
            <w:tcW w:w="1719" w:type="dxa"/>
            <w:tcBorders>
              <w:top w:val="nil"/>
              <w:left w:val="nil"/>
              <w:bottom w:val="single" w:color="auto" w:sz="4" w:space="0"/>
              <w:right w:val="single" w:color="auto" w:sz="4" w:space="0"/>
            </w:tcBorders>
            <w:shd w:val="clear" w:color="auto" w:fill="auto"/>
            <w:noWrap/>
            <w:vAlign w:val="center"/>
          </w:tcPr>
          <w:p w14:paraId="6E20AB1C">
            <w:pPr>
              <w:widowControl/>
              <w:jc w:val="right"/>
              <w:rPr>
                <w:rFonts w:ascii="宋体" w:hAnsi="宋体" w:cs="Arial"/>
                <w:color w:val="000000"/>
                <w:kern w:val="0"/>
                <w:sz w:val="22"/>
              </w:rPr>
            </w:pPr>
            <w:r>
              <w:rPr>
                <w:rFonts w:hint="eastAsia" w:ascii="宋体" w:hAnsi="宋体" w:cs="Arial"/>
                <w:color w:val="000000"/>
                <w:kern w:val="0"/>
                <w:sz w:val="22"/>
              </w:rPr>
              <w:t>5,709,660.00</w:t>
            </w:r>
          </w:p>
        </w:tc>
        <w:tc>
          <w:tcPr>
            <w:tcW w:w="1719" w:type="dxa"/>
            <w:tcBorders>
              <w:top w:val="nil"/>
              <w:left w:val="nil"/>
              <w:bottom w:val="single" w:color="auto" w:sz="4" w:space="0"/>
              <w:right w:val="single" w:color="auto" w:sz="4" w:space="0"/>
            </w:tcBorders>
            <w:shd w:val="clear" w:color="auto" w:fill="auto"/>
            <w:noWrap/>
            <w:vAlign w:val="center"/>
          </w:tcPr>
          <w:p w14:paraId="62BC9A9A">
            <w:pPr>
              <w:widowControl/>
              <w:jc w:val="right"/>
              <w:rPr>
                <w:rFonts w:ascii="宋体" w:hAnsi="宋体" w:cs="Arial"/>
                <w:color w:val="000000"/>
                <w:kern w:val="0"/>
                <w:sz w:val="22"/>
              </w:rPr>
            </w:pPr>
            <w:r>
              <w:rPr>
                <w:rFonts w:hint="eastAsia" w:ascii="宋体" w:hAnsi="宋体" w:cs="Arial"/>
                <w:color w:val="000000"/>
                <w:kern w:val="0"/>
                <w:sz w:val="22"/>
              </w:rPr>
              <w:t>5,709,660.00</w:t>
            </w:r>
          </w:p>
        </w:tc>
      </w:tr>
      <w:tr w14:paraId="33202509">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1DCE9C">
            <w:pPr>
              <w:widowControl/>
              <w:jc w:val="left"/>
              <w:rPr>
                <w:rFonts w:ascii="宋体" w:hAnsi="宋体" w:cs="Arial"/>
                <w:color w:val="000000"/>
                <w:kern w:val="0"/>
                <w:sz w:val="22"/>
              </w:rPr>
            </w:pPr>
            <w:r>
              <w:rPr>
                <w:rFonts w:hint="eastAsia" w:ascii="宋体" w:hAnsi="宋体" w:cs="Arial"/>
                <w:color w:val="000000"/>
                <w:kern w:val="0"/>
                <w:sz w:val="22"/>
              </w:rPr>
              <w:t>21305</w:t>
            </w:r>
          </w:p>
        </w:tc>
        <w:tc>
          <w:tcPr>
            <w:tcW w:w="3524" w:type="dxa"/>
            <w:tcBorders>
              <w:top w:val="nil"/>
              <w:left w:val="nil"/>
              <w:bottom w:val="single" w:color="auto" w:sz="4" w:space="0"/>
              <w:right w:val="single" w:color="auto" w:sz="4" w:space="0"/>
            </w:tcBorders>
            <w:shd w:val="clear" w:color="auto" w:fill="auto"/>
            <w:noWrap/>
            <w:vAlign w:val="center"/>
          </w:tcPr>
          <w:p w14:paraId="3D43DFD5">
            <w:pPr>
              <w:widowControl/>
              <w:jc w:val="left"/>
              <w:rPr>
                <w:rFonts w:ascii="宋体" w:hAnsi="宋体" w:cs="Arial"/>
                <w:color w:val="000000"/>
                <w:kern w:val="0"/>
                <w:sz w:val="22"/>
              </w:rPr>
            </w:pPr>
            <w:r>
              <w:rPr>
                <w:rFonts w:hint="eastAsia" w:ascii="宋体" w:hAnsi="宋体" w:cs="Arial"/>
                <w:color w:val="000000"/>
                <w:kern w:val="0"/>
                <w:sz w:val="22"/>
              </w:rPr>
              <w:t>扶贫</w:t>
            </w:r>
          </w:p>
        </w:tc>
        <w:tc>
          <w:tcPr>
            <w:tcW w:w="1719" w:type="dxa"/>
            <w:tcBorders>
              <w:top w:val="nil"/>
              <w:left w:val="nil"/>
              <w:bottom w:val="single" w:color="auto" w:sz="4" w:space="0"/>
              <w:right w:val="single" w:color="auto" w:sz="4" w:space="0"/>
            </w:tcBorders>
            <w:shd w:val="clear" w:color="auto" w:fill="auto"/>
            <w:noWrap/>
            <w:vAlign w:val="center"/>
          </w:tcPr>
          <w:p w14:paraId="0B71800C">
            <w:pPr>
              <w:widowControl/>
              <w:jc w:val="right"/>
              <w:rPr>
                <w:rFonts w:ascii="宋体" w:hAnsi="宋体" w:cs="Arial"/>
                <w:color w:val="000000"/>
                <w:kern w:val="0"/>
                <w:sz w:val="22"/>
              </w:rPr>
            </w:pPr>
            <w:r>
              <w:rPr>
                <w:rFonts w:hint="eastAsia" w:ascii="宋体" w:hAnsi="宋体" w:cs="Arial"/>
                <w:color w:val="000000"/>
                <w:kern w:val="0"/>
                <w:sz w:val="22"/>
              </w:rPr>
              <w:t>5,709,660.00</w:t>
            </w:r>
          </w:p>
        </w:tc>
        <w:tc>
          <w:tcPr>
            <w:tcW w:w="1719" w:type="dxa"/>
            <w:tcBorders>
              <w:top w:val="nil"/>
              <w:left w:val="nil"/>
              <w:bottom w:val="single" w:color="auto" w:sz="4" w:space="0"/>
              <w:right w:val="single" w:color="auto" w:sz="4" w:space="0"/>
            </w:tcBorders>
            <w:shd w:val="clear" w:color="auto" w:fill="auto"/>
            <w:noWrap/>
            <w:vAlign w:val="center"/>
          </w:tcPr>
          <w:p w14:paraId="17CED2B7">
            <w:pPr>
              <w:widowControl/>
              <w:jc w:val="right"/>
              <w:rPr>
                <w:rFonts w:ascii="宋体" w:hAnsi="宋体" w:cs="Arial"/>
                <w:color w:val="000000"/>
                <w:kern w:val="0"/>
                <w:sz w:val="22"/>
              </w:rPr>
            </w:pPr>
            <w:r>
              <w:rPr>
                <w:rFonts w:hint="eastAsia" w:ascii="宋体" w:hAnsi="宋体" w:cs="Arial"/>
                <w:color w:val="000000"/>
                <w:kern w:val="0"/>
                <w:sz w:val="22"/>
              </w:rPr>
              <w:t>5,709,660.00</w:t>
            </w:r>
          </w:p>
        </w:tc>
      </w:tr>
      <w:tr w14:paraId="36F20824">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B7811E">
            <w:pPr>
              <w:widowControl/>
              <w:jc w:val="left"/>
              <w:rPr>
                <w:rFonts w:ascii="宋体" w:hAnsi="宋体" w:cs="Arial"/>
                <w:color w:val="000000"/>
                <w:kern w:val="0"/>
                <w:sz w:val="22"/>
              </w:rPr>
            </w:pPr>
            <w:r>
              <w:rPr>
                <w:rFonts w:hint="eastAsia" w:ascii="宋体" w:hAnsi="宋体" w:cs="Arial"/>
                <w:color w:val="000000"/>
                <w:kern w:val="0"/>
                <w:sz w:val="22"/>
              </w:rPr>
              <w:t>2130506</w:t>
            </w:r>
          </w:p>
        </w:tc>
        <w:tc>
          <w:tcPr>
            <w:tcW w:w="3524" w:type="dxa"/>
            <w:tcBorders>
              <w:top w:val="nil"/>
              <w:left w:val="nil"/>
              <w:bottom w:val="single" w:color="auto" w:sz="4" w:space="0"/>
              <w:right w:val="single" w:color="auto" w:sz="4" w:space="0"/>
            </w:tcBorders>
            <w:shd w:val="clear" w:color="auto" w:fill="auto"/>
            <w:noWrap/>
            <w:vAlign w:val="center"/>
          </w:tcPr>
          <w:p w14:paraId="61E36941">
            <w:pPr>
              <w:widowControl/>
              <w:jc w:val="left"/>
              <w:rPr>
                <w:rFonts w:ascii="宋体" w:hAnsi="宋体" w:cs="Arial"/>
                <w:color w:val="000000"/>
                <w:kern w:val="0"/>
                <w:sz w:val="22"/>
              </w:rPr>
            </w:pPr>
            <w:r>
              <w:rPr>
                <w:rFonts w:hint="eastAsia" w:ascii="宋体" w:hAnsi="宋体" w:cs="Arial"/>
                <w:color w:val="000000"/>
                <w:kern w:val="0"/>
                <w:sz w:val="22"/>
              </w:rPr>
              <w:t xml:space="preserve">  社会发展</w:t>
            </w:r>
          </w:p>
        </w:tc>
        <w:tc>
          <w:tcPr>
            <w:tcW w:w="1719" w:type="dxa"/>
            <w:tcBorders>
              <w:top w:val="nil"/>
              <w:left w:val="nil"/>
              <w:bottom w:val="single" w:color="auto" w:sz="4" w:space="0"/>
              <w:right w:val="single" w:color="auto" w:sz="4" w:space="0"/>
            </w:tcBorders>
            <w:shd w:val="clear" w:color="auto" w:fill="auto"/>
            <w:noWrap/>
            <w:vAlign w:val="center"/>
          </w:tcPr>
          <w:p w14:paraId="0057FD76">
            <w:pPr>
              <w:widowControl/>
              <w:jc w:val="right"/>
              <w:rPr>
                <w:rFonts w:ascii="宋体" w:hAnsi="宋体" w:cs="Arial"/>
                <w:color w:val="000000"/>
                <w:kern w:val="0"/>
                <w:sz w:val="22"/>
              </w:rPr>
            </w:pPr>
            <w:r>
              <w:rPr>
                <w:rFonts w:hint="eastAsia" w:ascii="宋体" w:hAnsi="宋体" w:cs="Arial"/>
                <w:color w:val="000000"/>
                <w:kern w:val="0"/>
                <w:sz w:val="22"/>
              </w:rPr>
              <w:t>5,709,660.00</w:t>
            </w:r>
          </w:p>
        </w:tc>
        <w:tc>
          <w:tcPr>
            <w:tcW w:w="1719" w:type="dxa"/>
            <w:tcBorders>
              <w:top w:val="nil"/>
              <w:left w:val="nil"/>
              <w:bottom w:val="single" w:color="auto" w:sz="4" w:space="0"/>
              <w:right w:val="single" w:color="auto" w:sz="4" w:space="0"/>
            </w:tcBorders>
            <w:shd w:val="clear" w:color="auto" w:fill="auto"/>
            <w:noWrap/>
            <w:vAlign w:val="center"/>
          </w:tcPr>
          <w:p w14:paraId="65A08CD8">
            <w:pPr>
              <w:widowControl/>
              <w:jc w:val="right"/>
              <w:rPr>
                <w:rFonts w:ascii="宋体" w:hAnsi="宋体" w:cs="Arial"/>
                <w:color w:val="000000"/>
                <w:kern w:val="0"/>
                <w:sz w:val="22"/>
              </w:rPr>
            </w:pPr>
            <w:r>
              <w:rPr>
                <w:rFonts w:hint="eastAsia" w:ascii="宋体" w:hAnsi="宋体" w:cs="Arial"/>
                <w:color w:val="000000"/>
                <w:kern w:val="0"/>
                <w:sz w:val="22"/>
              </w:rPr>
              <w:t>5,709,660.00</w:t>
            </w:r>
          </w:p>
        </w:tc>
      </w:tr>
      <w:tr w14:paraId="6FE3F2B6">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86DF53">
            <w:pPr>
              <w:widowControl/>
              <w:jc w:val="left"/>
              <w:rPr>
                <w:rFonts w:ascii="宋体" w:hAnsi="宋体" w:cs="Arial"/>
                <w:color w:val="000000"/>
                <w:kern w:val="0"/>
                <w:sz w:val="22"/>
              </w:rPr>
            </w:pPr>
            <w:r>
              <w:rPr>
                <w:rFonts w:hint="eastAsia" w:ascii="宋体" w:hAnsi="宋体" w:cs="Arial"/>
                <w:color w:val="000000"/>
                <w:kern w:val="0"/>
                <w:sz w:val="22"/>
              </w:rPr>
              <w:t>221</w:t>
            </w:r>
          </w:p>
        </w:tc>
        <w:tc>
          <w:tcPr>
            <w:tcW w:w="3524" w:type="dxa"/>
            <w:tcBorders>
              <w:top w:val="nil"/>
              <w:left w:val="nil"/>
              <w:bottom w:val="single" w:color="auto" w:sz="4" w:space="0"/>
              <w:right w:val="single" w:color="auto" w:sz="4" w:space="0"/>
            </w:tcBorders>
            <w:shd w:val="clear" w:color="auto" w:fill="auto"/>
            <w:noWrap/>
            <w:vAlign w:val="center"/>
          </w:tcPr>
          <w:p w14:paraId="3503E1D5">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719" w:type="dxa"/>
            <w:tcBorders>
              <w:top w:val="nil"/>
              <w:left w:val="nil"/>
              <w:bottom w:val="single" w:color="auto" w:sz="4" w:space="0"/>
              <w:right w:val="single" w:color="auto" w:sz="4" w:space="0"/>
            </w:tcBorders>
            <w:shd w:val="clear" w:color="auto" w:fill="auto"/>
            <w:noWrap/>
            <w:vAlign w:val="center"/>
          </w:tcPr>
          <w:p w14:paraId="27BDFBC6">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719" w:type="dxa"/>
            <w:tcBorders>
              <w:top w:val="nil"/>
              <w:left w:val="nil"/>
              <w:bottom w:val="single" w:color="auto" w:sz="4" w:space="0"/>
              <w:right w:val="single" w:color="auto" w:sz="4" w:space="0"/>
            </w:tcBorders>
            <w:shd w:val="clear" w:color="auto" w:fill="auto"/>
            <w:noWrap/>
            <w:vAlign w:val="center"/>
          </w:tcPr>
          <w:p w14:paraId="153D98A1">
            <w:pPr>
              <w:widowControl/>
              <w:jc w:val="right"/>
              <w:rPr>
                <w:rFonts w:ascii="宋体" w:hAnsi="宋体" w:cs="Arial"/>
                <w:color w:val="000000"/>
                <w:kern w:val="0"/>
                <w:sz w:val="22"/>
              </w:rPr>
            </w:pPr>
            <w:r>
              <w:rPr>
                <w:rFonts w:hint="eastAsia" w:ascii="宋体" w:hAnsi="宋体" w:cs="Arial"/>
                <w:color w:val="000000"/>
                <w:kern w:val="0"/>
                <w:sz w:val="22"/>
              </w:rPr>
              <w:t>276,857.00</w:t>
            </w:r>
          </w:p>
        </w:tc>
      </w:tr>
      <w:tr w14:paraId="6CCD55A8">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6BE305">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3524" w:type="dxa"/>
            <w:tcBorders>
              <w:top w:val="nil"/>
              <w:left w:val="nil"/>
              <w:bottom w:val="single" w:color="auto" w:sz="4" w:space="0"/>
              <w:right w:val="single" w:color="auto" w:sz="4" w:space="0"/>
            </w:tcBorders>
            <w:shd w:val="clear" w:color="auto" w:fill="auto"/>
            <w:noWrap/>
            <w:vAlign w:val="center"/>
          </w:tcPr>
          <w:p w14:paraId="7796C659">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719" w:type="dxa"/>
            <w:tcBorders>
              <w:top w:val="nil"/>
              <w:left w:val="nil"/>
              <w:bottom w:val="single" w:color="auto" w:sz="4" w:space="0"/>
              <w:right w:val="single" w:color="auto" w:sz="4" w:space="0"/>
            </w:tcBorders>
            <w:shd w:val="clear" w:color="auto" w:fill="auto"/>
            <w:noWrap/>
            <w:vAlign w:val="center"/>
          </w:tcPr>
          <w:p w14:paraId="03350244">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719" w:type="dxa"/>
            <w:tcBorders>
              <w:top w:val="nil"/>
              <w:left w:val="nil"/>
              <w:bottom w:val="single" w:color="auto" w:sz="4" w:space="0"/>
              <w:right w:val="single" w:color="auto" w:sz="4" w:space="0"/>
            </w:tcBorders>
            <w:shd w:val="clear" w:color="auto" w:fill="auto"/>
            <w:noWrap/>
            <w:vAlign w:val="center"/>
          </w:tcPr>
          <w:p w14:paraId="1507B545">
            <w:pPr>
              <w:widowControl/>
              <w:jc w:val="right"/>
              <w:rPr>
                <w:rFonts w:ascii="宋体" w:hAnsi="宋体" w:cs="Arial"/>
                <w:color w:val="000000"/>
                <w:kern w:val="0"/>
                <w:sz w:val="22"/>
              </w:rPr>
            </w:pPr>
            <w:r>
              <w:rPr>
                <w:rFonts w:hint="eastAsia" w:ascii="宋体" w:hAnsi="宋体" w:cs="Arial"/>
                <w:color w:val="000000"/>
                <w:kern w:val="0"/>
                <w:sz w:val="22"/>
              </w:rPr>
              <w:t>276,857.00</w:t>
            </w:r>
          </w:p>
        </w:tc>
      </w:tr>
      <w:tr w14:paraId="0BE0753D">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5EBDDEE">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3524" w:type="dxa"/>
            <w:tcBorders>
              <w:top w:val="nil"/>
              <w:left w:val="nil"/>
              <w:bottom w:val="single" w:color="auto" w:sz="4" w:space="0"/>
              <w:right w:val="single" w:color="auto" w:sz="4" w:space="0"/>
            </w:tcBorders>
            <w:shd w:val="clear" w:color="auto" w:fill="auto"/>
            <w:noWrap/>
            <w:vAlign w:val="center"/>
          </w:tcPr>
          <w:p w14:paraId="54432762">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719" w:type="dxa"/>
            <w:tcBorders>
              <w:top w:val="nil"/>
              <w:left w:val="nil"/>
              <w:bottom w:val="single" w:color="auto" w:sz="4" w:space="0"/>
              <w:right w:val="single" w:color="auto" w:sz="4" w:space="0"/>
            </w:tcBorders>
            <w:shd w:val="clear" w:color="auto" w:fill="auto"/>
            <w:noWrap/>
            <w:vAlign w:val="center"/>
          </w:tcPr>
          <w:p w14:paraId="05E5379C">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719" w:type="dxa"/>
            <w:tcBorders>
              <w:top w:val="nil"/>
              <w:left w:val="nil"/>
              <w:bottom w:val="single" w:color="auto" w:sz="4" w:space="0"/>
              <w:right w:val="single" w:color="auto" w:sz="4" w:space="0"/>
            </w:tcBorders>
            <w:shd w:val="clear" w:color="auto" w:fill="auto"/>
            <w:noWrap/>
            <w:vAlign w:val="center"/>
          </w:tcPr>
          <w:p w14:paraId="59A46BE7">
            <w:pPr>
              <w:widowControl/>
              <w:jc w:val="right"/>
              <w:rPr>
                <w:rFonts w:ascii="宋体" w:hAnsi="宋体" w:cs="Arial"/>
                <w:color w:val="000000"/>
                <w:kern w:val="0"/>
                <w:sz w:val="22"/>
              </w:rPr>
            </w:pPr>
            <w:r>
              <w:rPr>
                <w:rFonts w:hint="eastAsia" w:ascii="宋体" w:hAnsi="宋体" w:cs="Arial"/>
                <w:color w:val="000000"/>
                <w:kern w:val="0"/>
                <w:sz w:val="22"/>
              </w:rPr>
              <w:t>276,857.00</w:t>
            </w:r>
          </w:p>
        </w:tc>
      </w:tr>
      <w:tr w14:paraId="1B3B4171">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3EC2C0">
            <w:pPr>
              <w:widowControl/>
              <w:jc w:val="left"/>
              <w:rPr>
                <w:rFonts w:ascii="宋体" w:hAnsi="宋体" w:cs="Arial"/>
                <w:color w:val="000000"/>
                <w:kern w:val="0"/>
                <w:sz w:val="22"/>
              </w:rPr>
            </w:pPr>
            <w:r>
              <w:rPr>
                <w:rFonts w:hint="eastAsia" w:ascii="宋体" w:hAnsi="宋体" w:cs="Arial"/>
                <w:color w:val="000000"/>
                <w:kern w:val="0"/>
                <w:sz w:val="22"/>
              </w:rPr>
              <w:t>229</w:t>
            </w:r>
          </w:p>
        </w:tc>
        <w:tc>
          <w:tcPr>
            <w:tcW w:w="3524" w:type="dxa"/>
            <w:tcBorders>
              <w:top w:val="nil"/>
              <w:left w:val="nil"/>
              <w:bottom w:val="single" w:color="auto" w:sz="4" w:space="0"/>
              <w:right w:val="single" w:color="auto" w:sz="4" w:space="0"/>
            </w:tcBorders>
            <w:shd w:val="clear" w:color="auto" w:fill="auto"/>
            <w:noWrap/>
            <w:vAlign w:val="center"/>
          </w:tcPr>
          <w:p w14:paraId="3F0E5469">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719" w:type="dxa"/>
            <w:tcBorders>
              <w:top w:val="nil"/>
              <w:left w:val="nil"/>
              <w:bottom w:val="single" w:color="auto" w:sz="4" w:space="0"/>
              <w:right w:val="single" w:color="auto" w:sz="4" w:space="0"/>
            </w:tcBorders>
            <w:shd w:val="clear" w:color="auto" w:fill="auto"/>
            <w:noWrap/>
            <w:vAlign w:val="center"/>
          </w:tcPr>
          <w:p w14:paraId="4A946004">
            <w:pPr>
              <w:widowControl/>
              <w:jc w:val="right"/>
              <w:rPr>
                <w:rFonts w:ascii="宋体" w:hAnsi="宋体" w:cs="Arial"/>
                <w:color w:val="000000"/>
                <w:kern w:val="0"/>
                <w:sz w:val="22"/>
              </w:rPr>
            </w:pPr>
            <w:r>
              <w:rPr>
                <w:rFonts w:hint="eastAsia" w:ascii="宋体" w:hAnsi="宋体" w:cs="Arial"/>
                <w:color w:val="000000"/>
                <w:kern w:val="0"/>
                <w:sz w:val="22"/>
              </w:rPr>
              <w:t>1,243,320.00</w:t>
            </w:r>
          </w:p>
        </w:tc>
        <w:tc>
          <w:tcPr>
            <w:tcW w:w="1719" w:type="dxa"/>
            <w:tcBorders>
              <w:top w:val="nil"/>
              <w:left w:val="nil"/>
              <w:bottom w:val="single" w:color="auto" w:sz="4" w:space="0"/>
              <w:right w:val="single" w:color="auto" w:sz="4" w:space="0"/>
            </w:tcBorders>
            <w:shd w:val="clear" w:color="auto" w:fill="auto"/>
            <w:noWrap/>
            <w:vAlign w:val="center"/>
          </w:tcPr>
          <w:p w14:paraId="315F0825">
            <w:pPr>
              <w:widowControl/>
              <w:jc w:val="right"/>
              <w:rPr>
                <w:rFonts w:ascii="宋体" w:hAnsi="宋体" w:cs="Arial"/>
                <w:color w:val="000000"/>
                <w:kern w:val="0"/>
                <w:sz w:val="22"/>
              </w:rPr>
            </w:pPr>
            <w:r>
              <w:rPr>
                <w:rFonts w:hint="eastAsia" w:ascii="宋体" w:hAnsi="宋体" w:cs="Arial"/>
                <w:color w:val="000000"/>
                <w:kern w:val="0"/>
                <w:sz w:val="22"/>
              </w:rPr>
              <w:t>1,243,320.00</w:t>
            </w:r>
          </w:p>
        </w:tc>
      </w:tr>
      <w:tr w14:paraId="5242240B">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0A9C28A">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3524" w:type="dxa"/>
            <w:tcBorders>
              <w:top w:val="nil"/>
              <w:left w:val="nil"/>
              <w:bottom w:val="single" w:color="auto" w:sz="4" w:space="0"/>
              <w:right w:val="single" w:color="auto" w:sz="4" w:space="0"/>
            </w:tcBorders>
            <w:shd w:val="clear" w:color="auto" w:fill="auto"/>
            <w:noWrap/>
            <w:vAlign w:val="center"/>
          </w:tcPr>
          <w:p w14:paraId="2A4ECEA6">
            <w:pPr>
              <w:widowControl/>
              <w:jc w:val="left"/>
              <w:rPr>
                <w:rFonts w:ascii="宋体" w:hAnsi="宋体" w:cs="Arial"/>
                <w:color w:val="000000"/>
                <w:kern w:val="0"/>
                <w:sz w:val="22"/>
              </w:rPr>
            </w:pPr>
            <w:r>
              <w:rPr>
                <w:rFonts w:hint="eastAsia" w:ascii="宋体" w:hAnsi="宋体" w:cs="Arial"/>
                <w:color w:val="000000"/>
                <w:kern w:val="0"/>
                <w:sz w:val="22"/>
              </w:rPr>
              <w:t>彩票公益金安排的支出</w:t>
            </w:r>
          </w:p>
        </w:tc>
        <w:tc>
          <w:tcPr>
            <w:tcW w:w="1719" w:type="dxa"/>
            <w:tcBorders>
              <w:top w:val="nil"/>
              <w:left w:val="nil"/>
              <w:bottom w:val="single" w:color="auto" w:sz="4" w:space="0"/>
              <w:right w:val="single" w:color="auto" w:sz="4" w:space="0"/>
            </w:tcBorders>
            <w:shd w:val="clear" w:color="auto" w:fill="auto"/>
            <w:noWrap/>
            <w:vAlign w:val="center"/>
          </w:tcPr>
          <w:p w14:paraId="5E3E3841">
            <w:pPr>
              <w:widowControl/>
              <w:jc w:val="right"/>
              <w:rPr>
                <w:rFonts w:ascii="宋体" w:hAnsi="宋体" w:cs="Arial"/>
                <w:color w:val="000000"/>
                <w:kern w:val="0"/>
                <w:sz w:val="22"/>
              </w:rPr>
            </w:pPr>
            <w:r>
              <w:rPr>
                <w:rFonts w:hint="eastAsia" w:ascii="宋体" w:hAnsi="宋体" w:cs="Arial"/>
                <w:color w:val="000000"/>
                <w:kern w:val="0"/>
                <w:sz w:val="22"/>
              </w:rPr>
              <w:t>1,243,320.00</w:t>
            </w:r>
          </w:p>
        </w:tc>
        <w:tc>
          <w:tcPr>
            <w:tcW w:w="1719" w:type="dxa"/>
            <w:tcBorders>
              <w:top w:val="nil"/>
              <w:left w:val="nil"/>
              <w:bottom w:val="single" w:color="auto" w:sz="4" w:space="0"/>
              <w:right w:val="single" w:color="auto" w:sz="4" w:space="0"/>
            </w:tcBorders>
            <w:shd w:val="clear" w:color="auto" w:fill="auto"/>
            <w:noWrap/>
            <w:vAlign w:val="center"/>
          </w:tcPr>
          <w:p w14:paraId="4B98F682">
            <w:pPr>
              <w:widowControl/>
              <w:jc w:val="right"/>
              <w:rPr>
                <w:rFonts w:ascii="宋体" w:hAnsi="宋体" w:cs="Arial"/>
                <w:color w:val="000000"/>
                <w:kern w:val="0"/>
                <w:sz w:val="22"/>
              </w:rPr>
            </w:pPr>
            <w:r>
              <w:rPr>
                <w:rFonts w:hint="eastAsia" w:ascii="宋体" w:hAnsi="宋体" w:cs="Arial"/>
                <w:color w:val="000000"/>
                <w:kern w:val="0"/>
                <w:sz w:val="22"/>
              </w:rPr>
              <w:t>1,243,320.00</w:t>
            </w:r>
          </w:p>
        </w:tc>
      </w:tr>
      <w:tr w14:paraId="7087A5BA">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8FA84F">
            <w:pPr>
              <w:widowControl/>
              <w:jc w:val="left"/>
              <w:rPr>
                <w:rFonts w:ascii="宋体" w:hAnsi="宋体" w:cs="Arial"/>
                <w:color w:val="000000"/>
                <w:kern w:val="0"/>
                <w:sz w:val="22"/>
              </w:rPr>
            </w:pPr>
            <w:r>
              <w:rPr>
                <w:rFonts w:hint="eastAsia" w:ascii="宋体" w:hAnsi="宋体" w:cs="Arial"/>
                <w:color w:val="000000"/>
                <w:kern w:val="0"/>
                <w:sz w:val="22"/>
              </w:rPr>
              <w:t>2296002</w:t>
            </w:r>
          </w:p>
        </w:tc>
        <w:tc>
          <w:tcPr>
            <w:tcW w:w="3524" w:type="dxa"/>
            <w:tcBorders>
              <w:top w:val="nil"/>
              <w:left w:val="nil"/>
              <w:bottom w:val="single" w:color="auto" w:sz="4" w:space="0"/>
              <w:right w:val="single" w:color="auto" w:sz="4" w:space="0"/>
            </w:tcBorders>
            <w:shd w:val="clear" w:color="auto" w:fill="auto"/>
            <w:noWrap/>
            <w:vAlign w:val="center"/>
          </w:tcPr>
          <w:p w14:paraId="7C2365B5">
            <w:pPr>
              <w:widowControl/>
              <w:jc w:val="left"/>
              <w:rPr>
                <w:rFonts w:ascii="宋体" w:hAnsi="宋体" w:cs="Arial"/>
                <w:color w:val="000000"/>
                <w:kern w:val="0"/>
                <w:sz w:val="22"/>
              </w:rPr>
            </w:pPr>
            <w:r>
              <w:rPr>
                <w:rFonts w:hint="eastAsia" w:ascii="宋体" w:hAnsi="宋体" w:cs="Arial"/>
                <w:color w:val="000000"/>
                <w:kern w:val="0"/>
                <w:sz w:val="22"/>
              </w:rPr>
              <w:t xml:space="preserve">  用于社会福利的彩票公益金支出</w:t>
            </w:r>
          </w:p>
        </w:tc>
        <w:tc>
          <w:tcPr>
            <w:tcW w:w="1719" w:type="dxa"/>
            <w:tcBorders>
              <w:top w:val="nil"/>
              <w:left w:val="nil"/>
              <w:bottom w:val="single" w:color="auto" w:sz="4" w:space="0"/>
              <w:right w:val="single" w:color="auto" w:sz="4" w:space="0"/>
            </w:tcBorders>
            <w:shd w:val="clear" w:color="auto" w:fill="auto"/>
            <w:noWrap/>
            <w:vAlign w:val="center"/>
          </w:tcPr>
          <w:p w14:paraId="18132E7A">
            <w:pPr>
              <w:widowControl/>
              <w:jc w:val="right"/>
              <w:rPr>
                <w:rFonts w:ascii="宋体" w:hAnsi="宋体" w:cs="Arial"/>
                <w:color w:val="000000"/>
                <w:kern w:val="0"/>
                <w:sz w:val="22"/>
              </w:rPr>
            </w:pPr>
            <w:r>
              <w:rPr>
                <w:rFonts w:hint="eastAsia" w:ascii="宋体" w:hAnsi="宋体" w:cs="Arial"/>
                <w:color w:val="000000"/>
                <w:kern w:val="0"/>
                <w:sz w:val="22"/>
              </w:rPr>
              <w:t>724,520.00</w:t>
            </w:r>
          </w:p>
        </w:tc>
        <w:tc>
          <w:tcPr>
            <w:tcW w:w="1719" w:type="dxa"/>
            <w:tcBorders>
              <w:top w:val="nil"/>
              <w:left w:val="nil"/>
              <w:bottom w:val="single" w:color="auto" w:sz="4" w:space="0"/>
              <w:right w:val="single" w:color="auto" w:sz="4" w:space="0"/>
            </w:tcBorders>
            <w:shd w:val="clear" w:color="auto" w:fill="auto"/>
            <w:noWrap/>
            <w:vAlign w:val="center"/>
          </w:tcPr>
          <w:p w14:paraId="59A92399">
            <w:pPr>
              <w:widowControl/>
              <w:jc w:val="right"/>
              <w:rPr>
                <w:rFonts w:ascii="宋体" w:hAnsi="宋体" w:cs="Arial"/>
                <w:color w:val="000000"/>
                <w:kern w:val="0"/>
                <w:sz w:val="22"/>
              </w:rPr>
            </w:pPr>
            <w:r>
              <w:rPr>
                <w:rFonts w:hint="eastAsia" w:ascii="宋体" w:hAnsi="宋体" w:cs="Arial"/>
                <w:color w:val="000000"/>
                <w:kern w:val="0"/>
                <w:sz w:val="22"/>
              </w:rPr>
              <w:t>724,520.00</w:t>
            </w:r>
          </w:p>
        </w:tc>
      </w:tr>
      <w:tr w14:paraId="6CFDD6A1">
        <w:tblPrEx>
          <w:tblCellMar>
            <w:top w:w="0" w:type="dxa"/>
            <w:left w:w="108" w:type="dxa"/>
            <w:bottom w:w="0" w:type="dxa"/>
            <w:right w:w="108" w:type="dxa"/>
          </w:tblCellMar>
        </w:tblPrEx>
        <w:trPr>
          <w:trHeight w:val="309"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5674A1">
            <w:pPr>
              <w:widowControl/>
              <w:jc w:val="left"/>
              <w:rPr>
                <w:rFonts w:ascii="宋体" w:hAnsi="宋体" w:cs="Arial"/>
                <w:color w:val="000000"/>
                <w:kern w:val="0"/>
                <w:sz w:val="22"/>
              </w:rPr>
            </w:pPr>
            <w:r>
              <w:rPr>
                <w:rFonts w:hint="eastAsia" w:ascii="宋体" w:hAnsi="宋体" w:cs="Arial"/>
                <w:color w:val="000000"/>
                <w:kern w:val="0"/>
                <w:sz w:val="22"/>
              </w:rPr>
              <w:t>2296013</w:t>
            </w:r>
          </w:p>
        </w:tc>
        <w:tc>
          <w:tcPr>
            <w:tcW w:w="3524" w:type="dxa"/>
            <w:tcBorders>
              <w:top w:val="nil"/>
              <w:left w:val="nil"/>
              <w:bottom w:val="single" w:color="auto" w:sz="4" w:space="0"/>
              <w:right w:val="single" w:color="auto" w:sz="4" w:space="0"/>
            </w:tcBorders>
            <w:shd w:val="clear" w:color="auto" w:fill="auto"/>
            <w:noWrap/>
            <w:vAlign w:val="center"/>
          </w:tcPr>
          <w:p w14:paraId="33C27F46">
            <w:pPr>
              <w:widowControl/>
              <w:jc w:val="left"/>
              <w:rPr>
                <w:rFonts w:ascii="宋体" w:hAnsi="宋体" w:cs="Arial"/>
                <w:color w:val="000000"/>
                <w:kern w:val="0"/>
                <w:sz w:val="22"/>
              </w:rPr>
            </w:pPr>
            <w:r>
              <w:rPr>
                <w:rFonts w:hint="eastAsia" w:ascii="宋体" w:hAnsi="宋体" w:cs="Arial"/>
                <w:color w:val="000000"/>
                <w:kern w:val="0"/>
                <w:sz w:val="22"/>
              </w:rPr>
              <w:t xml:space="preserve">  用于城乡医疗救助的彩票公益金支出</w:t>
            </w:r>
          </w:p>
        </w:tc>
        <w:tc>
          <w:tcPr>
            <w:tcW w:w="1719" w:type="dxa"/>
            <w:tcBorders>
              <w:top w:val="nil"/>
              <w:left w:val="nil"/>
              <w:bottom w:val="single" w:color="auto" w:sz="4" w:space="0"/>
              <w:right w:val="single" w:color="auto" w:sz="4" w:space="0"/>
            </w:tcBorders>
            <w:shd w:val="clear" w:color="auto" w:fill="auto"/>
            <w:noWrap/>
            <w:vAlign w:val="center"/>
          </w:tcPr>
          <w:p w14:paraId="376E0898">
            <w:pPr>
              <w:widowControl/>
              <w:jc w:val="right"/>
              <w:rPr>
                <w:rFonts w:ascii="宋体" w:hAnsi="宋体" w:cs="Arial"/>
                <w:color w:val="000000"/>
                <w:kern w:val="0"/>
                <w:sz w:val="22"/>
              </w:rPr>
            </w:pPr>
            <w:r>
              <w:rPr>
                <w:rFonts w:hint="eastAsia" w:ascii="宋体" w:hAnsi="宋体" w:cs="Arial"/>
                <w:color w:val="000000"/>
                <w:kern w:val="0"/>
                <w:sz w:val="22"/>
              </w:rPr>
              <w:t>518,800.00</w:t>
            </w:r>
          </w:p>
        </w:tc>
        <w:tc>
          <w:tcPr>
            <w:tcW w:w="1719" w:type="dxa"/>
            <w:tcBorders>
              <w:top w:val="nil"/>
              <w:left w:val="nil"/>
              <w:bottom w:val="single" w:color="auto" w:sz="4" w:space="0"/>
              <w:right w:val="single" w:color="auto" w:sz="4" w:space="0"/>
            </w:tcBorders>
            <w:shd w:val="clear" w:color="auto" w:fill="auto"/>
            <w:noWrap/>
            <w:vAlign w:val="center"/>
          </w:tcPr>
          <w:p w14:paraId="081608BC">
            <w:pPr>
              <w:widowControl/>
              <w:jc w:val="right"/>
              <w:rPr>
                <w:rFonts w:ascii="宋体" w:hAnsi="宋体" w:cs="Arial"/>
                <w:color w:val="000000"/>
                <w:kern w:val="0"/>
                <w:sz w:val="22"/>
              </w:rPr>
            </w:pPr>
            <w:r>
              <w:rPr>
                <w:rFonts w:hint="eastAsia" w:ascii="宋体" w:hAnsi="宋体" w:cs="Arial"/>
                <w:color w:val="000000"/>
                <w:kern w:val="0"/>
                <w:sz w:val="22"/>
              </w:rPr>
              <w:t>518,800.00</w:t>
            </w:r>
          </w:p>
        </w:tc>
      </w:tr>
    </w:tbl>
    <w:p w14:paraId="146BC8CE">
      <w:pPr>
        <w:spacing w:line="560" w:lineRule="exact"/>
        <w:ind w:firstLine="630" w:firstLineChars="196"/>
        <w:rPr>
          <w:rFonts w:eastAsia="楷体"/>
          <w:b/>
          <w:color w:val="000000"/>
          <w:sz w:val="32"/>
          <w:szCs w:val="32"/>
        </w:rPr>
      </w:pPr>
      <w:r>
        <w:rPr>
          <w:rFonts w:eastAsia="楷体"/>
          <w:b/>
          <w:color w:val="000000"/>
          <w:sz w:val="32"/>
          <w:szCs w:val="32"/>
        </w:rPr>
        <w:t>（二）部门财政资金支出情况</w:t>
      </w:r>
    </w:p>
    <w:p w14:paraId="6AD063EB">
      <w:pPr>
        <w:spacing w:line="560" w:lineRule="exact"/>
        <w:ind w:firstLine="627" w:firstLineChars="196"/>
        <w:rPr>
          <w:rFonts w:ascii="仿宋_GB2312" w:hAnsi="仿宋_GB2312" w:eastAsia="仿宋_GB2312"/>
          <w:color w:val="000000"/>
          <w:sz w:val="32"/>
        </w:rPr>
      </w:pPr>
      <w:r>
        <w:rPr>
          <w:rFonts w:hint="eastAsia" w:ascii="仿宋_GB2312" w:hAnsi="仿宋_GB2312" w:eastAsia="仿宋_GB2312"/>
          <w:color w:val="000000"/>
          <w:sz w:val="32"/>
        </w:rPr>
        <w:t>2020年米易县医疗保障局财政资金支出总额为20</w:t>
      </w:r>
      <w:r>
        <w:rPr>
          <w:rFonts w:ascii="仿宋_GB2312" w:hAnsi="仿宋_GB2312" w:eastAsia="仿宋_GB2312"/>
          <w:color w:val="000000"/>
          <w:sz w:val="32"/>
        </w:rPr>
        <w:t>,</w:t>
      </w:r>
      <w:r>
        <w:rPr>
          <w:rFonts w:hint="eastAsia" w:ascii="仿宋_GB2312" w:hAnsi="仿宋_GB2312" w:eastAsia="仿宋_GB2312"/>
          <w:color w:val="000000"/>
          <w:sz w:val="32"/>
        </w:rPr>
        <w:t>022</w:t>
      </w:r>
      <w:r>
        <w:rPr>
          <w:rFonts w:ascii="仿宋_GB2312" w:hAnsi="仿宋_GB2312" w:eastAsia="仿宋_GB2312"/>
          <w:color w:val="000000"/>
          <w:sz w:val="32"/>
        </w:rPr>
        <w:t>,</w:t>
      </w:r>
      <w:r>
        <w:rPr>
          <w:rFonts w:hint="eastAsia" w:ascii="仿宋_GB2312" w:hAnsi="仿宋_GB2312" w:eastAsia="仿宋_GB2312"/>
          <w:color w:val="000000"/>
          <w:sz w:val="32"/>
        </w:rPr>
        <w:t>830</w:t>
      </w:r>
      <w:r>
        <w:rPr>
          <w:rFonts w:ascii="仿宋_GB2312" w:hAnsi="仿宋_GB2312" w:eastAsia="仿宋_GB2312"/>
          <w:color w:val="000000"/>
          <w:sz w:val="32"/>
        </w:rPr>
        <w:t>.</w:t>
      </w:r>
      <w:r>
        <w:rPr>
          <w:rFonts w:hint="eastAsia" w:ascii="仿宋_GB2312" w:hAnsi="仿宋_GB2312" w:eastAsia="仿宋_GB2312"/>
          <w:color w:val="000000"/>
          <w:sz w:val="32"/>
        </w:rPr>
        <w:t>24元。明细请参见下表：</w:t>
      </w:r>
    </w:p>
    <w:p w14:paraId="7C1DE70E">
      <w:pPr>
        <w:spacing w:line="560" w:lineRule="exact"/>
        <w:ind w:firstLine="630" w:firstLineChars="196"/>
        <w:rPr>
          <w:rFonts w:eastAsia="楷体"/>
          <w:b/>
          <w:color w:val="000000"/>
          <w:sz w:val="32"/>
          <w:szCs w:val="32"/>
        </w:rPr>
      </w:pPr>
    </w:p>
    <w:tbl>
      <w:tblPr>
        <w:tblStyle w:val="14"/>
        <w:tblW w:w="8801" w:type="dxa"/>
        <w:tblInd w:w="96" w:type="dxa"/>
        <w:tblLayout w:type="autofit"/>
        <w:tblCellMar>
          <w:top w:w="0" w:type="dxa"/>
          <w:left w:w="108" w:type="dxa"/>
          <w:bottom w:w="0" w:type="dxa"/>
          <w:right w:w="108" w:type="dxa"/>
        </w:tblCellMar>
      </w:tblPr>
      <w:tblGrid>
        <w:gridCol w:w="436"/>
        <w:gridCol w:w="436"/>
        <w:gridCol w:w="436"/>
        <w:gridCol w:w="2815"/>
        <w:gridCol w:w="1646"/>
        <w:gridCol w:w="1536"/>
        <w:gridCol w:w="1646"/>
      </w:tblGrid>
      <w:tr w14:paraId="47F9AA8D">
        <w:tblPrEx>
          <w:tblCellMar>
            <w:top w:w="0" w:type="dxa"/>
            <w:left w:w="108" w:type="dxa"/>
            <w:bottom w:w="0" w:type="dxa"/>
            <w:right w:w="108" w:type="dxa"/>
          </w:tblCellMar>
        </w:tblPrEx>
        <w:trPr>
          <w:trHeight w:val="309" w:hRule="atLeast"/>
        </w:trPr>
        <w:tc>
          <w:tcPr>
            <w:tcW w:w="412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3B2D2A0">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646" w:type="dxa"/>
            <w:vMerge w:val="restart"/>
            <w:tcBorders>
              <w:top w:val="single" w:color="000000" w:sz="4" w:space="0"/>
              <w:left w:val="nil"/>
              <w:bottom w:val="single" w:color="000000" w:sz="4" w:space="0"/>
              <w:right w:val="single" w:color="000000" w:sz="4" w:space="0"/>
            </w:tcBorders>
            <w:shd w:val="clear" w:color="FFFFFF" w:fill="C0C0C0"/>
            <w:vAlign w:val="center"/>
          </w:tcPr>
          <w:p w14:paraId="097C81BF">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536" w:type="dxa"/>
            <w:vMerge w:val="restart"/>
            <w:tcBorders>
              <w:top w:val="single" w:color="000000" w:sz="4" w:space="0"/>
              <w:left w:val="nil"/>
              <w:bottom w:val="single" w:color="000000" w:sz="4" w:space="0"/>
              <w:right w:val="single" w:color="000000" w:sz="4" w:space="0"/>
            </w:tcBorders>
            <w:shd w:val="clear" w:color="FFFFFF" w:fill="C0C0C0"/>
            <w:vAlign w:val="center"/>
          </w:tcPr>
          <w:p w14:paraId="0F9C65D1">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496" w:type="dxa"/>
            <w:vMerge w:val="restart"/>
            <w:tcBorders>
              <w:top w:val="single" w:color="000000" w:sz="4" w:space="0"/>
              <w:left w:val="nil"/>
              <w:bottom w:val="single" w:color="000000" w:sz="4" w:space="0"/>
              <w:right w:val="single" w:color="000000" w:sz="4" w:space="0"/>
            </w:tcBorders>
            <w:shd w:val="clear" w:color="FFFFFF" w:fill="C0C0C0"/>
            <w:vAlign w:val="center"/>
          </w:tcPr>
          <w:p w14:paraId="5B07A3AA">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14:paraId="19862E57">
        <w:tblPrEx>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3EA82458">
            <w:pPr>
              <w:widowControl/>
              <w:jc w:val="center"/>
              <w:rPr>
                <w:rFonts w:ascii="宋体" w:hAnsi="宋体" w:cs="Arial"/>
                <w:color w:val="000000"/>
                <w:kern w:val="0"/>
                <w:sz w:val="22"/>
              </w:rPr>
            </w:pPr>
            <w:r>
              <w:rPr>
                <w:rFonts w:hint="eastAsia" w:ascii="宋体" w:hAnsi="宋体" w:cs="Arial"/>
                <w:color w:val="000000"/>
                <w:kern w:val="0"/>
                <w:sz w:val="22"/>
              </w:rPr>
              <w:t>支出功能分类科目编码</w:t>
            </w:r>
          </w:p>
        </w:tc>
        <w:tc>
          <w:tcPr>
            <w:tcW w:w="2815" w:type="dxa"/>
            <w:vMerge w:val="restart"/>
            <w:tcBorders>
              <w:top w:val="nil"/>
              <w:left w:val="nil"/>
              <w:bottom w:val="single" w:color="000000" w:sz="4" w:space="0"/>
              <w:right w:val="single" w:color="000000" w:sz="4" w:space="0"/>
            </w:tcBorders>
            <w:shd w:val="clear" w:color="FFFFFF" w:fill="C0C0C0"/>
            <w:noWrap/>
            <w:vAlign w:val="center"/>
          </w:tcPr>
          <w:p w14:paraId="6D50EAA1">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646" w:type="dxa"/>
            <w:vMerge w:val="continue"/>
            <w:tcBorders>
              <w:top w:val="single" w:color="000000" w:sz="4" w:space="0"/>
              <w:left w:val="nil"/>
              <w:bottom w:val="single" w:color="000000" w:sz="4" w:space="0"/>
              <w:right w:val="single" w:color="000000" w:sz="4" w:space="0"/>
            </w:tcBorders>
            <w:vAlign w:val="center"/>
          </w:tcPr>
          <w:p w14:paraId="127109F1">
            <w:pPr>
              <w:widowControl/>
              <w:jc w:val="left"/>
              <w:rPr>
                <w:rFonts w:ascii="宋体" w:hAnsi="宋体" w:cs="Arial"/>
                <w:color w:val="000000"/>
                <w:kern w:val="0"/>
                <w:sz w:val="22"/>
              </w:rPr>
            </w:pPr>
          </w:p>
        </w:tc>
        <w:tc>
          <w:tcPr>
            <w:tcW w:w="1536" w:type="dxa"/>
            <w:vMerge w:val="continue"/>
            <w:tcBorders>
              <w:top w:val="single" w:color="000000" w:sz="4" w:space="0"/>
              <w:left w:val="nil"/>
              <w:bottom w:val="single" w:color="000000" w:sz="4" w:space="0"/>
              <w:right w:val="single" w:color="000000" w:sz="4" w:space="0"/>
            </w:tcBorders>
            <w:vAlign w:val="center"/>
          </w:tcPr>
          <w:p w14:paraId="1C62DF41">
            <w:pPr>
              <w:widowControl/>
              <w:jc w:val="left"/>
              <w:rPr>
                <w:rFonts w:ascii="宋体" w:hAnsi="宋体" w:cs="Arial"/>
                <w:color w:val="000000"/>
                <w:kern w:val="0"/>
                <w:sz w:val="22"/>
              </w:rPr>
            </w:pPr>
          </w:p>
        </w:tc>
        <w:tc>
          <w:tcPr>
            <w:tcW w:w="1496" w:type="dxa"/>
            <w:vMerge w:val="continue"/>
            <w:tcBorders>
              <w:top w:val="single" w:color="000000" w:sz="4" w:space="0"/>
              <w:left w:val="nil"/>
              <w:bottom w:val="single" w:color="000000" w:sz="4" w:space="0"/>
              <w:right w:val="single" w:color="000000" w:sz="4" w:space="0"/>
            </w:tcBorders>
            <w:vAlign w:val="center"/>
          </w:tcPr>
          <w:p w14:paraId="7983ADC6">
            <w:pPr>
              <w:widowControl/>
              <w:jc w:val="left"/>
              <w:rPr>
                <w:rFonts w:ascii="宋体" w:hAnsi="宋体" w:cs="Arial"/>
                <w:color w:val="000000"/>
                <w:kern w:val="0"/>
                <w:sz w:val="22"/>
              </w:rPr>
            </w:pPr>
          </w:p>
        </w:tc>
      </w:tr>
      <w:tr w14:paraId="49360A5F">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14:paraId="73AD1BE3">
            <w:pPr>
              <w:widowControl/>
              <w:jc w:val="left"/>
              <w:rPr>
                <w:rFonts w:ascii="宋体" w:hAnsi="宋体" w:cs="Arial"/>
                <w:color w:val="000000"/>
                <w:kern w:val="0"/>
                <w:sz w:val="22"/>
              </w:rPr>
            </w:pPr>
          </w:p>
        </w:tc>
        <w:tc>
          <w:tcPr>
            <w:tcW w:w="2815" w:type="dxa"/>
            <w:vMerge w:val="continue"/>
            <w:tcBorders>
              <w:top w:val="nil"/>
              <w:left w:val="nil"/>
              <w:bottom w:val="single" w:color="000000" w:sz="4" w:space="0"/>
              <w:right w:val="single" w:color="000000" w:sz="4" w:space="0"/>
            </w:tcBorders>
            <w:vAlign w:val="center"/>
          </w:tcPr>
          <w:p w14:paraId="79A5DD6D">
            <w:pPr>
              <w:widowControl/>
              <w:jc w:val="left"/>
              <w:rPr>
                <w:rFonts w:ascii="宋体" w:hAnsi="宋体" w:cs="Arial"/>
                <w:color w:val="000000"/>
                <w:kern w:val="0"/>
                <w:sz w:val="22"/>
              </w:rPr>
            </w:pPr>
          </w:p>
        </w:tc>
        <w:tc>
          <w:tcPr>
            <w:tcW w:w="1646" w:type="dxa"/>
            <w:vMerge w:val="continue"/>
            <w:tcBorders>
              <w:top w:val="single" w:color="000000" w:sz="4" w:space="0"/>
              <w:left w:val="nil"/>
              <w:bottom w:val="single" w:color="000000" w:sz="4" w:space="0"/>
              <w:right w:val="single" w:color="000000" w:sz="4" w:space="0"/>
            </w:tcBorders>
            <w:vAlign w:val="center"/>
          </w:tcPr>
          <w:p w14:paraId="0C12E299">
            <w:pPr>
              <w:widowControl/>
              <w:jc w:val="left"/>
              <w:rPr>
                <w:rFonts w:ascii="宋体" w:hAnsi="宋体" w:cs="Arial"/>
                <w:color w:val="000000"/>
                <w:kern w:val="0"/>
                <w:sz w:val="22"/>
              </w:rPr>
            </w:pPr>
          </w:p>
        </w:tc>
        <w:tc>
          <w:tcPr>
            <w:tcW w:w="1536" w:type="dxa"/>
            <w:vMerge w:val="continue"/>
            <w:tcBorders>
              <w:top w:val="single" w:color="000000" w:sz="4" w:space="0"/>
              <w:left w:val="nil"/>
              <w:bottom w:val="single" w:color="000000" w:sz="4" w:space="0"/>
              <w:right w:val="single" w:color="000000" w:sz="4" w:space="0"/>
            </w:tcBorders>
            <w:vAlign w:val="center"/>
          </w:tcPr>
          <w:p w14:paraId="09AE9794">
            <w:pPr>
              <w:widowControl/>
              <w:jc w:val="left"/>
              <w:rPr>
                <w:rFonts w:ascii="宋体" w:hAnsi="宋体" w:cs="Arial"/>
                <w:color w:val="000000"/>
                <w:kern w:val="0"/>
                <w:sz w:val="22"/>
              </w:rPr>
            </w:pPr>
          </w:p>
        </w:tc>
        <w:tc>
          <w:tcPr>
            <w:tcW w:w="1496" w:type="dxa"/>
            <w:vMerge w:val="continue"/>
            <w:tcBorders>
              <w:top w:val="single" w:color="000000" w:sz="4" w:space="0"/>
              <w:left w:val="nil"/>
              <w:bottom w:val="single" w:color="000000" w:sz="4" w:space="0"/>
              <w:right w:val="single" w:color="000000" w:sz="4" w:space="0"/>
            </w:tcBorders>
            <w:vAlign w:val="center"/>
          </w:tcPr>
          <w:p w14:paraId="69FBF291">
            <w:pPr>
              <w:widowControl/>
              <w:jc w:val="left"/>
              <w:rPr>
                <w:rFonts w:ascii="宋体" w:hAnsi="宋体" w:cs="Arial"/>
                <w:color w:val="000000"/>
                <w:kern w:val="0"/>
                <w:sz w:val="22"/>
              </w:rPr>
            </w:pPr>
          </w:p>
        </w:tc>
      </w:tr>
      <w:tr w14:paraId="4E7EB593">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14:paraId="18BD4C25">
            <w:pPr>
              <w:widowControl/>
              <w:jc w:val="left"/>
              <w:rPr>
                <w:rFonts w:ascii="宋体" w:hAnsi="宋体" w:cs="Arial"/>
                <w:color w:val="000000"/>
                <w:kern w:val="0"/>
                <w:sz w:val="22"/>
              </w:rPr>
            </w:pPr>
          </w:p>
        </w:tc>
        <w:tc>
          <w:tcPr>
            <w:tcW w:w="2815" w:type="dxa"/>
            <w:vMerge w:val="continue"/>
            <w:tcBorders>
              <w:top w:val="nil"/>
              <w:left w:val="nil"/>
              <w:bottom w:val="single" w:color="000000" w:sz="4" w:space="0"/>
              <w:right w:val="single" w:color="000000" w:sz="4" w:space="0"/>
            </w:tcBorders>
            <w:vAlign w:val="center"/>
          </w:tcPr>
          <w:p w14:paraId="43DFDD79">
            <w:pPr>
              <w:widowControl/>
              <w:jc w:val="left"/>
              <w:rPr>
                <w:rFonts w:ascii="宋体" w:hAnsi="宋体" w:cs="Arial"/>
                <w:color w:val="000000"/>
                <w:kern w:val="0"/>
                <w:sz w:val="22"/>
              </w:rPr>
            </w:pPr>
          </w:p>
        </w:tc>
        <w:tc>
          <w:tcPr>
            <w:tcW w:w="1646" w:type="dxa"/>
            <w:vMerge w:val="continue"/>
            <w:tcBorders>
              <w:top w:val="single" w:color="000000" w:sz="4" w:space="0"/>
              <w:left w:val="nil"/>
              <w:bottom w:val="single" w:color="000000" w:sz="4" w:space="0"/>
              <w:right w:val="single" w:color="000000" w:sz="4" w:space="0"/>
            </w:tcBorders>
            <w:vAlign w:val="center"/>
          </w:tcPr>
          <w:p w14:paraId="12DEA617">
            <w:pPr>
              <w:widowControl/>
              <w:jc w:val="left"/>
              <w:rPr>
                <w:rFonts w:ascii="宋体" w:hAnsi="宋体" w:cs="Arial"/>
                <w:color w:val="000000"/>
                <w:kern w:val="0"/>
                <w:sz w:val="22"/>
              </w:rPr>
            </w:pPr>
          </w:p>
        </w:tc>
        <w:tc>
          <w:tcPr>
            <w:tcW w:w="1536" w:type="dxa"/>
            <w:vMerge w:val="continue"/>
            <w:tcBorders>
              <w:top w:val="single" w:color="000000" w:sz="4" w:space="0"/>
              <w:left w:val="nil"/>
              <w:bottom w:val="single" w:color="000000" w:sz="4" w:space="0"/>
              <w:right w:val="single" w:color="000000" w:sz="4" w:space="0"/>
            </w:tcBorders>
            <w:vAlign w:val="center"/>
          </w:tcPr>
          <w:p w14:paraId="66577E4A">
            <w:pPr>
              <w:widowControl/>
              <w:jc w:val="left"/>
              <w:rPr>
                <w:rFonts w:ascii="宋体" w:hAnsi="宋体" w:cs="Arial"/>
                <w:color w:val="000000"/>
                <w:kern w:val="0"/>
                <w:sz w:val="22"/>
              </w:rPr>
            </w:pPr>
          </w:p>
        </w:tc>
        <w:tc>
          <w:tcPr>
            <w:tcW w:w="1496" w:type="dxa"/>
            <w:vMerge w:val="continue"/>
            <w:tcBorders>
              <w:top w:val="single" w:color="000000" w:sz="4" w:space="0"/>
              <w:left w:val="nil"/>
              <w:bottom w:val="single" w:color="000000" w:sz="4" w:space="0"/>
              <w:right w:val="single" w:color="000000" w:sz="4" w:space="0"/>
            </w:tcBorders>
            <w:vAlign w:val="center"/>
          </w:tcPr>
          <w:p w14:paraId="19B0330B">
            <w:pPr>
              <w:widowControl/>
              <w:jc w:val="left"/>
              <w:rPr>
                <w:rFonts w:ascii="宋体" w:hAnsi="宋体" w:cs="Arial"/>
                <w:color w:val="000000"/>
                <w:kern w:val="0"/>
                <w:sz w:val="22"/>
              </w:rPr>
            </w:pPr>
          </w:p>
        </w:tc>
      </w:tr>
      <w:tr w14:paraId="4B836E2E">
        <w:tblPrEx>
          <w:tblCellMar>
            <w:top w:w="0" w:type="dxa"/>
            <w:left w:w="108" w:type="dxa"/>
            <w:bottom w:w="0" w:type="dxa"/>
            <w:right w:w="108" w:type="dxa"/>
          </w:tblCellMar>
        </w:tblPrEx>
        <w:trPr>
          <w:trHeight w:val="309"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ign w:val="center"/>
          </w:tcPr>
          <w:p w14:paraId="36EE7423">
            <w:pPr>
              <w:widowControl/>
              <w:jc w:val="center"/>
              <w:rPr>
                <w:rFonts w:ascii="宋体" w:hAnsi="宋体" w:cs="Arial"/>
                <w:color w:val="000000"/>
                <w:kern w:val="0"/>
                <w:sz w:val="22"/>
              </w:rPr>
            </w:pPr>
            <w:r>
              <w:rPr>
                <w:rFonts w:hint="eastAsia" w:ascii="宋体" w:hAnsi="宋体" w:cs="Arial"/>
                <w:color w:val="000000"/>
                <w:kern w:val="0"/>
                <w:sz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14:paraId="43F4C145">
            <w:pPr>
              <w:widowControl/>
              <w:jc w:val="center"/>
              <w:rPr>
                <w:rFonts w:ascii="宋体" w:hAnsi="宋体" w:cs="Arial"/>
                <w:color w:val="000000"/>
                <w:kern w:val="0"/>
                <w:sz w:val="22"/>
              </w:rPr>
            </w:pPr>
            <w:r>
              <w:rPr>
                <w:rFonts w:hint="eastAsia" w:ascii="宋体" w:hAnsi="宋体" w:cs="Arial"/>
                <w:color w:val="000000"/>
                <w:kern w:val="0"/>
                <w:sz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14:paraId="35C0DE10">
            <w:pPr>
              <w:widowControl/>
              <w:jc w:val="center"/>
              <w:rPr>
                <w:rFonts w:ascii="宋体" w:hAnsi="宋体" w:cs="Arial"/>
                <w:color w:val="000000"/>
                <w:kern w:val="0"/>
                <w:sz w:val="22"/>
              </w:rPr>
            </w:pPr>
            <w:r>
              <w:rPr>
                <w:rFonts w:hint="eastAsia" w:ascii="宋体" w:hAnsi="宋体" w:cs="Arial"/>
                <w:color w:val="000000"/>
                <w:kern w:val="0"/>
                <w:sz w:val="22"/>
              </w:rPr>
              <w:t>项</w:t>
            </w:r>
          </w:p>
        </w:tc>
        <w:tc>
          <w:tcPr>
            <w:tcW w:w="2815" w:type="dxa"/>
            <w:tcBorders>
              <w:top w:val="nil"/>
              <w:left w:val="nil"/>
              <w:bottom w:val="single" w:color="000000" w:sz="4" w:space="0"/>
              <w:right w:val="single" w:color="000000" w:sz="4" w:space="0"/>
            </w:tcBorders>
            <w:shd w:val="clear" w:color="FFFFFF" w:fill="C0C0C0"/>
            <w:noWrap/>
            <w:vAlign w:val="center"/>
          </w:tcPr>
          <w:p w14:paraId="07C1AC57">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646" w:type="dxa"/>
            <w:tcBorders>
              <w:top w:val="nil"/>
              <w:left w:val="nil"/>
              <w:bottom w:val="single" w:color="000000" w:sz="4" w:space="0"/>
              <w:right w:val="single" w:color="000000" w:sz="4" w:space="0"/>
            </w:tcBorders>
            <w:shd w:val="clear" w:color="FFFFFF" w:fill="C0C0C0"/>
            <w:vAlign w:val="center"/>
          </w:tcPr>
          <w:p w14:paraId="4801D058">
            <w:pPr>
              <w:widowControl/>
              <w:jc w:val="center"/>
              <w:rPr>
                <w:rFonts w:ascii="宋体" w:hAnsi="宋体" w:cs="Arial"/>
                <w:color w:val="000000"/>
                <w:kern w:val="0"/>
                <w:sz w:val="22"/>
              </w:rPr>
            </w:pPr>
            <w:r>
              <w:rPr>
                <w:rFonts w:hint="eastAsia" w:ascii="宋体" w:hAnsi="宋体" w:cs="Arial"/>
                <w:color w:val="000000"/>
                <w:kern w:val="0"/>
                <w:sz w:val="22"/>
              </w:rPr>
              <w:t>1</w:t>
            </w:r>
          </w:p>
        </w:tc>
        <w:tc>
          <w:tcPr>
            <w:tcW w:w="1536" w:type="dxa"/>
            <w:tcBorders>
              <w:top w:val="nil"/>
              <w:left w:val="nil"/>
              <w:bottom w:val="single" w:color="000000" w:sz="4" w:space="0"/>
              <w:right w:val="single" w:color="000000" w:sz="4" w:space="0"/>
            </w:tcBorders>
            <w:shd w:val="clear" w:color="FFFFFF" w:fill="C0C0C0"/>
            <w:vAlign w:val="center"/>
          </w:tcPr>
          <w:p w14:paraId="06BB710F">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96" w:type="dxa"/>
            <w:tcBorders>
              <w:top w:val="nil"/>
              <w:left w:val="nil"/>
              <w:bottom w:val="single" w:color="000000" w:sz="4" w:space="0"/>
              <w:right w:val="single" w:color="000000" w:sz="4" w:space="0"/>
            </w:tcBorders>
            <w:shd w:val="clear" w:color="FFFFFF" w:fill="C0C0C0"/>
            <w:vAlign w:val="center"/>
          </w:tcPr>
          <w:p w14:paraId="0753B2ED">
            <w:pPr>
              <w:widowControl/>
              <w:jc w:val="center"/>
              <w:rPr>
                <w:rFonts w:ascii="宋体" w:hAnsi="宋体" w:cs="Arial"/>
                <w:color w:val="000000"/>
                <w:kern w:val="0"/>
                <w:sz w:val="22"/>
              </w:rPr>
            </w:pPr>
            <w:r>
              <w:rPr>
                <w:rFonts w:hint="eastAsia" w:ascii="宋体" w:hAnsi="宋体" w:cs="Arial"/>
                <w:color w:val="000000"/>
                <w:kern w:val="0"/>
                <w:sz w:val="22"/>
              </w:rPr>
              <w:t>3</w:t>
            </w:r>
          </w:p>
        </w:tc>
      </w:tr>
      <w:tr w14:paraId="5BA37378">
        <w:tblPrEx>
          <w:tblCellMar>
            <w:top w:w="0" w:type="dxa"/>
            <w:left w:w="108" w:type="dxa"/>
            <w:bottom w:w="0" w:type="dxa"/>
            <w:right w:w="108" w:type="dxa"/>
          </w:tblCellMar>
        </w:tblPrEx>
        <w:trPr>
          <w:trHeight w:val="309" w:hRule="atLeast"/>
        </w:trPr>
        <w:tc>
          <w:tcPr>
            <w:tcW w:w="436" w:type="dxa"/>
            <w:vMerge w:val="continue"/>
            <w:tcBorders>
              <w:top w:val="nil"/>
              <w:left w:val="single" w:color="000000" w:sz="4" w:space="0"/>
              <w:bottom w:val="single" w:color="000000" w:sz="4" w:space="0"/>
              <w:right w:val="single" w:color="000000" w:sz="4" w:space="0"/>
            </w:tcBorders>
            <w:vAlign w:val="center"/>
          </w:tcPr>
          <w:p w14:paraId="622A9A11">
            <w:pPr>
              <w:widowControl/>
              <w:jc w:val="left"/>
              <w:rPr>
                <w:rFonts w:ascii="宋体" w:hAnsi="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14:paraId="3AD9B875">
            <w:pPr>
              <w:widowControl/>
              <w:jc w:val="left"/>
              <w:rPr>
                <w:rFonts w:ascii="宋体" w:hAnsi="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14:paraId="1A728306">
            <w:pPr>
              <w:widowControl/>
              <w:jc w:val="left"/>
              <w:rPr>
                <w:rFonts w:ascii="宋体" w:hAnsi="宋体" w:cs="Arial"/>
                <w:color w:val="000000"/>
                <w:kern w:val="0"/>
                <w:sz w:val="22"/>
              </w:rPr>
            </w:pPr>
          </w:p>
        </w:tc>
        <w:tc>
          <w:tcPr>
            <w:tcW w:w="2815" w:type="dxa"/>
            <w:tcBorders>
              <w:top w:val="nil"/>
              <w:left w:val="nil"/>
              <w:bottom w:val="single" w:color="000000" w:sz="4" w:space="0"/>
              <w:right w:val="single" w:color="000000" w:sz="4" w:space="0"/>
            </w:tcBorders>
            <w:shd w:val="clear" w:color="FFFFFF" w:fill="C0C0C0"/>
            <w:noWrap/>
            <w:vAlign w:val="center"/>
          </w:tcPr>
          <w:p w14:paraId="6ECF3FF4">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646" w:type="dxa"/>
            <w:tcBorders>
              <w:top w:val="nil"/>
              <w:left w:val="nil"/>
              <w:bottom w:val="single" w:color="000000" w:sz="4" w:space="0"/>
              <w:right w:val="single" w:color="000000" w:sz="4" w:space="0"/>
            </w:tcBorders>
            <w:shd w:val="clear" w:color="auto" w:fill="auto"/>
            <w:noWrap/>
            <w:vAlign w:val="center"/>
          </w:tcPr>
          <w:p w14:paraId="56EA0996">
            <w:pPr>
              <w:widowControl/>
              <w:jc w:val="right"/>
              <w:rPr>
                <w:rFonts w:ascii="宋体" w:hAnsi="宋体" w:cs="Arial"/>
                <w:color w:val="000000"/>
                <w:kern w:val="0"/>
                <w:sz w:val="22"/>
              </w:rPr>
            </w:pPr>
            <w:r>
              <w:rPr>
                <w:rFonts w:hint="eastAsia" w:ascii="宋体" w:hAnsi="宋体" w:cs="Arial"/>
                <w:color w:val="000000"/>
                <w:kern w:val="0"/>
                <w:sz w:val="22"/>
              </w:rPr>
              <w:t>20,022,830.24</w:t>
            </w:r>
          </w:p>
        </w:tc>
        <w:tc>
          <w:tcPr>
            <w:tcW w:w="1536" w:type="dxa"/>
            <w:tcBorders>
              <w:top w:val="nil"/>
              <w:left w:val="nil"/>
              <w:bottom w:val="single" w:color="000000" w:sz="4" w:space="0"/>
              <w:right w:val="single" w:color="000000" w:sz="4" w:space="0"/>
            </w:tcBorders>
            <w:shd w:val="clear" w:color="auto" w:fill="auto"/>
            <w:noWrap/>
            <w:vAlign w:val="center"/>
          </w:tcPr>
          <w:p w14:paraId="4B126DC0">
            <w:pPr>
              <w:widowControl/>
              <w:jc w:val="right"/>
              <w:rPr>
                <w:rFonts w:ascii="宋体" w:hAnsi="宋体" w:cs="Arial"/>
                <w:color w:val="000000"/>
                <w:kern w:val="0"/>
                <w:sz w:val="22"/>
              </w:rPr>
            </w:pPr>
            <w:r>
              <w:rPr>
                <w:rFonts w:hint="eastAsia" w:ascii="宋体" w:hAnsi="宋体" w:cs="Arial"/>
                <w:color w:val="000000"/>
                <w:kern w:val="0"/>
                <w:sz w:val="22"/>
              </w:rPr>
              <w:t>3,059,025.20</w:t>
            </w:r>
          </w:p>
        </w:tc>
        <w:tc>
          <w:tcPr>
            <w:tcW w:w="1496" w:type="dxa"/>
            <w:tcBorders>
              <w:top w:val="nil"/>
              <w:left w:val="nil"/>
              <w:bottom w:val="single" w:color="000000" w:sz="4" w:space="0"/>
              <w:right w:val="single" w:color="000000" w:sz="4" w:space="0"/>
            </w:tcBorders>
            <w:shd w:val="clear" w:color="auto" w:fill="auto"/>
            <w:noWrap/>
            <w:vAlign w:val="center"/>
          </w:tcPr>
          <w:p w14:paraId="0FE8C995">
            <w:pPr>
              <w:widowControl/>
              <w:jc w:val="right"/>
              <w:rPr>
                <w:rFonts w:ascii="宋体" w:hAnsi="宋体" w:cs="Arial"/>
                <w:color w:val="000000"/>
                <w:kern w:val="0"/>
                <w:sz w:val="22"/>
              </w:rPr>
            </w:pPr>
            <w:r>
              <w:rPr>
                <w:rFonts w:hint="eastAsia" w:ascii="宋体" w:hAnsi="宋体" w:cs="Arial"/>
                <w:color w:val="000000"/>
                <w:kern w:val="0"/>
                <w:sz w:val="22"/>
              </w:rPr>
              <w:t>16,963,805.04</w:t>
            </w:r>
          </w:p>
        </w:tc>
      </w:tr>
      <w:tr w14:paraId="4AB854CD">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70BBB78">
            <w:pPr>
              <w:widowControl/>
              <w:jc w:val="left"/>
              <w:rPr>
                <w:rFonts w:ascii="宋体" w:hAnsi="宋体" w:cs="Arial"/>
                <w:color w:val="000000"/>
                <w:kern w:val="0"/>
                <w:sz w:val="22"/>
              </w:rPr>
            </w:pPr>
            <w:r>
              <w:rPr>
                <w:rFonts w:hint="eastAsia" w:ascii="宋体" w:hAnsi="宋体" w:cs="Arial"/>
                <w:color w:val="000000"/>
                <w:kern w:val="0"/>
                <w:sz w:val="22"/>
              </w:rPr>
              <w:t>208</w:t>
            </w:r>
          </w:p>
        </w:tc>
        <w:tc>
          <w:tcPr>
            <w:tcW w:w="2815" w:type="dxa"/>
            <w:tcBorders>
              <w:top w:val="nil"/>
              <w:left w:val="nil"/>
              <w:bottom w:val="single" w:color="000000" w:sz="4" w:space="0"/>
              <w:right w:val="single" w:color="000000" w:sz="4" w:space="0"/>
            </w:tcBorders>
            <w:shd w:val="clear" w:color="auto" w:fill="auto"/>
            <w:noWrap/>
            <w:vAlign w:val="center"/>
          </w:tcPr>
          <w:p w14:paraId="583C61DF">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646" w:type="dxa"/>
            <w:tcBorders>
              <w:top w:val="nil"/>
              <w:left w:val="nil"/>
              <w:bottom w:val="single" w:color="000000" w:sz="4" w:space="0"/>
              <w:right w:val="single" w:color="000000" w:sz="4" w:space="0"/>
            </w:tcBorders>
            <w:shd w:val="clear" w:color="auto" w:fill="auto"/>
            <w:noWrap/>
            <w:vAlign w:val="center"/>
          </w:tcPr>
          <w:p w14:paraId="2B8818EC">
            <w:pPr>
              <w:widowControl/>
              <w:jc w:val="right"/>
              <w:rPr>
                <w:rFonts w:ascii="宋体" w:hAnsi="宋体" w:cs="Arial"/>
                <w:color w:val="000000"/>
                <w:kern w:val="0"/>
                <w:sz w:val="22"/>
              </w:rPr>
            </w:pPr>
            <w:r>
              <w:rPr>
                <w:rFonts w:hint="eastAsia" w:ascii="宋体" w:hAnsi="宋体" w:cs="Arial"/>
                <w:color w:val="000000"/>
                <w:kern w:val="0"/>
                <w:sz w:val="22"/>
              </w:rPr>
              <w:t>214,909.79</w:t>
            </w:r>
          </w:p>
        </w:tc>
        <w:tc>
          <w:tcPr>
            <w:tcW w:w="1536" w:type="dxa"/>
            <w:tcBorders>
              <w:top w:val="nil"/>
              <w:left w:val="nil"/>
              <w:bottom w:val="single" w:color="000000" w:sz="4" w:space="0"/>
              <w:right w:val="single" w:color="000000" w:sz="4" w:space="0"/>
            </w:tcBorders>
            <w:shd w:val="clear" w:color="auto" w:fill="auto"/>
            <w:noWrap/>
            <w:vAlign w:val="center"/>
          </w:tcPr>
          <w:p w14:paraId="1FBAB5DA">
            <w:pPr>
              <w:widowControl/>
              <w:jc w:val="right"/>
              <w:rPr>
                <w:rFonts w:ascii="宋体" w:hAnsi="宋体" w:cs="Arial"/>
                <w:color w:val="000000"/>
                <w:kern w:val="0"/>
                <w:sz w:val="22"/>
              </w:rPr>
            </w:pPr>
            <w:r>
              <w:rPr>
                <w:rFonts w:hint="eastAsia" w:ascii="宋体" w:hAnsi="宋体" w:cs="Arial"/>
                <w:color w:val="000000"/>
                <w:kern w:val="0"/>
                <w:sz w:val="22"/>
              </w:rPr>
              <w:t>214,909.79</w:t>
            </w:r>
          </w:p>
        </w:tc>
        <w:tc>
          <w:tcPr>
            <w:tcW w:w="1496" w:type="dxa"/>
            <w:tcBorders>
              <w:top w:val="nil"/>
              <w:left w:val="nil"/>
              <w:bottom w:val="single" w:color="000000" w:sz="4" w:space="0"/>
              <w:right w:val="single" w:color="000000" w:sz="4" w:space="0"/>
            </w:tcBorders>
            <w:shd w:val="clear" w:color="auto" w:fill="auto"/>
            <w:noWrap/>
            <w:vAlign w:val="center"/>
          </w:tcPr>
          <w:p w14:paraId="23B23A1A">
            <w:pPr>
              <w:widowControl/>
              <w:jc w:val="right"/>
              <w:rPr>
                <w:rFonts w:ascii="宋体" w:hAnsi="宋体" w:cs="Arial"/>
                <w:color w:val="000000"/>
                <w:kern w:val="0"/>
                <w:sz w:val="22"/>
              </w:rPr>
            </w:pPr>
            <w:r>
              <w:rPr>
                <w:rFonts w:hint="eastAsia" w:ascii="宋体" w:hAnsi="宋体" w:cs="Arial"/>
                <w:color w:val="000000"/>
                <w:kern w:val="0"/>
                <w:sz w:val="22"/>
              </w:rPr>
              <w:t>　</w:t>
            </w:r>
          </w:p>
        </w:tc>
      </w:tr>
      <w:tr w14:paraId="2DB25A70">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5EC5031">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815" w:type="dxa"/>
            <w:tcBorders>
              <w:top w:val="nil"/>
              <w:left w:val="nil"/>
              <w:bottom w:val="single" w:color="000000" w:sz="4" w:space="0"/>
              <w:right w:val="single" w:color="000000" w:sz="4" w:space="0"/>
            </w:tcBorders>
            <w:shd w:val="clear" w:color="auto" w:fill="auto"/>
            <w:noWrap/>
            <w:vAlign w:val="center"/>
          </w:tcPr>
          <w:p w14:paraId="0CB12DBA">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646" w:type="dxa"/>
            <w:tcBorders>
              <w:top w:val="nil"/>
              <w:left w:val="nil"/>
              <w:bottom w:val="single" w:color="000000" w:sz="4" w:space="0"/>
              <w:right w:val="single" w:color="000000" w:sz="4" w:space="0"/>
            </w:tcBorders>
            <w:shd w:val="clear" w:color="auto" w:fill="auto"/>
            <w:noWrap/>
            <w:vAlign w:val="center"/>
          </w:tcPr>
          <w:p w14:paraId="76AC889A">
            <w:pPr>
              <w:widowControl/>
              <w:jc w:val="right"/>
              <w:rPr>
                <w:rFonts w:ascii="宋体" w:hAnsi="宋体" w:cs="Arial"/>
                <w:color w:val="000000"/>
                <w:kern w:val="0"/>
                <w:sz w:val="22"/>
              </w:rPr>
            </w:pPr>
            <w:r>
              <w:rPr>
                <w:rFonts w:hint="eastAsia" w:ascii="宋体" w:hAnsi="宋体" w:cs="Arial"/>
                <w:color w:val="000000"/>
                <w:kern w:val="0"/>
                <w:sz w:val="22"/>
              </w:rPr>
              <w:t>214,909.79</w:t>
            </w:r>
          </w:p>
        </w:tc>
        <w:tc>
          <w:tcPr>
            <w:tcW w:w="1536" w:type="dxa"/>
            <w:tcBorders>
              <w:top w:val="nil"/>
              <w:left w:val="nil"/>
              <w:bottom w:val="single" w:color="000000" w:sz="4" w:space="0"/>
              <w:right w:val="single" w:color="000000" w:sz="4" w:space="0"/>
            </w:tcBorders>
            <w:shd w:val="clear" w:color="auto" w:fill="auto"/>
            <w:noWrap/>
            <w:vAlign w:val="center"/>
          </w:tcPr>
          <w:p w14:paraId="2176E4CC">
            <w:pPr>
              <w:widowControl/>
              <w:jc w:val="right"/>
              <w:rPr>
                <w:rFonts w:ascii="宋体" w:hAnsi="宋体" w:cs="Arial"/>
                <w:color w:val="000000"/>
                <w:kern w:val="0"/>
                <w:sz w:val="22"/>
              </w:rPr>
            </w:pPr>
            <w:r>
              <w:rPr>
                <w:rFonts w:hint="eastAsia" w:ascii="宋体" w:hAnsi="宋体" w:cs="Arial"/>
                <w:color w:val="000000"/>
                <w:kern w:val="0"/>
                <w:sz w:val="22"/>
              </w:rPr>
              <w:t>214,909.79</w:t>
            </w:r>
          </w:p>
        </w:tc>
        <w:tc>
          <w:tcPr>
            <w:tcW w:w="1496" w:type="dxa"/>
            <w:tcBorders>
              <w:top w:val="nil"/>
              <w:left w:val="nil"/>
              <w:bottom w:val="single" w:color="000000" w:sz="4" w:space="0"/>
              <w:right w:val="single" w:color="000000" w:sz="4" w:space="0"/>
            </w:tcBorders>
            <w:shd w:val="clear" w:color="auto" w:fill="auto"/>
            <w:noWrap/>
            <w:vAlign w:val="center"/>
          </w:tcPr>
          <w:p w14:paraId="0FDD90CC">
            <w:pPr>
              <w:widowControl/>
              <w:jc w:val="right"/>
              <w:rPr>
                <w:rFonts w:ascii="宋体" w:hAnsi="宋体" w:cs="Arial"/>
                <w:color w:val="000000"/>
                <w:kern w:val="0"/>
                <w:sz w:val="22"/>
              </w:rPr>
            </w:pPr>
            <w:r>
              <w:rPr>
                <w:rFonts w:hint="eastAsia" w:ascii="宋体" w:hAnsi="宋体" w:cs="Arial"/>
                <w:color w:val="000000"/>
                <w:kern w:val="0"/>
                <w:sz w:val="22"/>
              </w:rPr>
              <w:t>　</w:t>
            </w:r>
          </w:p>
        </w:tc>
      </w:tr>
      <w:tr w14:paraId="7AC3DF05">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EEF204D">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2815" w:type="dxa"/>
            <w:tcBorders>
              <w:top w:val="nil"/>
              <w:left w:val="nil"/>
              <w:bottom w:val="single" w:color="000000" w:sz="4" w:space="0"/>
              <w:right w:val="single" w:color="000000" w:sz="4" w:space="0"/>
            </w:tcBorders>
            <w:shd w:val="clear" w:color="auto" w:fill="auto"/>
            <w:noWrap/>
            <w:vAlign w:val="center"/>
          </w:tcPr>
          <w:p w14:paraId="049589C0">
            <w:pPr>
              <w:widowControl/>
              <w:jc w:val="left"/>
              <w:rPr>
                <w:rFonts w:ascii="宋体" w:hAnsi="宋体" w:cs="Arial"/>
                <w:color w:val="000000"/>
                <w:kern w:val="0"/>
                <w:sz w:val="22"/>
              </w:rPr>
            </w:pPr>
            <w:r>
              <w:rPr>
                <w:rFonts w:hint="eastAsia" w:ascii="宋体" w:hAnsi="宋体" w:cs="Arial"/>
                <w:color w:val="000000"/>
                <w:kern w:val="0"/>
                <w:sz w:val="22"/>
              </w:rPr>
              <w:t xml:space="preserve">  行政单位离退休</w:t>
            </w:r>
          </w:p>
        </w:tc>
        <w:tc>
          <w:tcPr>
            <w:tcW w:w="1646" w:type="dxa"/>
            <w:tcBorders>
              <w:top w:val="nil"/>
              <w:left w:val="nil"/>
              <w:bottom w:val="single" w:color="000000" w:sz="4" w:space="0"/>
              <w:right w:val="single" w:color="000000" w:sz="4" w:space="0"/>
            </w:tcBorders>
            <w:shd w:val="clear" w:color="auto" w:fill="auto"/>
            <w:noWrap/>
            <w:vAlign w:val="center"/>
          </w:tcPr>
          <w:p w14:paraId="78B5F609">
            <w:pPr>
              <w:widowControl/>
              <w:jc w:val="right"/>
              <w:rPr>
                <w:rFonts w:ascii="宋体" w:hAnsi="宋体" w:cs="Arial"/>
                <w:color w:val="000000"/>
                <w:kern w:val="0"/>
                <w:sz w:val="22"/>
              </w:rPr>
            </w:pPr>
            <w:r>
              <w:rPr>
                <w:rFonts w:hint="eastAsia" w:ascii="宋体" w:hAnsi="宋体" w:cs="Arial"/>
                <w:color w:val="000000"/>
                <w:kern w:val="0"/>
                <w:sz w:val="22"/>
              </w:rPr>
              <w:t>10,328.57</w:t>
            </w:r>
          </w:p>
        </w:tc>
        <w:tc>
          <w:tcPr>
            <w:tcW w:w="1536" w:type="dxa"/>
            <w:tcBorders>
              <w:top w:val="nil"/>
              <w:left w:val="nil"/>
              <w:bottom w:val="single" w:color="000000" w:sz="4" w:space="0"/>
              <w:right w:val="single" w:color="000000" w:sz="4" w:space="0"/>
            </w:tcBorders>
            <w:shd w:val="clear" w:color="auto" w:fill="auto"/>
            <w:noWrap/>
            <w:vAlign w:val="center"/>
          </w:tcPr>
          <w:p w14:paraId="21B11902">
            <w:pPr>
              <w:widowControl/>
              <w:jc w:val="right"/>
              <w:rPr>
                <w:rFonts w:ascii="宋体" w:hAnsi="宋体" w:cs="Arial"/>
                <w:color w:val="000000"/>
                <w:kern w:val="0"/>
                <w:sz w:val="22"/>
              </w:rPr>
            </w:pPr>
            <w:r>
              <w:rPr>
                <w:rFonts w:hint="eastAsia" w:ascii="宋体" w:hAnsi="宋体" w:cs="Arial"/>
                <w:color w:val="000000"/>
                <w:kern w:val="0"/>
                <w:sz w:val="22"/>
              </w:rPr>
              <w:t>10,328.57</w:t>
            </w:r>
          </w:p>
        </w:tc>
        <w:tc>
          <w:tcPr>
            <w:tcW w:w="1496" w:type="dxa"/>
            <w:tcBorders>
              <w:top w:val="nil"/>
              <w:left w:val="nil"/>
              <w:bottom w:val="single" w:color="000000" w:sz="4" w:space="0"/>
              <w:right w:val="single" w:color="000000" w:sz="4" w:space="0"/>
            </w:tcBorders>
            <w:shd w:val="clear" w:color="auto" w:fill="auto"/>
            <w:noWrap/>
            <w:vAlign w:val="center"/>
          </w:tcPr>
          <w:p w14:paraId="3D593147">
            <w:pPr>
              <w:widowControl/>
              <w:jc w:val="right"/>
              <w:rPr>
                <w:rFonts w:ascii="宋体" w:hAnsi="宋体" w:cs="Arial"/>
                <w:color w:val="000000"/>
                <w:kern w:val="0"/>
                <w:sz w:val="22"/>
              </w:rPr>
            </w:pPr>
            <w:r>
              <w:rPr>
                <w:rFonts w:hint="eastAsia" w:ascii="宋体" w:hAnsi="宋体" w:cs="Arial"/>
                <w:color w:val="000000"/>
                <w:kern w:val="0"/>
                <w:sz w:val="22"/>
              </w:rPr>
              <w:t>　</w:t>
            </w:r>
          </w:p>
        </w:tc>
      </w:tr>
      <w:tr w14:paraId="70ED9C1E">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481971F5">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2815" w:type="dxa"/>
            <w:tcBorders>
              <w:top w:val="nil"/>
              <w:left w:val="nil"/>
              <w:bottom w:val="single" w:color="000000" w:sz="4" w:space="0"/>
              <w:right w:val="single" w:color="000000" w:sz="4" w:space="0"/>
            </w:tcBorders>
            <w:shd w:val="clear" w:color="auto" w:fill="auto"/>
            <w:noWrap/>
            <w:vAlign w:val="center"/>
          </w:tcPr>
          <w:p w14:paraId="4B10F04E">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1646" w:type="dxa"/>
            <w:tcBorders>
              <w:top w:val="nil"/>
              <w:left w:val="nil"/>
              <w:bottom w:val="single" w:color="000000" w:sz="4" w:space="0"/>
              <w:right w:val="single" w:color="000000" w:sz="4" w:space="0"/>
            </w:tcBorders>
            <w:shd w:val="clear" w:color="auto" w:fill="auto"/>
            <w:noWrap/>
            <w:vAlign w:val="center"/>
          </w:tcPr>
          <w:p w14:paraId="20CB93E6">
            <w:pPr>
              <w:widowControl/>
              <w:jc w:val="right"/>
              <w:rPr>
                <w:rFonts w:ascii="宋体" w:hAnsi="宋体" w:cs="Arial"/>
                <w:color w:val="000000"/>
                <w:kern w:val="0"/>
                <w:sz w:val="22"/>
              </w:rPr>
            </w:pPr>
            <w:r>
              <w:rPr>
                <w:rFonts w:hint="eastAsia" w:ascii="宋体" w:hAnsi="宋体" w:cs="Arial"/>
                <w:color w:val="000000"/>
                <w:kern w:val="0"/>
                <w:sz w:val="22"/>
              </w:rPr>
              <w:t>204,581.22</w:t>
            </w:r>
          </w:p>
        </w:tc>
        <w:tc>
          <w:tcPr>
            <w:tcW w:w="1536" w:type="dxa"/>
            <w:tcBorders>
              <w:top w:val="nil"/>
              <w:left w:val="nil"/>
              <w:bottom w:val="single" w:color="000000" w:sz="4" w:space="0"/>
              <w:right w:val="single" w:color="000000" w:sz="4" w:space="0"/>
            </w:tcBorders>
            <w:shd w:val="clear" w:color="auto" w:fill="auto"/>
            <w:noWrap/>
            <w:vAlign w:val="center"/>
          </w:tcPr>
          <w:p w14:paraId="09839EB3">
            <w:pPr>
              <w:widowControl/>
              <w:jc w:val="right"/>
              <w:rPr>
                <w:rFonts w:ascii="宋体" w:hAnsi="宋体" w:cs="Arial"/>
                <w:color w:val="000000"/>
                <w:kern w:val="0"/>
                <w:sz w:val="22"/>
              </w:rPr>
            </w:pPr>
            <w:r>
              <w:rPr>
                <w:rFonts w:hint="eastAsia" w:ascii="宋体" w:hAnsi="宋体" w:cs="Arial"/>
                <w:color w:val="000000"/>
                <w:kern w:val="0"/>
                <w:sz w:val="22"/>
              </w:rPr>
              <w:t>204,581.22</w:t>
            </w:r>
          </w:p>
        </w:tc>
        <w:tc>
          <w:tcPr>
            <w:tcW w:w="1496" w:type="dxa"/>
            <w:tcBorders>
              <w:top w:val="nil"/>
              <w:left w:val="nil"/>
              <w:bottom w:val="single" w:color="000000" w:sz="4" w:space="0"/>
              <w:right w:val="single" w:color="000000" w:sz="4" w:space="0"/>
            </w:tcBorders>
            <w:shd w:val="clear" w:color="auto" w:fill="auto"/>
            <w:noWrap/>
            <w:vAlign w:val="center"/>
          </w:tcPr>
          <w:p w14:paraId="34FA1800">
            <w:pPr>
              <w:widowControl/>
              <w:jc w:val="right"/>
              <w:rPr>
                <w:rFonts w:ascii="宋体" w:hAnsi="宋体" w:cs="Arial"/>
                <w:color w:val="000000"/>
                <w:kern w:val="0"/>
                <w:sz w:val="22"/>
              </w:rPr>
            </w:pPr>
            <w:r>
              <w:rPr>
                <w:rFonts w:hint="eastAsia" w:ascii="宋体" w:hAnsi="宋体" w:cs="Arial"/>
                <w:color w:val="000000"/>
                <w:kern w:val="0"/>
                <w:sz w:val="22"/>
              </w:rPr>
              <w:t>　</w:t>
            </w:r>
          </w:p>
        </w:tc>
      </w:tr>
      <w:tr w14:paraId="7BA5D963">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F234177">
            <w:pPr>
              <w:widowControl/>
              <w:jc w:val="left"/>
              <w:rPr>
                <w:rFonts w:ascii="宋体" w:hAnsi="宋体" w:cs="Arial"/>
                <w:color w:val="000000"/>
                <w:kern w:val="0"/>
                <w:sz w:val="22"/>
              </w:rPr>
            </w:pPr>
            <w:r>
              <w:rPr>
                <w:rFonts w:hint="eastAsia" w:ascii="宋体" w:hAnsi="宋体" w:cs="Arial"/>
                <w:color w:val="000000"/>
                <w:kern w:val="0"/>
                <w:sz w:val="22"/>
              </w:rPr>
              <w:t>210</w:t>
            </w:r>
          </w:p>
        </w:tc>
        <w:tc>
          <w:tcPr>
            <w:tcW w:w="2815" w:type="dxa"/>
            <w:tcBorders>
              <w:top w:val="nil"/>
              <w:left w:val="nil"/>
              <w:bottom w:val="single" w:color="000000" w:sz="4" w:space="0"/>
              <w:right w:val="single" w:color="000000" w:sz="4" w:space="0"/>
            </w:tcBorders>
            <w:shd w:val="clear" w:color="auto" w:fill="auto"/>
            <w:noWrap/>
            <w:vAlign w:val="center"/>
          </w:tcPr>
          <w:p w14:paraId="591B0271">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646" w:type="dxa"/>
            <w:tcBorders>
              <w:top w:val="nil"/>
              <w:left w:val="nil"/>
              <w:bottom w:val="single" w:color="000000" w:sz="4" w:space="0"/>
              <w:right w:val="single" w:color="000000" w:sz="4" w:space="0"/>
            </w:tcBorders>
            <w:shd w:val="clear" w:color="auto" w:fill="auto"/>
            <w:noWrap/>
            <w:vAlign w:val="center"/>
          </w:tcPr>
          <w:p w14:paraId="0A89A0EA">
            <w:pPr>
              <w:widowControl/>
              <w:jc w:val="right"/>
              <w:rPr>
                <w:rFonts w:ascii="宋体" w:hAnsi="宋体" w:cs="Arial"/>
                <w:color w:val="000000"/>
                <w:kern w:val="0"/>
                <w:sz w:val="22"/>
              </w:rPr>
            </w:pPr>
            <w:r>
              <w:rPr>
                <w:rFonts w:hint="eastAsia" w:ascii="宋体" w:hAnsi="宋体" w:cs="Arial"/>
                <w:color w:val="000000"/>
                <w:kern w:val="0"/>
                <w:sz w:val="22"/>
              </w:rPr>
              <w:t>12,228,433.07</w:t>
            </w:r>
          </w:p>
        </w:tc>
        <w:tc>
          <w:tcPr>
            <w:tcW w:w="1536" w:type="dxa"/>
            <w:tcBorders>
              <w:top w:val="nil"/>
              <w:left w:val="nil"/>
              <w:bottom w:val="single" w:color="000000" w:sz="4" w:space="0"/>
              <w:right w:val="single" w:color="000000" w:sz="4" w:space="0"/>
            </w:tcBorders>
            <w:shd w:val="clear" w:color="auto" w:fill="auto"/>
            <w:noWrap/>
            <w:vAlign w:val="center"/>
          </w:tcPr>
          <w:p w14:paraId="1C0B7085">
            <w:pPr>
              <w:widowControl/>
              <w:jc w:val="right"/>
              <w:rPr>
                <w:rFonts w:ascii="宋体" w:hAnsi="宋体" w:cs="Arial"/>
                <w:color w:val="000000"/>
                <w:kern w:val="0"/>
                <w:sz w:val="22"/>
              </w:rPr>
            </w:pPr>
            <w:r>
              <w:rPr>
                <w:rFonts w:hint="eastAsia" w:ascii="宋体" w:hAnsi="宋体" w:cs="Arial"/>
                <w:color w:val="000000"/>
                <w:kern w:val="0"/>
                <w:sz w:val="22"/>
              </w:rPr>
              <w:t>2,567,258.41</w:t>
            </w:r>
          </w:p>
        </w:tc>
        <w:tc>
          <w:tcPr>
            <w:tcW w:w="1496" w:type="dxa"/>
            <w:tcBorders>
              <w:top w:val="nil"/>
              <w:left w:val="nil"/>
              <w:bottom w:val="single" w:color="000000" w:sz="4" w:space="0"/>
              <w:right w:val="single" w:color="000000" w:sz="4" w:space="0"/>
            </w:tcBorders>
            <w:shd w:val="clear" w:color="auto" w:fill="auto"/>
            <w:noWrap/>
            <w:vAlign w:val="center"/>
          </w:tcPr>
          <w:p w14:paraId="28FE2D65">
            <w:pPr>
              <w:widowControl/>
              <w:jc w:val="right"/>
              <w:rPr>
                <w:rFonts w:ascii="宋体" w:hAnsi="宋体" w:cs="Arial"/>
                <w:color w:val="000000"/>
                <w:kern w:val="0"/>
                <w:sz w:val="22"/>
              </w:rPr>
            </w:pPr>
            <w:r>
              <w:rPr>
                <w:rFonts w:hint="eastAsia" w:ascii="宋体" w:hAnsi="宋体" w:cs="Arial"/>
                <w:color w:val="000000"/>
                <w:kern w:val="0"/>
                <w:sz w:val="22"/>
              </w:rPr>
              <w:t>9,661,174.66</w:t>
            </w:r>
          </w:p>
        </w:tc>
      </w:tr>
      <w:tr w14:paraId="1076D770">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536D802">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815" w:type="dxa"/>
            <w:tcBorders>
              <w:top w:val="nil"/>
              <w:left w:val="nil"/>
              <w:bottom w:val="single" w:color="000000" w:sz="4" w:space="0"/>
              <w:right w:val="single" w:color="000000" w:sz="4" w:space="0"/>
            </w:tcBorders>
            <w:shd w:val="clear" w:color="auto" w:fill="auto"/>
            <w:noWrap/>
            <w:vAlign w:val="center"/>
          </w:tcPr>
          <w:p w14:paraId="68E43F10">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646" w:type="dxa"/>
            <w:tcBorders>
              <w:top w:val="nil"/>
              <w:left w:val="nil"/>
              <w:bottom w:val="single" w:color="000000" w:sz="4" w:space="0"/>
              <w:right w:val="single" w:color="000000" w:sz="4" w:space="0"/>
            </w:tcBorders>
            <w:shd w:val="clear" w:color="auto" w:fill="auto"/>
            <w:noWrap/>
            <w:vAlign w:val="center"/>
          </w:tcPr>
          <w:p w14:paraId="0335D7AB">
            <w:pPr>
              <w:widowControl/>
              <w:jc w:val="right"/>
              <w:rPr>
                <w:rFonts w:ascii="宋体" w:hAnsi="宋体" w:cs="Arial"/>
                <w:color w:val="000000"/>
                <w:kern w:val="0"/>
                <w:sz w:val="22"/>
              </w:rPr>
            </w:pPr>
            <w:r>
              <w:rPr>
                <w:rFonts w:hint="eastAsia" w:ascii="宋体" w:hAnsi="宋体" w:cs="Arial"/>
                <w:color w:val="000000"/>
                <w:kern w:val="0"/>
                <w:sz w:val="22"/>
              </w:rPr>
              <w:t>173,111.40</w:t>
            </w:r>
          </w:p>
        </w:tc>
        <w:tc>
          <w:tcPr>
            <w:tcW w:w="1536" w:type="dxa"/>
            <w:tcBorders>
              <w:top w:val="nil"/>
              <w:left w:val="nil"/>
              <w:bottom w:val="single" w:color="000000" w:sz="4" w:space="0"/>
              <w:right w:val="single" w:color="000000" w:sz="4" w:space="0"/>
            </w:tcBorders>
            <w:shd w:val="clear" w:color="auto" w:fill="auto"/>
            <w:noWrap/>
            <w:vAlign w:val="center"/>
          </w:tcPr>
          <w:p w14:paraId="74F36E28">
            <w:pPr>
              <w:widowControl/>
              <w:jc w:val="right"/>
              <w:rPr>
                <w:rFonts w:ascii="宋体" w:hAnsi="宋体" w:cs="Arial"/>
                <w:color w:val="000000"/>
                <w:kern w:val="0"/>
                <w:sz w:val="22"/>
              </w:rPr>
            </w:pPr>
            <w:r>
              <w:rPr>
                <w:rFonts w:hint="eastAsia" w:ascii="宋体" w:hAnsi="宋体" w:cs="Arial"/>
                <w:color w:val="000000"/>
                <w:kern w:val="0"/>
                <w:sz w:val="22"/>
              </w:rPr>
              <w:t>173,111.40</w:t>
            </w:r>
          </w:p>
        </w:tc>
        <w:tc>
          <w:tcPr>
            <w:tcW w:w="1496" w:type="dxa"/>
            <w:tcBorders>
              <w:top w:val="nil"/>
              <w:left w:val="nil"/>
              <w:bottom w:val="single" w:color="000000" w:sz="4" w:space="0"/>
              <w:right w:val="single" w:color="000000" w:sz="4" w:space="0"/>
            </w:tcBorders>
            <w:shd w:val="clear" w:color="auto" w:fill="auto"/>
            <w:noWrap/>
            <w:vAlign w:val="center"/>
          </w:tcPr>
          <w:p w14:paraId="1A778B0C">
            <w:pPr>
              <w:widowControl/>
              <w:jc w:val="right"/>
              <w:rPr>
                <w:rFonts w:ascii="宋体" w:hAnsi="宋体" w:cs="Arial"/>
                <w:color w:val="000000"/>
                <w:kern w:val="0"/>
                <w:sz w:val="22"/>
              </w:rPr>
            </w:pPr>
            <w:r>
              <w:rPr>
                <w:rFonts w:hint="eastAsia" w:ascii="宋体" w:hAnsi="宋体" w:cs="Arial"/>
                <w:color w:val="000000"/>
                <w:kern w:val="0"/>
                <w:sz w:val="22"/>
              </w:rPr>
              <w:t>　</w:t>
            </w:r>
          </w:p>
        </w:tc>
      </w:tr>
      <w:tr w14:paraId="25A10B7B">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1115ABE">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2815" w:type="dxa"/>
            <w:tcBorders>
              <w:top w:val="nil"/>
              <w:left w:val="nil"/>
              <w:bottom w:val="single" w:color="000000" w:sz="4" w:space="0"/>
              <w:right w:val="single" w:color="000000" w:sz="4" w:space="0"/>
            </w:tcBorders>
            <w:shd w:val="clear" w:color="auto" w:fill="auto"/>
            <w:noWrap/>
            <w:vAlign w:val="center"/>
          </w:tcPr>
          <w:p w14:paraId="0242B8AA">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646" w:type="dxa"/>
            <w:tcBorders>
              <w:top w:val="nil"/>
              <w:left w:val="nil"/>
              <w:bottom w:val="single" w:color="000000" w:sz="4" w:space="0"/>
              <w:right w:val="single" w:color="000000" w:sz="4" w:space="0"/>
            </w:tcBorders>
            <w:shd w:val="clear" w:color="auto" w:fill="auto"/>
            <w:noWrap/>
            <w:vAlign w:val="center"/>
          </w:tcPr>
          <w:p w14:paraId="704FF8C1">
            <w:pPr>
              <w:widowControl/>
              <w:jc w:val="right"/>
              <w:rPr>
                <w:rFonts w:ascii="宋体" w:hAnsi="宋体" w:cs="Arial"/>
                <w:color w:val="000000"/>
                <w:kern w:val="0"/>
                <w:sz w:val="22"/>
              </w:rPr>
            </w:pPr>
            <w:r>
              <w:rPr>
                <w:rFonts w:hint="eastAsia" w:ascii="宋体" w:hAnsi="宋体" w:cs="Arial"/>
                <w:color w:val="000000"/>
                <w:kern w:val="0"/>
                <w:sz w:val="22"/>
              </w:rPr>
              <w:t>159,511.40</w:t>
            </w:r>
          </w:p>
        </w:tc>
        <w:tc>
          <w:tcPr>
            <w:tcW w:w="1536" w:type="dxa"/>
            <w:tcBorders>
              <w:top w:val="nil"/>
              <w:left w:val="nil"/>
              <w:bottom w:val="single" w:color="000000" w:sz="4" w:space="0"/>
              <w:right w:val="single" w:color="000000" w:sz="4" w:space="0"/>
            </w:tcBorders>
            <w:shd w:val="clear" w:color="auto" w:fill="auto"/>
            <w:noWrap/>
            <w:vAlign w:val="center"/>
          </w:tcPr>
          <w:p w14:paraId="37EDF98E">
            <w:pPr>
              <w:widowControl/>
              <w:jc w:val="right"/>
              <w:rPr>
                <w:rFonts w:ascii="宋体" w:hAnsi="宋体" w:cs="Arial"/>
                <w:color w:val="000000"/>
                <w:kern w:val="0"/>
                <w:sz w:val="22"/>
              </w:rPr>
            </w:pPr>
            <w:r>
              <w:rPr>
                <w:rFonts w:hint="eastAsia" w:ascii="宋体" w:hAnsi="宋体" w:cs="Arial"/>
                <w:color w:val="000000"/>
                <w:kern w:val="0"/>
                <w:sz w:val="22"/>
              </w:rPr>
              <w:t>159,511.40</w:t>
            </w:r>
          </w:p>
        </w:tc>
        <w:tc>
          <w:tcPr>
            <w:tcW w:w="1496" w:type="dxa"/>
            <w:tcBorders>
              <w:top w:val="nil"/>
              <w:left w:val="nil"/>
              <w:bottom w:val="single" w:color="000000" w:sz="4" w:space="0"/>
              <w:right w:val="single" w:color="000000" w:sz="4" w:space="0"/>
            </w:tcBorders>
            <w:shd w:val="clear" w:color="auto" w:fill="auto"/>
            <w:noWrap/>
            <w:vAlign w:val="center"/>
          </w:tcPr>
          <w:p w14:paraId="7AC6D9B2">
            <w:pPr>
              <w:widowControl/>
              <w:jc w:val="right"/>
              <w:rPr>
                <w:rFonts w:ascii="宋体" w:hAnsi="宋体" w:cs="Arial"/>
                <w:color w:val="000000"/>
                <w:kern w:val="0"/>
                <w:sz w:val="22"/>
              </w:rPr>
            </w:pPr>
            <w:r>
              <w:rPr>
                <w:rFonts w:hint="eastAsia" w:ascii="宋体" w:hAnsi="宋体" w:cs="Arial"/>
                <w:color w:val="000000"/>
                <w:kern w:val="0"/>
                <w:sz w:val="22"/>
              </w:rPr>
              <w:t>　</w:t>
            </w:r>
          </w:p>
        </w:tc>
      </w:tr>
      <w:tr w14:paraId="41D33FEA">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112E1CF">
            <w:pPr>
              <w:widowControl/>
              <w:jc w:val="left"/>
              <w:rPr>
                <w:rFonts w:ascii="宋体" w:hAnsi="宋体" w:cs="Arial"/>
                <w:color w:val="000000"/>
                <w:kern w:val="0"/>
                <w:sz w:val="22"/>
              </w:rPr>
            </w:pPr>
            <w:r>
              <w:rPr>
                <w:rFonts w:hint="eastAsia" w:ascii="宋体" w:hAnsi="宋体" w:cs="Arial"/>
                <w:color w:val="000000"/>
                <w:kern w:val="0"/>
                <w:sz w:val="22"/>
              </w:rPr>
              <w:t>2101103</w:t>
            </w:r>
          </w:p>
        </w:tc>
        <w:tc>
          <w:tcPr>
            <w:tcW w:w="2815" w:type="dxa"/>
            <w:tcBorders>
              <w:top w:val="nil"/>
              <w:left w:val="nil"/>
              <w:bottom w:val="single" w:color="000000" w:sz="4" w:space="0"/>
              <w:right w:val="single" w:color="000000" w:sz="4" w:space="0"/>
            </w:tcBorders>
            <w:shd w:val="clear" w:color="auto" w:fill="auto"/>
            <w:noWrap/>
            <w:vAlign w:val="center"/>
          </w:tcPr>
          <w:p w14:paraId="44CFB406">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w:t>
            </w:r>
          </w:p>
        </w:tc>
        <w:tc>
          <w:tcPr>
            <w:tcW w:w="1646" w:type="dxa"/>
            <w:tcBorders>
              <w:top w:val="nil"/>
              <w:left w:val="nil"/>
              <w:bottom w:val="single" w:color="000000" w:sz="4" w:space="0"/>
              <w:right w:val="single" w:color="000000" w:sz="4" w:space="0"/>
            </w:tcBorders>
            <w:shd w:val="clear" w:color="auto" w:fill="auto"/>
            <w:noWrap/>
            <w:vAlign w:val="center"/>
          </w:tcPr>
          <w:p w14:paraId="256A05E8">
            <w:pPr>
              <w:widowControl/>
              <w:jc w:val="right"/>
              <w:rPr>
                <w:rFonts w:ascii="宋体" w:hAnsi="宋体" w:cs="Arial"/>
                <w:color w:val="000000"/>
                <w:kern w:val="0"/>
                <w:sz w:val="22"/>
              </w:rPr>
            </w:pPr>
            <w:r>
              <w:rPr>
                <w:rFonts w:hint="eastAsia" w:ascii="宋体" w:hAnsi="宋体" w:cs="Arial"/>
                <w:color w:val="000000"/>
                <w:kern w:val="0"/>
                <w:sz w:val="22"/>
              </w:rPr>
              <w:t>13,600.00</w:t>
            </w:r>
          </w:p>
        </w:tc>
        <w:tc>
          <w:tcPr>
            <w:tcW w:w="1536" w:type="dxa"/>
            <w:tcBorders>
              <w:top w:val="nil"/>
              <w:left w:val="nil"/>
              <w:bottom w:val="single" w:color="000000" w:sz="4" w:space="0"/>
              <w:right w:val="single" w:color="000000" w:sz="4" w:space="0"/>
            </w:tcBorders>
            <w:shd w:val="clear" w:color="auto" w:fill="auto"/>
            <w:noWrap/>
            <w:vAlign w:val="center"/>
          </w:tcPr>
          <w:p w14:paraId="3DFE8DFD">
            <w:pPr>
              <w:widowControl/>
              <w:jc w:val="right"/>
              <w:rPr>
                <w:rFonts w:ascii="宋体" w:hAnsi="宋体" w:cs="Arial"/>
                <w:color w:val="000000"/>
                <w:kern w:val="0"/>
                <w:sz w:val="22"/>
              </w:rPr>
            </w:pPr>
            <w:r>
              <w:rPr>
                <w:rFonts w:hint="eastAsia" w:ascii="宋体" w:hAnsi="宋体" w:cs="Arial"/>
                <w:color w:val="000000"/>
                <w:kern w:val="0"/>
                <w:sz w:val="22"/>
              </w:rPr>
              <w:t>13,600.00</w:t>
            </w:r>
          </w:p>
        </w:tc>
        <w:tc>
          <w:tcPr>
            <w:tcW w:w="1496" w:type="dxa"/>
            <w:tcBorders>
              <w:top w:val="nil"/>
              <w:left w:val="nil"/>
              <w:bottom w:val="single" w:color="000000" w:sz="4" w:space="0"/>
              <w:right w:val="single" w:color="000000" w:sz="4" w:space="0"/>
            </w:tcBorders>
            <w:shd w:val="clear" w:color="auto" w:fill="auto"/>
            <w:noWrap/>
            <w:vAlign w:val="center"/>
          </w:tcPr>
          <w:p w14:paraId="337EBC7E">
            <w:pPr>
              <w:widowControl/>
              <w:jc w:val="right"/>
              <w:rPr>
                <w:rFonts w:ascii="宋体" w:hAnsi="宋体" w:cs="Arial"/>
                <w:color w:val="000000"/>
                <w:kern w:val="0"/>
                <w:sz w:val="22"/>
              </w:rPr>
            </w:pPr>
            <w:r>
              <w:rPr>
                <w:rFonts w:hint="eastAsia" w:ascii="宋体" w:hAnsi="宋体" w:cs="Arial"/>
                <w:color w:val="000000"/>
                <w:kern w:val="0"/>
                <w:sz w:val="22"/>
              </w:rPr>
              <w:t>　</w:t>
            </w:r>
          </w:p>
        </w:tc>
      </w:tr>
      <w:tr w14:paraId="7208A394">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4E60907E">
            <w:pPr>
              <w:widowControl/>
              <w:jc w:val="left"/>
              <w:rPr>
                <w:rFonts w:ascii="宋体" w:hAnsi="宋体" w:cs="Arial"/>
                <w:color w:val="000000"/>
                <w:kern w:val="0"/>
                <w:sz w:val="22"/>
              </w:rPr>
            </w:pPr>
            <w:r>
              <w:rPr>
                <w:rFonts w:hint="eastAsia" w:ascii="宋体" w:hAnsi="宋体" w:cs="Arial"/>
                <w:color w:val="000000"/>
                <w:kern w:val="0"/>
                <w:sz w:val="22"/>
              </w:rPr>
              <w:t>21013</w:t>
            </w:r>
          </w:p>
        </w:tc>
        <w:tc>
          <w:tcPr>
            <w:tcW w:w="2815" w:type="dxa"/>
            <w:tcBorders>
              <w:top w:val="nil"/>
              <w:left w:val="nil"/>
              <w:bottom w:val="single" w:color="000000" w:sz="4" w:space="0"/>
              <w:right w:val="single" w:color="000000" w:sz="4" w:space="0"/>
            </w:tcBorders>
            <w:shd w:val="clear" w:color="auto" w:fill="auto"/>
            <w:noWrap/>
            <w:vAlign w:val="center"/>
          </w:tcPr>
          <w:p w14:paraId="6E8BF293">
            <w:pPr>
              <w:widowControl/>
              <w:jc w:val="left"/>
              <w:rPr>
                <w:rFonts w:ascii="宋体" w:hAnsi="宋体" w:cs="Arial"/>
                <w:color w:val="000000"/>
                <w:kern w:val="0"/>
                <w:sz w:val="22"/>
              </w:rPr>
            </w:pPr>
            <w:r>
              <w:rPr>
                <w:rFonts w:hint="eastAsia" w:ascii="宋体" w:hAnsi="宋体" w:cs="Arial"/>
                <w:color w:val="000000"/>
                <w:kern w:val="0"/>
                <w:sz w:val="22"/>
              </w:rPr>
              <w:t>医疗救助</w:t>
            </w:r>
          </w:p>
        </w:tc>
        <w:tc>
          <w:tcPr>
            <w:tcW w:w="1646" w:type="dxa"/>
            <w:tcBorders>
              <w:top w:val="nil"/>
              <w:left w:val="nil"/>
              <w:bottom w:val="single" w:color="000000" w:sz="4" w:space="0"/>
              <w:right w:val="single" w:color="000000" w:sz="4" w:space="0"/>
            </w:tcBorders>
            <w:shd w:val="clear" w:color="auto" w:fill="auto"/>
            <w:noWrap/>
            <w:vAlign w:val="center"/>
          </w:tcPr>
          <w:p w14:paraId="3464E772">
            <w:pPr>
              <w:widowControl/>
              <w:jc w:val="right"/>
              <w:rPr>
                <w:rFonts w:ascii="宋体" w:hAnsi="宋体" w:cs="Arial"/>
                <w:color w:val="000000"/>
                <w:kern w:val="0"/>
                <w:sz w:val="22"/>
              </w:rPr>
            </w:pPr>
            <w:r>
              <w:rPr>
                <w:rFonts w:hint="eastAsia" w:ascii="宋体" w:hAnsi="宋体" w:cs="Arial"/>
                <w:color w:val="000000"/>
                <w:kern w:val="0"/>
                <w:sz w:val="22"/>
              </w:rPr>
              <w:t>8,179,247.73</w:t>
            </w:r>
          </w:p>
        </w:tc>
        <w:tc>
          <w:tcPr>
            <w:tcW w:w="1536" w:type="dxa"/>
            <w:tcBorders>
              <w:top w:val="nil"/>
              <w:left w:val="nil"/>
              <w:bottom w:val="single" w:color="000000" w:sz="4" w:space="0"/>
              <w:right w:val="single" w:color="000000" w:sz="4" w:space="0"/>
            </w:tcBorders>
            <w:shd w:val="clear" w:color="auto" w:fill="auto"/>
            <w:noWrap/>
            <w:vAlign w:val="center"/>
          </w:tcPr>
          <w:p w14:paraId="0CA708E2">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7955412B">
            <w:pPr>
              <w:widowControl/>
              <w:jc w:val="right"/>
              <w:rPr>
                <w:rFonts w:ascii="宋体" w:hAnsi="宋体" w:cs="Arial"/>
                <w:color w:val="000000"/>
                <w:kern w:val="0"/>
                <w:sz w:val="22"/>
              </w:rPr>
            </w:pPr>
            <w:r>
              <w:rPr>
                <w:rFonts w:hint="eastAsia" w:ascii="宋体" w:hAnsi="宋体" w:cs="Arial"/>
                <w:color w:val="000000"/>
                <w:kern w:val="0"/>
                <w:sz w:val="22"/>
              </w:rPr>
              <w:t>8,179,247.73</w:t>
            </w:r>
          </w:p>
        </w:tc>
      </w:tr>
      <w:tr w14:paraId="7BA29A6B">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3F23218">
            <w:pPr>
              <w:widowControl/>
              <w:jc w:val="left"/>
              <w:rPr>
                <w:rFonts w:ascii="宋体" w:hAnsi="宋体" w:cs="Arial"/>
                <w:color w:val="000000"/>
                <w:kern w:val="0"/>
                <w:sz w:val="22"/>
              </w:rPr>
            </w:pPr>
            <w:r>
              <w:rPr>
                <w:rFonts w:hint="eastAsia" w:ascii="宋体" w:hAnsi="宋体" w:cs="Arial"/>
                <w:color w:val="000000"/>
                <w:kern w:val="0"/>
                <w:sz w:val="22"/>
              </w:rPr>
              <w:t>2101301</w:t>
            </w:r>
          </w:p>
        </w:tc>
        <w:tc>
          <w:tcPr>
            <w:tcW w:w="2815" w:type="dxa"/>
            <w:tcBorders>
              <w:top w:val="nil"/>
              <w:left w:val="nil"/>
              <w:bottom w:val="single" w:color="000000" w:sz="4" w:space="0"/>
              <w:right w:val="single" w:color="000000" w:sz="4" w:space="0"/>
            </w:tcBorders>
            <w:shd w:val="clear" w:color="auto" w:fill="auto"/>
            <w:noWrap/>
            <w:vAlign w:val="center"/>
          </w:tcPr>
          <w:p w14:paraId="0AA6BC5B">
            <w:pPr>
              <w:widowControl/>
              <w:jc w:val="left"/>
              <w:rPr>
                <w:rFonts w:ascii="宋体" w:hAnsi="宋体" w:cs="Arial"/>
                <w:color w:val="000000"/>
                <w:kern w:val="0"/>
                <w:sz w:val="22"/>
              </w:rPr>
            </w:pPr>
            <w:r>
              <w:rPr>
                <w:rFonts w:hint="eastAsia" w:ascii="宋体" w:hAnsi="宋体" w:cs="Arial"/>
                <w:color w:val="000000"/>
                <w:kern w:val="0"/>
                <w:sz w:val="22"/>
              </w:rPr>
              <w:t xml:space="preserve">  城乡医疗救助</w:t>
            </w:r>
          </w:p>
        </w:tc>
        <w:tc>
          <w:tcPr>
            <w:tcW w:w="1646" w:type="dxa"/>
            <w:tcBorders>
              <w:top w:val="nil"/>
              <w:left w:val="nil"/>
              <w:bottom w:val="single" w:color="000000" w:sz="4" w:space="0"/>
              <w:right w:val="single" w:color="000000" w:sz="4" w:space="0"/>
            </w:tcBorders>
            <w:shd w:val="clear" w:color="auto" w:fill="auto"/>
            <w:noWrap/>
            <w:vAlign w:val="center"/>
          </w:tcPr>
          <w:p w14:paraId="1F93A3A5">
            <w:pPr>
              <w:widowControl/>
              <w:jc w:val="right"/>
              <w:rPr>
                <w:rFonts w:ascii="宋体" w:hAnsi="宋体" w:cs="Arial"/>
                <w:color w:val="000000"/>
                <w:kern w:val="0"/>
                <w:sz w:val="22"/>
              </w:rPr>
            </w:pPr>
            <w:r>
              <w:rPr>
                <w:rFonts w:hint="eastAsia" w:ascii="宋体" w:hAnsi="宋体" w:cs="Arial"/>
                <w:color w:val="000000"/>
                <w:kern w:val="0"/>
                <w:sz w:val="22"/>
              </w:rPr>
              <w:t>8,179,247.73</w:t>
            </w:r>
          </w:p>
        </w:tc>
        <w:tc>
          <w:tcPr>
            <w:tcW w:w="1536" w:type="dxa"/>
            <w:tcBorders>
              <w:top w:val="nil"/>
              <w:left w:val="nil"/>
              <w:bottom w:val="single" w:color="000000" w:sz="4" w:space="0"/>
              <w:right w:val="single" w:color="000000" w:sz="4" w:space="0"/>
            </w:tcBorders>
            <w:shd w:val="clear" w:color="auto" w:fill="auto"/>
            <w:noWrap/>
            <w:vAlign w:val="center"/>
          </w:tcPr>
          <w:p w14:paraId="4AC6CFDC">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75D3929E">
            <w:pPr>
              <w:widowControl/>
              <w:jc w:val="right"/>
              <w:rPr>
                <w:rFonts w:ascii="宋体" w:hAnsi="宋体" w:cs="Arial"/>
                <w:color w:val="000000"/>
                <w:kern w:val="0"/>
                <w:sz w:val="22"/>
              </w:rPr>
            </w:pPr>
            <w:r>
              <w:rPr>
                <w:rFonts w:hint="eastAsia" w:ascii="宋体" w:hAnsi="宋体" w:cs="Arial"/>
                <w:color w:val="000000"/>
                <w:kern w:val="0"/>
                <w:sz w:val="22"/>
              </w:rPr>
              <w:t>8,179,247.73</w:t>
            </w:r>
          </w:p>
        </w:tc>
      </w:tr>
      <w:tr w14:paraId="59F1C2A4">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3355DE0">
            <w:pPr>
              <w:widowControl/>
              <w:jc w:val="left"/>
              <w:rPr>
                <w:rFonts w:ascii="宋体" w:hAnsi="宋体" w:cs="Arial"/>
                <w:color w:val="000000"/>
                <w:kern w:val="0"/>
                <w:sz w:val="22"/>
              </w:rPr>
            </w:pPr>
            <w:r>
              <w:rPr>
                <w:rFonts w:hint="eastAsia" w:ascii="宋体" w:hAnsi="宋体" w:cs="Arial"/>
                <w:color w:val="000000"/>
                <w:kern w:val="0"/>
                <w:sz w:val="22"/>
              </w:rPr>
              <w:t>21015</w:t>
            </w:r>
          </w:p>
        </w:tc>
        <w:tc>
          <w:tcPr>
            <w:tcW w:w="2815" w:type="dxa"/>
            <w:tcBorders>
              <w:top w:val="nil"/>
              <w:left w:val="nil"/>
              <w:bottom w:val="single" w:color="000000" w:sz="4" w:space="0"/>
              <w:right w:val="single" w:color="000000" w:sz="4" w:space="0"/>
            </w:tcBorders>
            <w:shd w:val="clear" w:color="auto" w:fill="auto"/>
            <w:noWrap/>
            <w:vAlign w:val="center"/>
          </w:tcPr>
          <w:p w14:paraId="0397B2D2">
            <w:pPr>
              <w:widowControl/>
              <w:jc w:val="left"/>
              <w:rPr>
                <w:rFonts w:ascii="宋体" w:hAnsi="宋体" w:cs="Arial"/>
                <w:color w:val="000000"/>
                <w:kern w:val="0"/>
                <w:sz w:val="22"/>
              </w:rPr>
            </w:pPr>
            <w:r>
              <w:rPr>
                <w:rFonts w:hint="eastAsia" w:ascii="宋体" w:hAnsi="宋体" w:cs="Arial"/>
                <w:color w:val="000000"/>
                <w:kern w:val="0"/>
                <w:sz w:val="22"/>
              </w:rPr>
              <w:t>医疗保障管理事务</w:t>
            </w:r>
          </w:p>
        </w:tc>
        <w:tc>
          <w:tcPr>
            <w:tcW w:w="1646" w:type="dxa"/>
            <w:tcBorders>
              <w:top w:val="nil"/>
              <w:left w:val="nil"/>
              <w:bottom w:val="single" w:color="000000" w:sz="4" w:space="0"/>
              <w:right w:val="single" w:color="000000" w:sz="4" w:space="0"/>
            </w:tcBorders>
            <w:shd w:val="clear" w:color="auto" w:fill="auto"/>
            <w:noWrap/>
            <w:vAlign w:val="center"/>
          </w:tcPr>
          <w:p w14:paraId="219026E1">
            <w:pPr>
              <w:widowControl/>
              <w:jc w:val="right"/>
              <w:rPr>
                <w:rFonts w:ascii="宋体" w:hAnsi="宋体" w:cs="Arial"/>
                <w:color w:val="000000"/>
                <w:kern w:val="0"/>
                <w:sz w:val="22"/>
              </w:rPr>
            </w:pPr>
            <w:r>
              <w:rPr>
                <w:rFonts w:hint="eastAsia" w:ascii="宋体" w:hAnsi="宋体" w:cs="Arial"/>
                <w:color w:val="000000"/>
                <w:kern w:val="0"/>
                <w:sz w:val="22"/>
              </w:rPr>
              <w:t>3,862,746.63</w:t>
            </w:r>
          </w:p>
        </w:tc>
        <w:tc>
          <w:tcPr>
            <w:tcW w:w="1536" w:type="dxa"/>
            <w:tcBorders>
              <w:top w:val="nil"/>
              <w:left w:val="nil"/>
              <w:bottom w:val="single" w:color="000000" w:sz="4" w:space="0"/>
              <w:right w:val="single" w:color="000000" w:sz="4" w:space="0"/>
            </w:tcBorders>
            <w:shd w:val="clear" w:color="auto" w:fill="auto"/>
            <w:noWrap/>
            <w:vAlign w:val="center"/>
          </w:tcPr>
          <w:p w14:paraId="799CB768">
            <w:pPr>
              <w:widowControl/>
              <w:jc w:val="right"/>
              <w:rPr>
                <w:rFonts w:ascii="宋体" w:hAnsi="宋体" w:cs="Arial"/>
                <w:color w:val="000000"/>
                <w:kern w:val="0"/>
                <w:sz w:val="22"/>
              </w:rPr>
            </w:pPr>
            <w:r>
              <w:rPr>
                <w:rFonts w:hint="eastAsia" w:ascii="宋体" w:hAnsi="宋体" w:cs="Arial"/>
                <w:color w:val="000000"/>
                <w:kern w:val="0"/>
                <w:sz w:val="22"/>
              </w:rPr>
              <w:t>2,394,147.01</w:t>
            </w:r>
          </w:p>
        </w:tc>
        <w:tc>
          <w:tcPr>
            <w:tcW w:w="1496" w:type="dxa"/>
            <w:tcBorders>
              <w:top w:val="nil"/>
              <w:left w:val="nil"/>
              <w:bottom w:val="single" w:color="000000" w:sz="4" w:space="0"/>
              <w:right w:val="single" w:color="000000" w:sz="4" w:space="0"/>
            </w:tcBorders>
            <w:shd w:val="clear" w:color="auto" w:fill="auto"/>
            <w:noWrap/>
            <w:vAlign w:val="center"/>
          </w:tcPr>
          <w:p w14:paraId="40A81916">
            <w:pPr>
              <w:widowControl/>
              <w:jc w:val="right"/>
              <w:rPr>
                <w:rFonts w:ascii="宋体" w:hAnsi="宋体" w:cs="Arial"/>
                <w:color w:val="000000"/>
                <w:kern w:val="0"/>
                <w:sz w:val="22"/>
              </w:rPr>
            </w:pPr>
            <w:r>
              <w:rPr>
                <w:rFonts w:hint="eastAsia" w:ascii="宋体" w:hAnsi="宋体" w:cs="Arial"/>
                <w:color w:val="000000"/>
                <w:kern w:val="0"/>
                <w:sz w:val="22"/>
              </w:rPr>
              <w:t>1,468,599.62</w:t>
            </w:r>
          </w:p>
        </w:tc>
      </w:tr>
      <w:tr w14:paraId="63E2D36C">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033202A">
            <w:pPr>
              <w:widowControl/>
              <w:jc w:val="left"/>
              <w:rPr>
                <w:rFonts w:ascii="宋体" w:hAnsi="宋体" w:cs="Arial"/>
                <w:color w:val="000000"/>
                <w:kern w:val="0"/>
                <w:sz w:val="22"/>
              </w:rPr>
            </w:pPr>
            <w:r>
              <w:rPr>
                <w:rFonts w:hint="eastAsia" w:ascii="宋体" w:hAnsi="宋体" w:cs="Arial"/>
                <w:color w:val="000000"/>
                <w:kern w:val="0"/>
                <w:sz w:val="22"/>
              </w:rPr>
              <w:t>2101501</w:t>
            </w:r>
          </w:p>
        </w:tc>
        <w:tc>
          <w:tcPr>
            <w:tcW w:w="2815" w:type="dxa"/>
            <w:tcBorders>
              <w:top w:val="nil"/>
              <w:left w:val="nil"/>
              <w:bottom w:val="single" w:color="000000" w:sz="4" w:space="0"/>
              <w:right w:val="single" w:color="000000" w:sz="4" w:space="0"/>
            </w:tcBorders>
            <w:shd w:val="clear" w:color="auto" w:fill="auto"/>
            <w:noWrap/>
            <w:vAlign w:val="center"/>
          </w:tcPr>
          <w:p w14:paraId="4707AADD">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646" w:type="dxa"/>
            <w:tcBorders>
              <w:top w:val="nil"/>
              <w:left w:val="nil"/>
              <w:bottom w:val="single" w:color="000000" w:sz="4" w:space="0"/>
              <w:right w:val="single" w:color="000000" w:sz="4" w:space="0"/>
            </w:tcBorders>
            <w:shd w:val="clear" w:color="auto" w:fill="auto"/>
            <w:noWrap/>
            <w:vAlign w:val="center"/>
          </w:tcPr>
          <w:p w14:paraId="5D56F8B0">
            <w:pPr>
              <w:widowControl/>
              <w:jc w:val="right"/>
              <w:rPr>
                <w:rFonts w:ascii="宋体" w:hAnsi="宋体" w:cs="Arial"/>
                <w:color w:val="000000"/>
                <w:kern w:val="0"/>
                <w:sz w:val="22"/>
              </w:rPr>
            </w:pPr>
            <w:r>
              <w:rPr>
                <w:rFonts w:hint="eastAsia" w:ascii="宋体" w:hAnsi="宋体" w:cs="Arial"/>
                <w:color w:val="000000"/>
                <w:kern w:val="0"/>
                <w:sz w:val="22"/>
              </w:rPr>
              <w:t>2,394,147.01</w:t>
            </w:r>
          </w:p>
        </w:tc>
        <w:tc>
          <w:tcPr>
            <w:tcW w:w="1536" w:type="dxa"/>
            <w:tcBorders>
              <w:top w:val="nil"/>
              <w:left w:val="nil"/>
              <w:bottom w:val="single" w:color="000000" w:sz="4" w:space="0"/>
              <w:right w:val="single" w:color="000000" w:sz="4" w:space="0"/>
            </w:tcBorders>
            <w:shd w:val="clear" w:color="auto" w:fill="auto"/>
            <w:noWrap/>
            <w:vAlign w:val="center"/>
          </w:tcPr>
          <w:p w14:paraId="392C3D6E">
            <w:pPr>
              <w:widowControl/>
              <w:jc w:val="right"/>
              <w:rPr>
                <w:rFonts w:ascii="宋体" w:hAnsi="宋体" w:cs="Arial"/>
                <w:color w:val="000000"/>
                <w:kern w:val="0"/>
                <w:sz w:val="22"/>
              </w:rPr>
            </w:pPr>
            <w:r>
              <w:rPr>
                <w:rFonts w:hint="eastAsia" w:ascii="宋体" w:hAnsi="宋体" w:cs="Arial"/>
                <w:color w:val="000000"/>
                <w:kern w:val="0"/>
                <w:sz w:val="22"/>
              </w:rPr>
              <w:t>2,394,147.01</w:t>
            </w:r>
          </w:p>
        </w:tc>
        <w:tc>
          <w:tcPr>
            <w:tcW w:w="1496" w:type="dxa"/>
            <w:tcBorders>
              <w:top w:val="nil"/>
              <w:left w:val="nil"/>
              <w:bottom w:val="single" w:color="000000" w:sz="4" w:space="0"/>
              <w:right w:val="single" w:color="000000" w:sz="4" w:space="0"/>
            </w:tcBorders>
            <w:shd w:val="clear" w:color="auto" w:fill="auto"/>
            <w:noWrap/>
            <w:vAlign w:val="center"/>
          </w:tcPr>
          <w:p w14:paraId="2BB3F0C8">
            <w:pPr>
              <w:widowControl/>
              <w:jc w:val="right"/>
              <w:rPr>
                <w:rFonts w:ascii="宋体" w:hAnsi="宋体" w:cs="Arial"/>
                <w:color w:val="000000"/>
                <w:kern w:val="0"/>
                <w:sz w:val="22"/>
              </w:rPr>
            </w:pPr>
            <w:r>
              <w:rPr>
                <w:rFonts w:hint="eastAsia" w:ascii="宋体" w:hAnsi="宋体" w:cs="Arial"/>
                <w:color w:val="000000"/>
                <w:kern w:val="0"/>
                <w:sz w:val="22"/>
              </w:rPr>
              <w:t>　</w:t>
            </w:r>
          </w:p>
        </w:tc>
      </w:tr>
      <w:tr w14:paraId="55C038F3">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AE2383C">
            <w:pPr>
              <w:widowControl/>
              <w:jc w:val="left"/>
              <w:rPr>
                <w:rFonts w:ascii="宋体" w:hAnsi="宋体" w:cs="Arial"/>
                <w:color w:val="000000"/>
                <w:kern w:val="0"/>
                <w:sz w:val="22"/>
              </w:rPr>
            </w:pPr>
            <w:r>
              <w:rPr>
                <w:rFonts w:hint="eastAsia" w:ascii="宋体" w:hAnsi="宋体" w:cs="Arial"/>
                <w:color w:val="000000"/>
                <w:kern w:val="0"/>
                <w:sz w:val="22"/>
              </w:rPr>
              <w:t>2101599</w:t>
            </w:r>
          </w:p>
        </w:tc>
        <w:tc>
          <w:tcPr>
            <w:tcW w:w="2815" w:type="dxa"/>
            <w:tcBorders>
              <w:top w:val="nil"/>
              <w:left w:val="nil"/>
              <w:bottom w:val="single" w:color="000000" w:sz="4" w:space="0"/>
              <w:right w:val="single" w:color="000000" w:sz="4" w:space="0"/>
            </w:tcBorders>
            <w:shd w:val="clear" w:color="auto" w:fill="auto"/>
            <w:noWrap/>
            <w:vAlign w:val="center"/>
          </w:tcPr>
          <w:p w14:paraId="3122BF87">
            <w:pPr>
              <w:widowControl/>
              <w:jc w:val="left"/>
              <w:rPr>
                <w:rFonts w:ascii="宋体" w:hAnsi="宋体" w:cs="Arial"/>
                <w:color w:val="000000"/>
                <w:kern w:val="0"/>
                <w:sz w:val="22"/>
              </w:rPr>
            </w:pPr>
            <w:r>
              <w:rPr>
                <w:rFonts w:hint="eastAsia" w:ascii="宋体" w:hAnsi="宋体" w:cs="Arial"/>
                <w:color w:val="000000"/>
                <w:kern w:val="0"/>
                <w:sz w:val="22"/>
              </w:rPr>
              <w:t xml:space="preserve">  其他医疗保障管理事务支出</w:t>
            </w:r>
          </w:p>
        </w:tc>
        <w:tc>
          <w:tcPr>
            <w:tcW w:w="1646" w:type="dxa"/>
            <w:tcBorders>
              <w:top w:val="nil"/>
              <w:left w:val="nil"/>
              <w:bottom w:val="single" w:color="000000" w:sz="4" w:space="0"/>
              <w:right w:val="single" w:color="000000" w:sz="4" w:space="0"/>
            </w:tcBorders>
            <w:shd w:val="clear" w:color="auto" w:fill="auto"/>
            <w:noWrap/>
            <w:vAlign w:val="center"/>
          </w:tcPr>
          <w:p w14:paraId="39E805C9">
            <w:pPr>
              <w:widowControl/>
              <w:jc w:val="right"/>
              <w:rPr>
                <w:rFonts w:ascii="宋体" w:hAnsi="宋体" w:cs="Arial"/>
                <w:color w:val="000000"/>
                <w:kern w:val="0"/>
                <w:sz w:val="22"/>
              </w:rPr>
            </w:pPr>
            <w:r>
              <w:rPr>
                <w:rFonts w:hint="eastAsia" w:ascii="宋体" w:hAnsi="宋体" w:cs="Arial"/>
                <w:color w:val="000000"/>
                <w:kern w:val="0"/>
                <w:sz w:val="22"/>
              </w:rPr>
              <w:t>1,468,599.62</w:t>
            </w:r>
          </w:p>
        </w:tc>
        <w:tc>
          <w:tcPr>
            <w:tcW w:w="1536" w:type="dxa"/>
            <w:tcBorders>
              <w:top w:val="nil"/>
              <w:left w:val="nil"/>
              <w:bottom w:val="single" w:color="000000" w:sz="4" w:space="0"/>
              <w:right w:val="single" w:color="000000" w:sz="4" w:space="0"/>
            </w:tcBorders>
            <w:shd w:val="clear" w:color="auto" w:fill="auto"/>
            <w:noWrap/>
            <w:vAlign w:val="center"/>
          </w:tcPr>
          <w:p w14:paraId="3C888980">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6946D90B">
            <w:pPr>
              <w:widowControl/>
              <w:jc w:val="right"/>
              <w:rPr>
                <w:rFonts w:ascii="宋体" w:hAnsi="宋体" w:cs="Arial"/>
                <w:color w:val="000000"/>
                <w:kern w:val="0"/>
                <w:sz w:val="22"/>
              </w:rPr>
            </w:pPr>
            <w:r>
              <w:rPr>
                <w:rFonts w:hint="eastAsia" w:ascii="宋体" w:hAnsi="宋体" w:cs="Arial"/>
                <w:color w:val="000000"/>
                <w:kern w:val="0"/>
                <w:sz w:val="22"/>
              </w:rPr>
              <w:t>1,468,599.62</w:t>
            </w:r>
          </w:p>
        </w:tc>
      </w:tr>
      <w:tr w14:paraId="4E7887E7">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DBB8657">
            <w:pPr>
              <w:widowControl/>
              <w:jc w:val="left"/>
              <w:rPr>
                <w:rFonts w:ascii="宋体" w:hAnsi="宋体" w:cs="Arial"/>
                <w:color w:val="000000"/>
                <w:kern w:val="0"/>
                <w:sz w:val="22"/>
              </w:rPr>
            </w:pPr>
            <w:r>
              <w:rPr>
                <w:rFonts w:hint="eastAsia" w:ascii="宋体" w:hAnsi="宋体" w:cs="Arial"/>
                <w:color w:val="000000"/>
                <w:kern w:val="0"/>
                <w:sz w:val="22"/>
              </w:rPr>
              <w:t>21099</w:t>
            </w:r>
          </w:p>
        </w:tc>
        <w:tc>
          <w:tcPr>
            <w:tcW w:w="2815" w:type="dxa"/>
            <w:tcBorders>
              <w:top w:val="nil"/>
              <w:left w:val="nil"/>
              <w:bottom w:val="single" w:color="000000" w:sz="4" w:space="0"/>
              <w:right w:val="single" w:color="000000" w:sz="4" w:space="0"/>
            </w:tcBorders>
            <w:shd w:val="clear" w:color="auto" w:fill="auto"/>
            <w:noWrap/>
            <w:vAlign w:val="center"/>
          </w:tcPr>
          <w:p w14:paraId="2E79F81D">
            <w:pPr>
              <w:widowControl/>
              <w:jc w:val="left"/>
              <w:rPr>
                <w:rFonts w:ascii="宋体" w:hAnsi="宋体" w:cs="Arial"/>
                <w:color w:val="000000"/>
                <w:kern w:val="0"/>
                <w:sz w:val="22"/>
              </w:rPr>
            </w:pPr>
            <w:r>
              <w:rPr>
                <w:rFonts w:hint="eastAsia" w:ascii="宋体" w:hAnsi="宋体" w:cs="Arial"/>
                <w:color w:val="000000"/>
                <w:kern w:val="0"/>
                <w:sz w:val="22"/>
              </w:rPr>
              <w:t>其他卫生健康支出</w:t>
            </w:r>
          </w:p>
        </w:tc>
        <w:tc>
          <w:tcPr>
            <w:tcW w:w="1646" w:type="dxa"/>
            <w:tcBorders>
              <w:top w:val="nil"/>
              <w:left w:val="nil"/>
              <w:bottom w:val="single" w:color="000000" w:sz="4" w:space="0"/>
              <w:right w:val="single" w:color="000000" w:sz="4" w:space="0"/>
            </w:tcBorders>
            <w:shd w:val="clear" w:color="auto" w:fill="auto"/>
            <w:noWrap/>
            <w:vAlign w:val="center"/>
          </w:tcPr>
          <w:p w14:paraId="5DDCFF92">
            <w:pPr>
              <w:widowControl/>
              <w:jc w:val="right"/>
              <w:rPr>
                <w:rFonts w:ascii="宋体" w:hAnsi="宋体" w:cs="Arial"/>
                <w:color w:val="000000"/>
                <w:kern w:val="0"/>
                <w:sz w:val="22"/>
              </w:rPr>
            </w:pPr>
            <w:r>
              <w:rPr>
                <w:rFonts w:hint="eastAsia" w:ascii="宋体" w:hAnsi="宋体" w:cs="Arial"/>
                <w:color w:val="000000"/>
                <w:kern w:val="0"/>
                <w:sz w:val="22"/>
              </w:rPr>
              <w:t>13,327.31</w:t>
            </w:r>
          </w:p>
        </w:tc>
        <w:tc>
          <w:tcPr>
            <w:tcW w:w="1536" w:type="dxa"/>
            <w:tcBorders>
              <w:top w:val="nil"/>
              <w:left w:val="nil"/>
              <w:bottom w:val="single" w:color="000000" w:sz="4" w:space="0"/>
              <w:right w:val="single" w:color="000000" w:sz="4" w:space="0"/>
            </w:tcBorders>
            <w:shd w:val="clear" w:color="auto" w:fill="auto"/>
            <w:noWrap/>
            <w:vAlign w:val="center"/>
          </w:tcPr>
          <w:p w14:paraId="70C46F64">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73B05AFC">
            <w:pPr>
              <w:widowControl/>
              <w:jc w:val="right"/>
              <w:rPr>
                <w:rFonts w:ascii="宋体" w:hAnsi="宋体" w:cs="Arial"/>
                <w:color w:val="000000"/>
                <w:kern w:val="0"/>
                <w:sz w:val="22"/>
              </w:rPr>
            </w:pPr>
            <w:r>
              <w:rPr>
                <w:rFonts w:hint="eastAsia" w:ascii="宋体" w:hAnsi="宋体" w:cs="Arial"/>
                <w:color w:val="000000"/>
                <w:kern w:val="0"/>
                <w:sz w:val="22"/>
              </w:rPr>
              <w:t>13,327.31</w:t>
            </w:r>
          </w:p>
        </w:tc>
      </w:tr>
      <w:tr w14:paraId="154FBD22">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4BF71C1">
            <w:pPr>
              <w:widowControl/>
              <w:jc w:val="left"/>
              <w:rPr>
                <w:rFonts w:ascii="宋体" w:hAnsi="宋体" w:cs="Arial"/>
                <w:color w:val="000000"/>
                <w:kern w:val="0"/>
                <w:sz w:val="22"/>
              </w:rPr>
            </w:pPr>
            <w:r>
              <w:rPr>
                <w:rFonts w:hint="eastAsia" w:ascii="宋体" w:hAnsi="宋体" w:cs="Arial"/>
                <w:color w:val="000000"/>
                <w:kern w:val="0"/>
                <w:sz w:val="22"/>
              </w:rPr>
              <w:t>2109901</w:t>
            </w:r>
          </w:p>
        </w:tc>
        <w:tc>
          <w:tcPr>
            <w:tcW w:w="2815" w:type="dxa"/>
            <w:tcBorders>
              <w:top w:val="nil"/>
              <w:left w:val="nil"/>
              <w:bottom w:val="single" w:color="000000" w:sz="4" w:space="0"/>
              <w:right w:val="single" w:color="000000" w:sz="4" w:space="0"/>
            </w:tcBorders>
            <w:shd w:val="clear" w:color="auto" w:fill="auto"/>
            <w:noWrap/>
            <w:vAlign w:val="center"/>
          </w:tcPr>
          <w:p w14:paraId="2DA06EFF">
            <w:pPr>
              <w:widowControl/>
              <w:jc w:val="left"/>
              <w:rPr>
                <w:rFonts w:ascii="宋体" w:hAnsi="宋体" w:cs="Arial"/>
                <w:color w:val="000000"/>
                <w:kern w:val="0"/>
                <w:sz w:val="22"/>
              </w:rPr>
            </w:pPr>
            <w:r>
              <w:rPr>
                <w:rFonts w:hint="eastAsia" w:ascii="宋体" w:hAnsi="宋体" w:cs="Arial"/>
                <w:color w:val="000000"/>
                <w:kern w:val="0"/>
                <w:sz w:val="22"/>
              </w:rPr>
              <w:t xml:space="preserve">  其他卫生健康支出</w:t>
            </w:r>
          </w:p>
        </w:tc>
        <w:tc>
          <w:tcPr>
            <w:tcW w:w="1646" w:type="dxa"/>
            <w:tcBorders>
              <w:top w:val="nil"/>
              <w:left w:val="nil"/>
              <w:bottom w:val="single" w:color="000000" w:sz="4" w:space="0"/>
              <w:right w:val="single" w:color="000000" w:sz="4" w:space="0"/>
            </w:tcBorders>
            <w:shd w:val="clear" w:color="auto" w:fill="auto"/>
            <w:noWrap/>
            <w:vAlign w:val="center"/>
          </w:tcPr>
          <w:p w14:paraId="5922C83F">
            <w:pPr>
              <w:widowControl/>
              <w:jc w:val="right"/>
              <w:rPr>
                <w:rFonts w:ascii="宋体" w:hAnsi="宋体" w:cs="Arial"/>
                <w:color w:val="000000"/>
                <w:kern w:val="0"/>
                <w:sz w:val="22"/>
              </w:rPr>
            </w:pPr>
            <w:r>
              <w:rPr>
                <w:rFonts w:hint="eastAsia" w:ascii="宋体" w:hAnsi="宋体" w:cs="Arial"/>
                <w:color w:val="000000"/>
                <w:kern w:val="0"/>
                <w:sz w:val="22"/>
              </w:rPr>
              <w:t>13,327.31</w:t>
            </w:r>
          </w:p>
        </w:tc>
        <w:tc>
          <w:tcPr>
            <w:tcW w:w="1536" w:type="dxa"/>
            <w:tcBorders>
              <w:top w:val="nil"/>
              <w:left w:val="nil"/>
              <w:bottom w:val="single" w:color="000000" w:sz="4" w:space="0"/>
              <w:right w:val="single" w:color="000000" w:sz="4" w:space="0"/>
            </w:tcBorders>
            <w:shd w:val="clear" w:color="auto" w:fill="auto"/>
            <w:noWrap/>
            <w:vAlign w:val="center"/>
          </w:tcPr>
          <w:p w14:paraId="46AEBB3F">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164559FA">
            <w:pPr>
              <w:widowControl/>
              <w:jc w:val="right"/>
              <w:rPr>
                <w:rFonts w:ascii="宋体" w:hAnsi="宋体" w:cs="Arial"/>
                <w:color w:val="000000"/>
                <w:kern w:val="0"/>
                <w:sz w:val="22"/>
              </w:rPr>
            </w:pPr>
            <w:r>
              <w:rPr>
                <w:rFonts w:hint="eastAsia" w:ascii="宋体" w:hAnsi="宋体" w:cs="Arial"/>
                <w:color w:val="000000"/>
                <w:kern w:val="0"/>
                <w:sz w:val="22"/>
              </w:rPr>
              <w:t>13,327.31</w:t>
            </w:r>
          </w:p>
        </w:tc>
      </w:tr>
      <w:tr w14:paraId="1FA224C9">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0941E81">
            <w:pPr>
              <w:widowControl/>
              <w:jc w:val="left"/>
              <w:rPr>
                <w:rFonts w:ascii="宋体" w:hAnsi="宋体" w:cs="Arial"/>
                <w:color w:val="000000"/>
                <w:kern w:val="0"/>
                <w:sz w:val="22"/>
              </w:rPr>
            </w:pPr>
            <w:r>
              <w:rPr>
                <w:rFonts w:hint="eastAsia" w:ascii="宋体" w:hAnsi="宋体" w:cs="Arial"/>
                <w:color w:val="000000"/>
                <w:kern w:val="0"/>
                <w:sz w:val="22"/>
              </w:rPr>
              <w:t>212</w:t>
            </w:r>
          </w:p>
        </w:tc>
        <w:tc>
          <w:tcPr>
            <w:tcW w:w="2815" w:type="dxa"/>
            <w:tcBorders>
              <w:top w:val="nil"/>
              <w:left w:val="nil"/>
              <w:bottom w:val="single" w:color="000000" w:sz="4" w:space="0"/>
              <w:right w:val="single" w:color="000000" w:sz="4" w:space="0"/>
            </w:tcBorders>
            <w:shd w:val="clear" w:color="auto" w:fill="auto"/>
            <w:noWrap/>
            <w:vAlign w:val="center"/>
          </w:tcPr>
          <w:p w14:paraId="49EC4884">
            <w:pPr>
              <w:widowControl/>
              <w:jc w:val="left"/>
              <w:rPr>
                <w:rFonts w:ascii="宋体" w:hAnsi="宋体" w:cs="Arial"/>
                <w:color w:val="000000"/>
                <w:kern w:val="0"/>
                <w:sz w:val="22"/>
              </w:rPr>
            </w:pPr>
            <w:r>
              <w:rPr>
                <w:rFonts w:hint="eastAsia" w:ascii="宋体" w:hAnsi="宋体" w:cs="Arial"/>
                <w:color w:val="000000"/>
                <w:kern w:val="0"/>
                <w:sz w:val="22"/>
              </w:rPr>
              <w:t>城乡社区支出</w:t>
            </w:r>
          </w:p>
        </w:tc>
        <w:tc>
          <w:tcPr>
            <w:tcW w:w="1646" w:type="dxa"/>
            <w:tcBorders>
              <w:top w:val="nil"/>
              <w:left w:val="nil"/>
              <w:bottom w:val="single" w:color="000000" w:sz="4" w:space="0"/>
              <w:right w:val="single" w:color="000000" w:sz="4" w:space="0"/>
            </w:tcBorders>
            <w:shd w:val="clear" w:color="auto" w:fill="auto"/>
            <w:noWrap/>
            <w:vAlign w:val="center"/>
          </w:tcPr>
          <w:p w14:paraId="15790D08">
            <w:pPr>
              <w:widowControl/>
              <w:jc w:val="right"/>
              <w:rPr>
                <w:rFonts w:ascii="宋体" w:hAnsi="宋体" w:cs="Arial"/>
                <w:color w:val="000000"/>
                <w:kern w:val="0"/>
                <w:sz w:val="22"/>
              </w:rPr>
            </w:pPr>
            <w:r>
              <w:rPr>
                <w:rFonts w:hint="eastAsia" w:ascii="宋体" w:hAnsi="宋体" w:cs="Arial"/>
                <w:color w:val="000000"/>
                <w:kern w:val="0"/>
                <w:sz w:val="22"/>
              </w:rPr>
              <w:t>227,228.67</w:t>
            </w:r>
          </w:p>
        </w:tc>
        <w:tc>
          <w:tcPr>
            <w:tcW w:w="1536" w:type="dxa"/>
            <w:tcBorders>
              <w:top w:val="nil"/>
              <w:left w:val="nil"/>
              <w:bottom w:val="single" w:color="000000" w:sz="4" w:space="0"/>
              <w:right w:val="single" w:color="000000" w:sz="4" w:space="0"/>
            </w:tcBorders>
            <w:shd w:val="clear" w:color="auto" w:fill="auto"/>
            <w:noWrap/>
            <w:vAlign w:val="center"/>
          </w:tcPr>
          <w:p w14:paraId="5F967CAC">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403D3897">
            <w:pPr>
              <w:widowControl/>
              <w:jc w:val="right"/>
              <w:rPr>
                <w:rFonts w:ascii="宋体" w:hAnsi="宋体" w:cs="Arial"/>
                <w:color w:val="000000"/>
                <w:kern w:val="0"/>
                <w:sz w:val="22"/>
              </w:rPr>
            </w:pPr>
            <w:r>
              <w:rPr>
                <w:rFonts w:hint="eastAsia" w:ascii="宋体" w:hAnsi="宋体" w:cs="Arial"/>
                <w:color w:val="000000"/>
                <w:kern w:val="0"/>
                <w:sz w:val="22"/>
              </w:rPr>
              <w:t>227,228.67</w:t>
            </w:r>
          </w:p>
        </w:tc>
      </w:tr>
      <w:tr w14:paraId="498830A0">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A5DF1EA">
            <w:pPr>
              <w:widowControl/>
              <w:jc w:val="left"/>
              <w:rPr>
                <w:rFonts w:ascii="宋体" w:hAnsi="宋体" w:cs="Arial"/>
                <w:color w:val="000000"/>
                <w:kern w:val="0"/>
                <w:sz w:val="22"/>
              </w:rPr>
            </w:pPr>
            <w:r>
              <w:rPr>
                <w:rFonts w:hint="eastAsia" w:ascii="宋体" w:hAnsi="宋体" w:cs="Arial"/>
                <w:color w:val="000000"/>
                <w:kern w:val="0"/>
                <w:sz w:val="22"/>
              </w:rPr>
              <w:t>21208</w:t>
            </w:r>
          </w:p>
        </w:tc>
        <w:tc>
          <w:tcPr>
            <w:tcW w:w="2815" w:type="dxa"/>
            <w:tcBorders>
              <w:top w:val="nil"/>
              <w:left w:val="nil"/>
              <w:bottom w:val="single" w:color="000000" w:sz="4" w:space="0"/>
              <w:right w:val="single" w:color="000000" w:sz="4" w:space="0"/>
            </w:tcBorders>
            <w:shd w:val="clear" w:color="auto" w:fill="auto"/>
            <w:noWrap/>
            <w:vAlign w:val="center"/>
          </w:tcPr>
          <w:p w14:paraId="2FCF28F8">
            <w:pPr>
              <w:widowControl/>
              <w:jc w:val="left"/>
              <w:rPr>
                <w:rFonts w:ascii="宋体" w:hAnsi="宋体" w:cs="Arial"/>
                <w:color w:val="000000"/>
                <w:kern w:val="0"/>
                <w:sz w:val="22"/>
              </w:rPr>
            </w:pPr>
            <w:r>
              <w:rPr>
                <w:rFonts w:hint="eastAsia" w:ascii="宋体" w:hAnsi="宋体" w:cs="Arial"/>
                <w:color w:val="000000"/>
                <w:kern w:val="0"/>
                <w:sz w:val="22"/>
              </w:rPr>
              <w:t>国有土地使用权出让收入安排的支出</w:t>
            </w:r>
          </w:p>
        </w:tc>
        <w:tc>
          <w:tcPr>
            <w:tcW w:w="1646" w:type="dxa"/>
            <w:tcBorders>
              <w:top w:val="nil"/>
              <w:left w:val="nil"/>
              <w:bottom w:val="single" w:color="000000" w:sz="4" w:space="0"/>
              <w:right w:val="single" w:color="000000" w:sz="4" w:space="0"/>
            </w:tcBorders>
            <w:shd w:val="clear" w:color="auto" w:fill="auto"/>
            <w:noWrap/>
            <w:vAlign w:val="center"/>
          </w:tcPr>
          <w:p w14:paraId="5BA7CC4F">
            <w:pPr>
              <w:widowControl/>
              <w:jc w:val="right"/>
              <w:rPr>
                <w:rFonts w:ascii="宋体" w:hAnsi="宋体" w:cs="Arial"/>
                <w:color w:val="000000"/>
                <w:kern w:val="0"/>
                <w:sz w:val="22"/>
              </w:rPr>
            </w:pPr>
            <w:r>
              <w:rPr>
                <w:rFonts w:hint="eastAsia" w:ascii="宋体" w:hAnsi="宋体" w:cs="Arial"/>
                <w:color w:val="000000"/>
                <w:kern w:val="0"/>
                <w:sz w:val="22"/>
              </w:rPr>
              <w:t>227,228.67</w:t>
            </w:r>
          </w:p>
        </w:tc>
        <w:tc>
          <w:tcPr>
            <w:tcW w:w="1536" w:type="dxa"/>
            <w:tcBorders>
              <w:top w:val="nil"/>
              <w:left w:val="nil"/>
              <w:bottom w:val="single" w:color="000000" w:sz="4" w:space="0"/>
              <w:right w:val="single" w:color="000000" w:sz="4" w:space="0"/>
            </w:tcBorders>
            <w:shd w:val="clear" w:color="auto" w:fill="auto"/>
            <w:noWrap/>
            <w:vAlign w:val="center"/>
          </w:tcPr>
          <w:p w14:paraId="0A8091B5">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5E5336DD">
            <w:pPr>
              <w:widowControl/>
              <w:jc w:val="right"/>
              <w:rPr>
                <w:rFonts w:ascii="宋体" w:hAnsi="宋体" w:cs="Arial"/>
                <w:color w:val="000000"/>
                <w:kern w:val="0"/>
                <w:sz w:val="22"/>
              </w:rPr>
            </w:pPr>
            <w:r>
              <w:rPr>
                <w:rFonts w:hint="eastAsia" w:ascii="宋体" w:hAnsi="宋体" w:cs="Arial"/>
                <w:color w:val="000000"/>
                <w:kern w:val="0"/>
                <w:sz w:val="22"/>
              </w:rPr>
              <w:t>227,228.67</w:t>
            </w:r>
          </w:p>
        </w:tc>
      </w:tr>
      <w:tr w14:paraId="2902C7BE">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0A8AF26">
            <w:pPr>
              <w:widowControl/>
              <w:jc w:val="left"/>
              <w:rPr>
                <w:rFonts w:ascii="宋体" w:hAnsi="宋体" w:cs="Arial"/>
                <w:color w:val="000000"/>
                <w:kern w:val="0"/>
                <w:sz w:val="22"/>
              </w:rPr>
            </w:pPr>
            <w:r>
              <w:rPr>
                <w:rFonts w:hint="eastAsia" w:ascii="宋体" w:hAnsi="宋体" w:cs="Arial"/>
                <w:color w:val="000000"/>
                <w:kern w:val="0"/>
                <w:sz w:val="22"/>
              </w:rPr>
              <w:t>2120802</w:t>
            </w:r>
          </w:p>
        </w:tc>
        <w:tc>
          <w:tcPr>
            <w:tcW w:w="2815" w:type="dxa"/>
            <w:tcBorders>
              <w:top w:val="nil"/>
              <w:left w:val="nil"/>
              <w:bottom w:val="single" w:color="000000" w:sz="4" w:space="0"/>
              <w:right w:val="single" w:color="000000" w:sz="4" w:space="0"/>
            </w:tcBorders>
            <w:shd w:val="clear" w:color="auto" w:fill="auto"/>
            <w:noWrap/>
            <w:vAlign w:val="center"/>
          </w:tcPr>
          <w:p w14:paraId="4A8130DB">
            <w:pPr>
              <w:widowControl/>
              <w:jc w:val="left"/>
              <w:rPr>
                <w:rFonts w:ascii="宋体" w:hAnsi="宋体" w:cs="Arial"/>
                <w:color w:val="000000"/>
                <w:kern w:val="0"/>
                <w:sz w:val="22"/>
              </w:rPr>
            </w:pPr>
            <w:r>
              <w:rPr>
                <w:rFonts w:hint="eastAsia" w:ascii="宋体" w:hAnsi="宋体" w:cs="Arial"/>
                <w:color w:val="000000"/>
                <w:kern w:val="0"/>
                <w:sz w:val="22"/>
              </w:rPr>
              <w:t xml:space="preserve">  土地开发支出</w:t>
            </w:r>
          </w:p>
        </w:tc>
        <w:tc>
          <w:tcPr>
            <w:tcW w:w="1646" w:type="dxa"/>
            <w:tcBorders>
              <w:top w:val="nil"/>
              <w:left w:val="nil"/>
              <w:bottom w:val="single" w:color="000000" w:sz="4" w:space="0"/>
              <w:right w:val="single" w:color="000000" w:sz="4" w:space="0"/>
            </w:tcBorders>
            <w:shd w:val="clear" w:color="auto" w:fill="auto"/>
            <w:noWrap/>
            <w:vAlign w:val="center"/>
          </w:tcPr>
          <w:p w14:paraId="370BB741">
            <w:pPr>
              <w:widowControl/>
              <w:jc w:val="right"/>
              <w:rPr>
                <w:rFonts w:ascii="宋体" w:hAnsi="宋体" w:cs="Arial"/>
                <w:color w:val="000000"/>
                <w:kern w:val="0"/>
                <w:sz w:val="22"/>
              </w:rPr>
            </w:pPr>
            <w:r>
              <w:rPr>
                <w:rFonts w:hint="eastAsia" w:ascii="宋体" w:hAnsi="宋体" w:cs="Arial"/>
                <w:color w:val="000000"/>
                <w:kern w:val="0"/>
                <w:sz w:val="22"/>
              </w:rPr>
              <w:t>227,228.67</w:t>
            </w:r>
          </w:p>
        </w:tc>
        <w:tc>
          <w:tcPr>
            <w:tcW w:w="1536" w:type="dxa"/>
            <w:tcBorders>
              <w:top w:val="nil"/>
              <w:left w:val="nil"/>
              <w:bottom w:val="single" w:color="000000" w:sz="4" w:space="0"/>
              <w:right w:val="single" w:color="000000" w:sz="4" w:space="0"/>
            </w:tcBorders>
            <w:shd w:val="clear" w:color="auto" w:fill="auto"/>
            <w:noWrap/>
            <w:vAlign w:val="center"/>
          </w:tcPr>
          <w:p w14:paraId="78075440">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26262330">
            <w:pPr>
              <w:widowControl/>
              <w:jc w:val="right"/>
              <w:rPr>
                <w:rFonts w:ascii="宋体" w:hAnsi="宋体" w:cs="Arial"/>
                <w:color w:val="000000"/>
                <w:kern w:val="0"/>
                <w:sz w:val="22"/>
              </w:rPr>
            </w:pPr>
            <w:r>
              <w:rPr>
                <w:rFonts w:hint="eastAsia" w:ascii="宋体" w:hAnsi="宋体" w:cs="Arial"/>
                <w:color w:val="000000"/>
                <w:kern w:val="0"/>
                <w:sz w:val="22"/>
              </w:rPr>
              <w:t>227,228.67</w:t>
            </w:r>
          </w:p>
        </w:tc>
      </w:tr>
      <w:tr w14:paraId="321B252B">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E779EA4">
            <w:pPr>
              <w:widowControl/>
              <w:jc w:val="left"/>
              <w:rPr>
                <w:rFonts w:ascii="宋体" w:hAnsi="宋体" w:cs="Arial"/>
                <w:color w:val="000000"/>
                <w:kern w:val="0"/>
                <w:sz w:val="22"/>
              </w:rPr>
            </w:pPr>
            <w:r>
              <w:rPr>
                <w:rFonts w:hint="eastAsia" w:ascii="宋体" w:hAnsi="宋体" w:cs="Arial"/>
                <w:color w:val="000000"/>
                <w:kern w:val="0"/>
                <w:sz w:val="22"/>
              </w:rPr>
              <w:t>213</w:t>
            </w:r>
          </w:p>
        </w:tc>
        <w:tc>
          <w:tcPr>
            <w:tcW w:w="2815" w:type="dxa"/>
            <w:tcBorders>
              <w:top w:val="nil"/>
              <w:left w:val="nil"/>
              <w:bottom w:val="single" w:color="000000" w:sz="4" w:space="0"/>
              <w:right w:val="single" w:color="000000" w:sz="4" w:space="0"/>
            </w:tcBorders>
            <w:shd w:val="clear" w:color="auto" w:fill="auto"/>
            <w:noWrap/>
            <w:vAlign w:val="center"/>
          </w:tcPr>
          <w:p w14:paraId="3F327576">
            <w:pPr>
              <w:widowControl/>
              <w:jc w:val="left"/>
              <w:rPr>
                <w:rFonts w:ascii="宋体" w:hAnsi="宋体" w:cs="Arial"/>
                <w:color w:val="000000"/>
                <w:kern w:val="0"/>
                <w:sz w:val="22"/>
              </w:rPr>
            </w:pPr>
            <w:r>
              <w:rPr>
                <w:rFonts w:hint="eastAsia" w:ascii="宋体" w:hAnsi="宋体" w:cs="Arial"/>
                <w:color w:val="000000"/>
                <w:kern w:val="0"/>
                <w:sz w:val="22"/>
              </w:rPr>
              <w:t>农林水支出</w:t>
            </w:r>
          </w:p>
        </w:tc>
        <w:tc>
          <w:tcPr>
            <w:tcW w:w="1646" w:type="dxa"/>
            <w:tcBorders>
              <w:top w:val="nil"/>
              <w:left w:val="nil"/>
              <w:bottom w:val="single" w:color="000000" w:sz="4" w:space="0"/>
              <w:right w:val="single" w:color="000000" w:sz="4" w:space="0"/>
            </w:tcBorders>
            <w:shd w:val="clear" w:color="auto" w:fill="auto"/>
            <w:noWrap/>
            <w:vAlign w:val="center"/>
          </w:tcPr>
          <w:p w14:paraId="134E99C1">
            <w:pPr>
              <w:widowControl/>
              <w:jc w:val="right"/>
              <w:rPr>
                <w:rFonts w:ascii="宋体" w:hAnsi="宋体" w:cs="Arial"/>
                <w:color w:val="000000"/>
                <w:kern w:val="0"/>
                <w:sz w:val="22"/>
              </w:rPr>
            </w:pPr>
            <w:r>
              <w:rPr>
                <w:rFonts w:hint="eastAsia" w:ascii="宋体" w:hAnsi="宋体" w:cs="Arial"/>
                <w:color w:val="000000"/>
                <w:kern w:val="0"/>
                <w:sz w:val="22"/>
              </w:rPr>
              <w:t>5,709,660.00</w:t>
            </w:r>
          </w:p>
        </w:tc>
        <w:tc>
          <w:tcPr>
            <w:tcW w:w="1536" w:type="dxa"/>
            <w:tcBorders>
              <w:top w:val="nil"/>
              <w:left w:val="nil"/>
              <w:bottom w:val="single" w:color="000000" w:sz="4" w:space="0"/>
              <w:right w:val="single" w:color="000000" w:sz="4" w:space="0"/>
            </w:tcBorders>
            <w:shd w:val="clear" w:color="auto" w:fill="auto"/>
            <w:noWrap/>
            <w:vAlign w:val="center"/>
          </w:tcPr>
          <w:p w14:paraId="4D9254CF">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381E6DD4">
            <w:pPr>
              <w:widowControl/>
              <w:jc w:val="right"/>
              <w:rPr>
                <w:rFonts w:ascii="宋体" w:hAnsi="宋体" w:cs="Arial"/>
                <w:color w:val="000000"/>
                <w:kern w:val="0"/>
                <w:sz w:val="22"/>
              </w:rPr>
            </w:pPr>
            <w:r>
              <w:rPr>
                <w:rFonts w:hint="eastAsia" w:ascii="宋体" w:hAnsi="宋体" w:cs="Arial"/>
                <w:color w:val="000000"/>
                <w:kern w:val="0"/>
                <w:sz w:val="22"/>
              </w:rPr>
              <w:t>5,709,660.00</w:t>
            </w:r>
          </w:p>
        </w:tc>
      </w:tr>
      <w:tr w14:paraId="49B40214">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8E1EC60">
            <w:pPr>
              <w:widowControl/>
              <w:jc w:val="left"/>
              <w:rPr>
                <w:rFonts w:ascii="宋体" w:hAnsi="宋体" w:cs="Arial"/>
                <w:color w:val="000000"/>
                <w:kern w:val="0"/>
                <w:sz w:val="22"/>
              </w:rPr>
            </w:pPr>
            <w:r>
              <w:rPr>
                <w:rFonts w:hint="eastAsia" w:ascii="宋体" w:hAnsi="宋体" w:cs="Arial"/>
                <w:color w:val="000000"/>
                <w:kern w:val="0"/>
                <w:sz w:val="22"/>
              </w:rPr>
              <w:t>21305</w:t>
            </w:r>
          </w:p>
        </w:tc>
        <w:tc>
          <w:tcPr>
            <w:tcW w:w="2815" w:type="dxa"/>
            <w:tcBorders>
              <w:top w:val="nil"/>
              <w:left w:val="nil"/>
              <w:bottom w:val="single" w:color="000000" w:sz="4" w:space="0"/>
              <w:right w:val="single" w:color="000000" w:sz="4" w:space="0"/>
            </w:tcBorders>
            <w:shd w:val="clear" w:color="auto" w:fill="auto"/>
            <w:noWrap/>
            <w:vAlign w:val="center"/>
          </w:tcPr>
          <w:p w14:paraId="3FDF2B54">
            <w:pPr>
              <w:widowControl/>
              <w:jc w:val="left"/>
              <w:rPr>
                <w:rFonts w:ascii="宋体" w:hAnsi="宋体" w:cs="Arial"/>
                <w:color w:val="000000"/>
                <w:kern w:val="0"/>
                <w:sz w:val="22"/>
              </w:rPr>
            </w:pPr>
            <w:r>
              <w:rPr>
                <w:rFonts w:hint="eastAsia" w:ascii="宋体" w:hAnsi="宋体" w:cs="Arial"/>
                <w:color w:val="000000"/>
                <w:kern w:val="0"/>
                <w:sz w:val="22"/>
              </w:rPr>
              <w:t>扶贫</w:t>
            </w:r>
          </w:p>
        </w:tc>
        <w:tc>
          <w:tcPr>
            <w:tcW w:w="1646" w:type="dxa"/>
            <w:tcBorders>
              <w:top w:val="nil"/>
              <w:left w:val="nil"/>
              <w:bottom w:val="single" w:color="000000" w:sz="4" w:space="0"/>
              <w:right w:val="single" w:color="000000" w:sz="4" w:space="0"/>
            </w:tcBorders>
            <w:shd w:val="clear" w:color="auto" w:fill="auto"/>
            <w:noWrap/>
            <w:vAlign w:val="center"/>
          </w:tcPr>
          <w:p w14:paraId="28D97837">
            <w:pPr>
              <w:widowControl/>
              <w:jc w:val="right"/>
              <w:rPr>
                <w:rFonts w:ascii="宋体" w:hAnsi="宋体" w:cs="Arial"/>
                <w:color w:val="000000"/>
                <w:kern w:val="0"/>
                <w:sz w:val="22"/>
              </w:rPr>
            </w:pPr>
            <w:r>
              <w:rPr>
                <w:rFonts w:hint="eastAsia" w:ascii="宋体" w:hAnsi="宋体" w:cs="Arial"/>
                <w:color w:val="000000"/>
                <w:kern w:val="0"/>
                <w:sz w:val="22"/>
              </w:rPr>
              <w:t>5,709,660.00</w:t>
            </w:r>
          </w:p>
        </w:tc>
        <w:tc>
          <w:tcPr>
            <w:tcW w:w="1536" w:type="dxa"/>
            <w:tcBorders>
              <w:top w:val="nil"/>
              <w:left w:val="nil"/>
              <w:bottom w:val="single" w:color="000000" w:sz="4" w:space="0"/>
              <w:right w:val="single" w:color="000000" w:sz="4" w:space="0"/>
            </w:tcBorders>
            <w:shd w:val="clear" w:color="auto" w:fill="auto"/>
            <w:noWrap/>
            <w:vAlign w:val="center"/>
          </w:tcPr>
          <w:p w14:paraId="0E57843E">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1D6E008F">
            <w:pPr>
              <w:widowControl/>
              <w:jc w:val="right"/>
              <w:rPr>
                <w:rFonts w:ascii="宋体" w:hAnsi="宋体" w:cs="Arial"/>
                <w:color w:val="000000"/>
                <w:kern w:val="0"/>
                <w:sz w:val="22"/>
              </w:rPr>
            </w:pPr>
            <w:r>
              <w:rPr>
                <w:rFonts w:hint="eastAsia" w:ascii="宋体" w:hAnsi="宋体" w:cs="Arial"/>
                <w:color w:val="000000"/>
                <w:kern w:val="0"/>
                <w:sz w:val="22"/>
              </w:rPr>
              <w:t>5,709,660.00</w:t>
            </w:r>
          </w:p>
        </w:tc>
      </w:tr>
      <w:tr w14:paraId="6A3E2996">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5BC3403">
            <w:pPr>
              <w:widowControl/>
              <w:jc w:val="left"/>
              <w:rPr>
                <w:rFonts w:ascii="宋体" w:hAnsi="宋体" w:cs="Arial"/>
                <w:color w:val="000000"/>
                <w:kern w:val="0"/>
                <w:sz w:val="22"/>
              </w:rPr>
            </w:pPr>
            <w:r>
              <w:rPr>
                <w:rFonts w:hint="eastAsia" w:ascii="宋体" w:hAnsi="宋体" w:cs="Arial"/>
                <w:color w:val="000000"/>
                <w:kern w:val="0"/>
                <w:sz w:val="22"/>
              </w:rPr>
              <w:t>2130506</w:t>
            </w:r>
          </w:p>
        </w:tc>
        <w:tc>
          <w:tcPr>
            <w:tcW w:w="2815" w:type="dxa"/>
            <w:tcBorders>
              <w:top w:val="nil"/>
              <w:left w:val="nil"/>
              <w:bottom w:val="single" w:color="000000" w:sz="4" w:space="0"/>
              <w:right w:val="single" w:color="000000" w:sz="4" w:space="0"/>
            </w:tcBorders>
            <w:shd w:val="clear" w:color="auto" w:fill="auto"/>
            <w:noWrap/>
            <w:vAlign w:val="center"/>
          </w:tcPr>
          <w:p w14:paraId="5364BC6E">
            <w:pPr>
              <w:widowControl/>
              <w:jc w:val="left"/>
              <w:rPr>
                <w:rFonts w:ascii="宋体" w:hAnsi="宋体" w:cs="Arial"/>
                <w:color w:val="000000"/>
                <w:kern w:val="0"/>
                <w:sz w:val="22"/>
              </w:rPr>
            </w:pPr>
            <w:r>
              <w:rPr>
                <w:rFonts w:hint="eastAsia" w:ascii="宋体" w:hAnsi="宋体" w:cs="Arial"/>
                <w:color w:val="000000"/>
                <w:kern w:val="0"/>
                <w:sz w:val="22"/>
              </w:rPr>
              <w:t xml:space="preserve">  社会发展</w:t>
            </w:r>
          </w:p>
        </w:tc>
        <w:tc>
          <w:tcPr>
            <w:tcW w:w="1646" w:type="dxa"/>
            <w:tcBorders>
              <w:top w:val="nil"/>
              <w:left w:val="nil"/>
              <w:bottom w:val="single" w:color="000000" w:sz="4" w:space="0"/>
              <w:right w:val="single" w:color="000000" w:sz="4" w:space="0"/>
            </w:tcBorders>
            <w:shd w:val="clear" w:color="auto" w:fill="auto"/>
            <w:noWrap/>
            <w:vAlign w:val="center"/>
          </w:tcPr>
          <w:p w14:paraId="00D8FAB3">
            <w:pPr>
              <w:widowControl/>
              <w:jc w:val="right"/>
              <w:rPr>
                <w:rFonts w:ascii="宋体" w:hAnsi="宋体" w:cs="Arial"/>
                <w:color w:val="000000"/>
                <w:kern w:val="0"/>
                <w:sz w:val="22"/>
              </w:rPr>
            </w:pPr>
            <w:r>
              <w:rPr>
                <w:rFonts w:hint="eastAsia" w:ascii="宋体" w:hAnsi="宋体" w:cs="Arial"/>
                <w:color w:val="000000"/>
                <w:kern w:val="0"/>
                <w:sz w:val="22"/>
              </w:rPr>
              <w:t>5,709,660.00</w:t>
            </w:r>
          </w:p>
        </w:tc>
        <w:tc>
          <w:tcPr>
            <w:tcW w:w="1536" w:type="dxa"/>
            <w:tcBorders>
              <w:top w:val="nil"/>
              <w:left w:val="nil"/>
              <w:bottom w:val="single" w:color="000000" w:sz="4" w:space="0"/>
              <w:right w:val="single" w:color="000000" w:sz="4" w:space="0"/>
            </w:tcBorders>
            <w:shd w:val="clear" w:color="auto" w:fill="auto"/>
            <w:noWrap/>
            <w:vAlign w:val="center"/>
          </w:tcPr>
          <w:p w14:paraId="005890FE">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0F07D800">
            <w:pPr>
              <w:widowControl/>
              <w:jc w:val="right"/>
              <w:rPr>
                <w:rFonts w:ascii="宋体" w:hAnsi="宋体" w:cs="Arial"/>
                <w:color w:val="000000"/>
                <w:kern w:val="0"/>
                <w:sz w:val="22"/>
              </w:rPr>
            </w:pPr>
            <w:r>
              <w:rPr>
                <w:rFonts w:hint="eastAsia" w:ascii="宋体" w:hAnsi="宋体" w:cs="Arial"/>
                <w:color w:val="000000"/>
                <w:kern w:val="0"/>
                <w:sz w:val="22"/>
              </w:rPr>
              <w:t>5,709,660.00</w:t>
            </w:r>
          </w:p>
        </w:tc>
      </w:tr>
      <w:tr w14:paraId="48654BDC">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6BF2CB6">
            <w:pPr>
              <w:widowControl/>
              <w:jc w:val="left"/>
              <w:rPr>
                <w:rFonts w:ascii="宋体" w:hAnsi="宋体" w:cs="Arial"/>
                <w:color w:val="000000"/>
                <w:kern w:val="0"/>
                <w:sz w:val="22"/>
              </w:rPr>
            </w:pPr>
            <w:r>
              <w:rPr>
                <w:rFonts w:hint="eastAsia" w:ascii="宋体" w:hAnsi="宋体" w:cs="Arial"/>
                <w:color w:val="000000"/>
                <w:kern w:val="0"/>
                <w:sz w:val="22"/>
              </w:rPr>
              <w:t>221</w:t>
            </w:r>
          </w:p>
        </w:tc>
        <w:tc>
          <w:tcPr>
            <w:tcW w:w="2815" w:type="dxa"/>
            <w:tcBorders>
              <w:top w:val="nil"/>
              <w:left w:val="nil"/>
              <w:bottom w:val="single" w:color="000000" w:sz="4" w:space="0"/>
              <w:right w:val="single" w:color="000000" w:sz="4" w:space="0"/>
            </w:tcBorders>
            <w:shd w:val="clear" w:color="auto" w:fill="auto"/>
            <w:noWrap/>
            <w:vAlign w:val="center"/>
          </w:tcPr>
          <w:p w14:paraId="277594C0">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646" w:type="dxa"/>
            <w:tcBorders>
              <w:top w:val="nil"/>
              <w:left w:val="nil"/>
              <w:bottom w:val="single" w:color="000000" w:sz="4" w:space="0"/>
              <w:right w:val="single" w:color="000000" w:sz="4" w:space="0"/>
            </w:tcBorders>
            <w:shd w:val="clear" w:color="auto" w:fill="auto"/>
            <w:noWrap/>
            <w:vAlign w:val="center"/>
          </w:tcPr>
          <w:p w14:paraId="3AAC7FC3">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536" w:type="dxa"/>
            <w:tcBorders>
              <w:top w:val="nil"/>
              <w:left w:val="nil"/>
              <w:bottom w:val="single" w:color="000000" w:sz="4" w:space="0"/>
              <w:right w:val="single" w:color="000000" w:sz="4" w:space="0"/>
            </w:tcBorders>
            <w:shd w:val="clear" w:color="auto" w:fill="auto"/>
            <w:noWrap/>
            <w:vAlign w:val="center"/>
          </w:tcPr>
          <w:p w14:paraId="51AC83A8">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496" w:type="dxa"/>
            <w:tcBorders>
              <w:top w:val="nil"/>
              <w:left w:val="nil"/>
              <w:bottom w:val="single" w:color="000000" w:sz="4" w:space="0"/>
              <w:right w:val="single" w:color="000000" w:sz="4" w:space="0"/>
            </w:tcBorders>
            <w:shd w:val="clear" w:color="auto" w:fill="auto"/>
            <w:noWrap/>
            <w:vAlign w:val="center"/>
          </w:tcPr>
          <w:p w14:paraId="0BA68CAB">
            <w:pPr>
              <w:widowControl/>
              <w:jc w:val="right"/>
              <w:rPr>
                <w:rFonts w:ascii="宋体" w:hAnsi="宋体" w:cs="Arial"/>
                <w:color w:val="000000"/>
                <w:kern w:val="0"/>
                <w:sz w:val="22"/>
              </w:rPr>
            </w:pPr>
            <w:r>
              <w:rPr>
                <w:rFonts w:hint="eastAsia" w:ascii="宋体" w:hAnsi="宋体" w:cs="Arial"/>
                <w:color w:val="000000"/>
                <w:kern w:val="0"/>
                <w:sz w:val="22"/>
              </w:rPr>
              <w:t>　</w:t>
            </w:r>
          </w:p>
        </w:tc>
      </w:tr>
      <w:tr w14:paraId="1E2E3ECB">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75E2D05">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2815" w:type="dxa"/>
            <w:tcBorders>
              <w:top w:val="nil"/>
              <w:left w:val="nil"/>
              <w:bottom w:val="single" w:color="000000" w:sz="4" w:space="0"/>
              <w:right w:val="single" w:color="000000" w:sz="4" w:space="0"/>
            </w:tcBorders>
            <w:shd w:val="clear" w:color="auto" w:fill="auto"/>
            <w:noWrap/>
            <w:vAlign w:val="center"/>
          </w:tcPr>
          <w:p w14:paraId="64B056F5">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646" w:type="dxa"/>
            <w:tcBorders>
              <w:top w:val="nil"/>
              <w:left w:val="nil"/>
              <w:bottom w:val="single" w:color="000000" w:sz="4" w:space="0"/>
              <w:right w:val="single" w:color="000000" w:sz="4" w:space="0"/>
            </w:tcBorders>
            <w:shd w:val="clear" w:color="auto" w:fill="auto"/>
            <w:noWrap/>
            <w:vAlign w:val="center"/>
          </w:tcPr>
          <w:p w14:paraId="2D7AA4A4">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536" w:type="dxa"/>
            <w:tcBorders>
              <w:top w:val="nil"/>
              <w:left w:val="nil"/>
              <w:bottom w:val="single" w:color="000000" w:sz="4" w:space="0"/>
              <w:right w:val="single" w:color="000000" w:sz="4" w:space="0"/>
            </w:tcBorders>
            <w:shd w:val="clear" w:color="auto" w:fill="auto"/>
            <w:noWrap/>
            <w:vAlign w:val="center"/>
          </w:tcPr>
          <w:p w14:paraId="3BECF520">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496" w:type="dxa"/>
            <w:tcBorders>
              <w:top w:val="nil"/>
              <w:left w:val="nil"/>
              <w:bottom w:val="single" w:color="000000" w:sz="4" w:space="0"/>
              <w:right w:val="single" w:color="000000" w:sz="4" w:space="0"/>
            </w:tcBorders>
            <w:shd w:val="clear" w:color="auto" w:fill="auto"/>
            <w:noWrap/>
            <w:vAlign w:val="center"/>
          </w:tcPr>
          <w:p w14:paraId="448AB879">
            <w:pPr>
              <w:widowControl/>
              <w:jc w:val="right"/>
              <w:rPr>
                <w:rFonts w:ascii="宋体" w:hAnsi="宋体" w:cs="Arial"/>
                <w:color w:val="000000"/>
                <w:kern w:val="0"/>
                <w:sz w:val="22"/>
              </w:rPr>
            </w:pPr>
            <w:r>
              <w:rPr>
                <w:rFonts w:hint="eastAsia" w:ascii="宋体" w:hAnsi="宋体" w:cs="Arial"/>
                <w:color w:val="000000"/>
                <w:kern w:val="0"/>
                <w:sz w:val="22"/>
              </w:rPr>
              <w:t>　</w:t>
            </w:r>
          </w:p>
        </w:tc>
      </w:tr>
      <w:tr w14:paraId="0CF2AF8F">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65A3097">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2815" w:type="dxa"/>
            <w:tcBorders>
              <w:top w:val="nil"/>
              <w:left w:val="nil"/>
              <w:bottom w:val="single" w:color="000000" w:sz="4" w:space="0"/>
              <w:right w:val="single" w:color="000000" w:sz="4" w:space="0"/>
            </w:tcBorders>
            <w:shd w:val="clear" w:color="auto" w:fill="auto"/>
            <w:noWrap/>
            <w:vAlign w:val="center"/>
          </w:tcPr>
          <w:p w14:paraId="632C98CB">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646" w:type="dxa"/>
            <w:tcBorders>
              <w:top w:val="nil"/>
              <w:left w:val="nil"/>
              <w:bottom w:val="single" w:color="000000" w:sz="4" w:space="0"/>
              <w:right w:val="single" w:color="000000" w:sz="4" w:space="0"/>
            </w:tcBorders>
            <w:shd w:val="clear" w:color="auto" w:fill="auto"/>
            <w:noWrap/>
            <w:vAlign w:val="center"/>
          </w:tcPr>
          <w:p w14:paraId="247877DC">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536" w:type="dxa"/>
            <w:tcBorders>
              <w:top w:val="nil"/>
              <w:left w:val="nil"/>
              <w:bottom w:val="single" w:color="000000" w:sz="4" w:space="0"/>
              <w:right w:val="single" w:color="000000" w:sz="4" w:space="0"/>
            </w:tcBorders>
            <w:shd w:val="clear" w:color="auto" w:fill="auto"/>
            <w:noWrap/>
            <w:vAlign w:val="center"/>
          </w:tcPr>
          <w:p w14:paraId="5CB946CD">
            <w:pPr>
              <w:widowControl/>
              <w:jc w:val="right"/>
              <w:rPr>
                <w:rFonts w:ascii="宋体" w:hAnsi="宋体" w:cs="Arial"/>
                <w:color w:val="000000"/>
                <w:kern w:val="0"/>
                <w:sz w:val="22"/>
              </w:rPr>
            </w:pPr>
            <w:r>
              <w:rPr>
                <w:rFonts w:hint="eastAsia" w:ascii="宋体" w:hAnsi="宋体" w:cs="Arial"/>
                <w:color w:val="000000"/>
                <w:kern w:val="0"/>
                <w:sz w:val="22"/>
              </w:rPr>
              <w:t>276,857.00</w:t>
            </w:r>
          </w:p>
        </w:tc>
        <w:tc>
          <w:tcPr>
            <w:tcW w:w="1496" w:type="dxa"/>
            <w:tcBorders>
              <w:top w:val="nil"/>
              <w:left w:val="nil"/>
              <w:bottom w:val="single" w:color="000000" w:sz="4" w:space="0"/>
              <w:right w:val="single" w:color="000000" w:sz="4" w:space="0"/>
            </w:tcBorders>
            <w:shd w:val="clear" w:color="auto" w:fill="auto"/>
            <w:noWrap/>
            <w:vAlign w:val="center"/>
          </w:tcPr>
          <w:p w14:paraId="64D9D7E4">
            <w:pPr>
              <w:widowControl/>
              <w:jc w:val="right"/>
              <w:rPr>
                <w:rFonts w:ascii="宋体" w:hAnsi="宋体" w:cs="Arial"/>
                <w:color w:val="000000"/>
                <w:kern w:val="0"/>
                <w:sz w:val="22"/>
              </w:rPr>
            </w:pPr>
            <w:r>
              <w:rPr>
                <w:rFonts w:hint="eastAsia" w:ascii="宋体" w:hAnsi="宋体" w:cs="Arial"/>
                <w:color w:val="000000"/>
                <w:kern w:val="0"/>
                <w:sz w:val="22"/>
              </w:rPr>
              <w:t>　</w:t>
            </w:r>
          </w:p>
        </w:tc>
      </w:tr>
      <w:tr w14:paraId="3CECF1D5">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DBB5E8A">
            <w:pPr>
              <w:widowControl/>
              <w:jc w:val="left"/>
              <w:rPr>
                <w:rFonts w:ascii="宋体" w:hAnsi="宋体" w:cs="Arial"/>
                <w:color w:val="000000"/>
                <w:kern w:val="0"/>
                <w:sz w:val="22"/>
              </w:rPr>
            </w:pPr>
            <w:r>
              <w:rPr>
                <w:rFonts w:hint="eastAsia" w:ascii="宋体" w:hAnsi="宋体" w:cs="Arial"/>
                <w:color w:val="000000"/>
                <w:kern w:val="0"/>
                <w:sz w:val="22"/>
              </w:rPr>
              <w:t>229</w:t>
            </w:r>
          </w:p>
        </w:tc>
        <w:tc>
          <w:tcPr>
            <w:tcW w:w="2815" w:type="dxa"/>
            <w:tcBorders>
              <w:top w:val="nil"/>
              <w:left w:val="nil"/>
              <w:bottom w:val="single" w:color="000000" w:sz="4" w:space="0"/>
              <w:right w:val="single" w:color="000000" w:sz="4" w:space="0"/>
            </w:tcBorders>
            <w:shd w:val="clear" w:color="auto" w:fill="auto"/>
            <w:noWrap/>
            <w:vAlign w:val="center"/>
          </w:tcPr>
          <w:p w14:paraId="2513D660">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646" w:type="dxa"/>
            <w:tcBorders>
              <w:top w:val="nil"/>
              <w:left w:val="nil"/>
              <w:bottom w:val="single" w:color="000000" w:sz="4" w:space="0"/>
              <w:right w:val="single" w:color="000000" w:sz="4" w:space="0"/>
            </w:tcBorders>
            <w:shd w:val="clear" w:color="auto" w:fill="auto"/>
            <w:noWrap/>
            <w:vAlign w:val="center"/>
          </w:tcPr>
          <w:p w14:paraId="7ACA597E">
            <w:pPr>
              <w:widowControl/>
              <w:jc w:val="right"/>
              <w:rPr>
                <w:rFonts w:ascii="宋体" w:hAnsi="宋体" w:cs="Arial"/>
                <w:color w:val="000000"/>
                <w:kern w:val="0"/>
                <w:sz w:val="22"/>
              </w:rPr>
            </w:pPr>
            <w:r>
              <w:rPr>
                <w:rFonts w:hint="eastAsia" w:ascii="宋体" w:hAnsi="宋体" w:cs="Arial"/>
                <w:color w:val="000000"/>
                <w:kern w:val="0"/>
                <w:sz w:val="22"/>
              </w:rPr>
              <w:t>1,365,741.71</w:t>
            </w:r>
          </w:p>
        </w:tc>
        <w:tc>
          <w:tcPr>
            <w:tcW w:w="1536" w:type="dxa"/>
            <w:tcBorders>
              <w:top w:val="nil"/>
              <w:left w:val="nil"/>
              <w:bottom w:val="single" w:color="000000" w:sz="4" w:space="0"/>
              <w:right w:val="single" w:color="000000" w:sz="4" w:space="0"/>
            </w:tcBorders>
            <w:shd w:val="clear" w:color="auto" w:fill="auto"/>
            <w:noWrap/>
            <w:vAlign w:val="center"/>
          </w:tcPr>
          <w:p w14:paraId="0A254652">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4062AF30">
            <w:pPr>
              <w:widowControl/>
              <w:jc w:val="right"/>
              <w:rPr>
                <w:rFonts w:ascii="宋体" w:hAnsi="宋体" w:cs="Arial"/>
                <w:color w:val="000000"/>
                <w:kern w:val="0"/>
                <w:sz w:val="22"/>
              </w:rPr>
            </w:pPr>
            <w:r>
              <w:rPr>
                <w:rFonts w:hint="eastAsia" w:ascii="宋体" w:hAnsi="宋体" w:cs="Arial"/>
                <w:color w:val="000000"/>
                <w:kern w:val="0"/>
                <w:sz w:val="22"/>
              </w:rPr>
              <w:t>1,365,741.71</w:t>
            </w:r>
          </w:p>
        </w:tc>
      </w:tr>
      <w:tr w14:paraId="1254AAAB">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C5839D3">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2815" w:type="dxa"/>
            <w:tcBorders>
              <w:top w:val="nil"/>
              <w:left w:val="nil"/>
              <w:bottom w:val="single" w:color="000000" w:sz="4" w:space="0"/>
              <w:right w:val="single" w:color="000000" w:sz="4" w:space="0"/>
            </w:tcBorders>
            <w:shd w:val="clear" w:color="auto" w:fill="auto"/>
            <w:noWrap/>
            <w:vAlign w:val="center"/>
          </w:tcPr>
          <w:p w14:paraId="3DC4CD0D">
            <w:pPr>
              <w:widowControl/>
              <w:jc w:val="left"/>
              <w:rPr>
                <w:rFonts w:ascii="宋体" w:hAnsi="宋体" w:cs="Arial"/>
                <w:color w:val="000000"/>
                <w:kern w:val="0"/>
                <w:sz w:val="22"/>
              </w:rPr>
            </w:pPr>
            <w:r>
              <w:rPr>
                <w:rFonts w:hint="eastAsia" w:ascii="宋体" w:hAnsi="宋体" w:cs="Arial"/>
                <w:color w:val="000000"/>
                <w:kern w:val="0"/>
                <w:sz w:val="22"/>
              </w:rPr>
              <w:t>彩票公益金安排的支出</w:t>
            </w:r>
          </w:p>
        </w:tc>
        <w:tc>
          <w:tcPr>
            <w:tcW w:w="1646" w:type="dxa"/>
            <w:tcBorders>
              <w:top w:val="nil"/>
              <w:left w:val="nil"/>
              <w:bottom w:val="single" w:color="000000" w:sz="4" w:space="0"/>
              <w:right w:val="single" w:color="000000" w:sz="4" w:space="0"/>
            </w:tcBorders>
            <w:shd w:val="clear" w:color="auto" w:fill="auto"/>
            <w:noWrap/>
            <w:vAlign w:val="center"/>
          </w:tcPr>
          <w:p w14:paraId="3454B881">
            <w:pPr>
              <w:widowControl/>
              <w:jc w:val="right"/>
              <w:rPr>
                <w:rFonts w:ascii="宋体" w:hAnsi="宋体" w:cs="Arial"/>
                <w:color w:val="000000"/>
                <w:kern w:val="0"/>
                <w:sz w:val="22"/>
              </w:rPr>
            </w:pPr>
            <w:r>
              <w:rPr>
                <w:rFonts w:hint="eastAsia" w:ascii="宋体" w:hAnsi="宋体" w:cs="Arial"/>
                <w:color w:val="000000"/>
                <w:kern w:val="0"/>
                <w:sz w:val="22"/>
              </w:rPr>
              <w:t>1,365,741.71</w:t>
            </w:r>
          </w:p>
        </w:tc>
        <w:tc>
          <w:tcPr>
            <w:tcW w:w="1536" w:type="dxa"/>
            <w:tcBorders>
              <w:top w:val="nil"/>
              <w:left w:val="nil"/>
              <w:bottom w:val="single" w:color="000000" w:sz="4" w:space="0"/>
              <w:right w:val="single" w:color="000000" w:sz="4" w:space="0"/>
            </w:tcBorders>
            <w:shd w:val="clear" w:color="auto" w:fill="auto"/>
            <w:noWrap/>
            <w:vAlign w:val="center"/>
          </w:tcPr>
          <w:p w14:paraId="7C1AF20D">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5CF41BA6">
            <w:pPr>
              <w:widowControl/>
              <w:jc w:val="right"/>
              <w:rPr>
                <w:rFonts w:ascii="宋体" w:hAnsi="宋体" w:cs="Arial"/>
                <w:color w:val="000000"/>
                <w:kern w:val="0"/>
                <w:sz w:val="22"/>
              </w:rPr>
            </w:pPr>
            <w:r>
              <w:rPr>
                <w:rFonts w:hint="eastAsia" w:ascii="宋体" w:hAnsi="宋体" w:cs="Arial"/>
                <w:color w:val="000000"/>
                <w:kern w:val="0"/>
                <w:sz w:val="22"/>
              </w:rPr>
              <w:t>1,365,741.71</w:t>
            </w:r>
          </w:p>
        </w:tc>
      </w:tr>
      <w:tr w14:paraId="2B020520">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F550258">
            <w:pPr>
              <w:widowControl/>
              <w:jc w:val="left"/>
              <w:rPr>
                <w:rFonts w:ascii="宋体" w:hAnsi="宋体" w:cs="Arial"/>
                <w:color w:val="000000"/>
                <w:kern w:val="0"/>
                <w:sz w:val="22"/>
              </w:rPr>
            </w:pPr>
            <w:r>
              <w:rPr>
                <w:rFonts w:hint="eastAsia" w:ascii="宋体" w:hAnsi="宋体" w:cs="Arial"/>
                <w:color w:val="000000"/>
                <w:kern w:val="0"/>
                <w:sz w:val="22"/>
              </w:rPr>
              <w:t>2296002</w:t>
            </w:r>
          </w:p>
        </w:tc>
        <w:tc>
          <w:tcPr>
            <w:tcW w:w="2815" w:type="dxa"/>
            <w:tcBorders>
              <w:top w:val="nil"/>
              <w:left w:val="nil"/>
              <w:bottom w:val="single" w:color="000000" w:sz="4" w:space="0"/>
              <w:right w:val="single" w:color="000000" w:sz="4" w:space="0"/>
            </w:tcBorders>
            <w:shd w:val="clear" w:color="auto" w:fill="auto"/>
            <w:noWrap/>
            <w:vAlign w:val="center"/>
          </w:tcPr>
          <w:p w14:paraId="68BC4250">
            <w:pPr>
              <w:widowControl/>
              <w:jc w:val="left"/>
              <w:rPr>
                <w:rFonts w:ascii="宋体" w:hAnsi="宋体" w:cs="Arial"/>
                <w:color w:val="000000"/>
                <w:kern w:val="0"/>
                <w:sz w:val="22"/>
              </w:rPr>
            </w:pPr>
            <w:r>
              <w:rPr>
                <w:rFonts w:hint="eastAsia" w:ascii="宋体" w:hAnsi="宋体" w:cs="Arial"/>
                <w:color w:val="000000"/>
                <w:kern w:val="0"/>
                <w:sz w:val="22"/>
              </w:rPr>
              <w:t xml:space="preserve">  用于社会福利的彩票公益金支出</w:t>
            </w:r>
          </w:p>
        </w:tc>
        <w:tc>
          <w:tcPr>
            <w:tcW w:w="1646" w:type="dxa"/>
            <w:tcBorders>
              <w:top w:val="nil"/>
              <w:left w:val="nil"/>
              <w:bottom w:val="single" w:color="000000" w:sz="4" w:space="0"/>
              <w:right w:val="single" w:color="000000" w:sz="4" w:space="0"/>
            </w:tcBorders>
            <w:shd w:val="clear" w:color="auto" w:fill="auto"/>
            <w:noWrap/>
            <w:vAlign w:val="center"/>
          </w:tcPr>
          <w:p w14:paraId="26900C1F">
            <w:pPr>
              <w:widowControl/>
              <w:jc w:val="right"/>
              <w:rPr>
                <w:rFonts w:ascii="宋体" w:hAnsi="宋体" w:cs="Arial"/>
                <w:color w:val="000000"/>
                <w:kern w:val="0"/>
                <w:sz w:val="22"/>
              </w:rPr>
            </w:pPr>
            <w:r>
              <w:rPr>
                <w:rFonts w:hint="eastAsia" w:ascii="宋体" w:hAnsi="宋体" w:cs="Arial"/>
                <w:color w:val="000000"/>
                <w:kern w:val="0"/>
                <w:sz w:val="22"/>
              </w:rPr>
              <w:t>724,520.00</w:t>
            </w:r>
          </w:p>
        </w:tc>
        <w:tc>
          <w:tcPr>
            <w:tcW w:w="1536" w:type="dxa"/>
            <w:tcBorders>
              <w:top w:val="nil"/>
              <w:left w:val="nil"/>
              <w:bottom w:val="single" w:color="000000" w:sz="4" w:space="0"/>
              <w:right w:val="single" w:color="000000" w:sz="4" w:space="0"/>
            </w:tcBorders>
            <w:shd w:val="clear" w:color="auto" w:fill="auto"/>
            <w:noWrap/>
            <w:vAlign w:val="center"/>
          </w:tcPr>
          <w:p w14:paraId="08150050">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4" w:space="0"/>
              <w:right w:val="single" w:color="000000" w:sz="4" w:space="0"/>
            </w:tcBorders>
            <w:shd w:val="clear" w:color="auto" w:fill="auto"/>
            <w:noWrap/>
            <w:vAlign w:val="center"/>
          </w:tcPr>
          <w:p w14:paraId="3647B0F4">
            <w:pPr>
              <w:widowControl/>
              <w:jc w:val="right"/>
              <w:rPr>
                <w:rFonts w:ascii="宋体" w:hAnsi="宋体" w:cs="Arial"/>
                <w:color w:val="000000"/>
                <w:kern w:val="0"/>
                <w:sz w:val="22"/>
              </w:rPr>
            </w:pPr>
            <w:r>
              <w:rPr>
                <w:rFonts w:hint="eastAsia" w:ascii="宋体" w:hAnsi="宋体" w:cs="Arial"/>
                <w:color w:val="000000"/>
                <w:kern w:val="0"/>
                <w:sz w:val="22"/>
              </w:rPr>
              <w:t>724,520.00</w:t>
            </w:r>
          </w:p>
        </w:tc>
      </w:tr>
      <w:tr w14:paraId="3F66E0F6">
        <w:tblPrEx>
          <w:tblCellMar>
            <w:top w:w="0" w:type="dxa"/>
            <w:left w:w="108" w:type="dxa"/>
            <w:bottom w:w="0" w:type="dxa"/>
            <w:right w:w="108" w:type="dxa"/>
          </w:tblCellMar>
        </w:tblPrEx>
        <w:trPr>
          <w:trHeight w:val="309" w:hRule="atLeast"/>
        </w:trPr>
        <w:tc>
          <w:tcPr>
            <w:tcW w:w="1308" w:type="dxa"/>
            <w:gridSpan w:val="3"/>
            <w:tcBorders>
              <w:top w:val="nil"/>
              <w:left w:val="single" w:color="000000" w:sz="4" w:space="0"/>
              <w:bottom w:val="single" w:color="000000" w:sz="8" w:space="0"/>
              <w:right w:val="single" w:color="000000" w:sz="4" w:space="0"/>
            </w:tcBorders>
            <w:shd w:val="clear" w:color="auto" w:fill="auto"/>
            <w:noWrap/>
            <w:vAlign w:val="center"/>
          </w:tcPr>
          <w:p w14:paraId="111F0950">
            <w:pPr>
              <w:widowControl/>
              <w:jc w:val="left"/>
              <w:rPr>
                <w:rFonts w:ascii="宋体" w:hAnsi="宋体" w:cs="Arial"/>
                <w:color w:val="000000"/>
                <w:kern w:val="0"/>
                <w:sz w:val="22"/>
              </w:rPr>
            </w:pPr>
            <w:r>
              <w:rPr>
                <w:rFonts w:hint="eastAsia" w:ascii="宋体" w:hAnsi="宋体" w:cs="Arial"/>
                <w:color w:val="000000"/>
                <w:kern w:val="0"/>
                <w:sz w:val="22"/>
              </w:rPr>
              <w:t>2296013</w:t>
            </w:r>
          </w:p>
        </w:tc>
        <w:tc>
          <w:tcPr>
            <w:tcW w:w="2815" w:type="dxa"/>
            <w:tcBorders>
              <w:top w:val="nil"/>
              <w:left w:val="nil"/>
              <w:bottom w:val="single" w:color="000000" w:sz="8" w:space="0"/>
              <w:right w:val="single" w:color="000000" w:sz="4" w:space="0"/>
            </w:tcBorders>
            <w:shd w:val="clear" w:color="auto" w:fill="auto"/>
            <w:noWrap/>
            <w:vAlign w:val="center"/>
          </w:tcPr>
          <w:p w14:paraId="519C8063">
            <w:pPr>
              <w:widowControl/>
              <w:jc w:val="left"/>
              <w:rPr>
                <w:rFonts w:ascii="宋体" w:hAnsi="宋体" w:cs="Arial"/>
                <w:color w:val="000000"/>
                <w:kern w:val="0"/>
                <w:sz w:val="22"/>
              </w:rPr>
            </w:pPr>
            <w:r>
              <w:rPr>
                <w:rFonts w:hint="eastAsia" w:ascii="宋体" w:hAnsi="宋体" w:cs="Arial"/>
                <w:color w:val="000000"/>
                <w:kern w:val="0"/>
                <w:sz w:val="22"/>
              </w:rPr>
              <w:t xml:space="preserve">  用于城乡医疗救助的彩票公益金支出</w:t>
            </w:r>
          </w:p>
        </w:tc>
        <w:tc>
          <w:tcPr>
            <w:tcW w:w="1646" w:type="dxa"/>
            <w:tcBorders>
              <w:top w:val="nil"/>
              <w:left w:val="nil"/>
              <w:bottom w:val="single" w:color="000000" w:sz="8" w:space="0"/>
              <w:right w:val="single" w:color="000000" w:sz="4" w:space="0"/>
            </w:tcBorders>
            <w:shd w:val="clear" w:color="auto" w:fill="auto"/>
            <w:noWrap/>
            <w:vAlign w:val="center"/>
          </w:tcPr>
          <w:p w14:paraId="24BBEABC">
            <w:pPr>
              <w:widowControl/>
              <w:jc w:val="right"/>
              <w:rPr>
                <w:rFonts w:ascii="宋体" w:hAnsi="宋体" w:cs="Arial"/>
                <w:color w:val="000000"/>
                <w:kern w:val="0"/>
                <w:sz w:val="22"/>
              </w:rPr>
            </w:pPr>
            <w:r>
              <w:rPr>
                <w:rFonts w:hint="eastAsia" w:ascii="宋体" w:hAnsi="宋体" w:cs="Arial"/>
                <w:color w:val="000000"/>
                <w:kern w:val="0"/>
                <w:sz w:val="22"/>
              </w:rPr>
              <w:t>641,221.71</w:t>
            </w:r>
          </w:p>
        </w:tc>
        <w:tc>
          <w:tcPr>
            <w:tcW w:w="1536" w:type="dxa"/>
            <w:tcBorders>
              <w:top w:val="nil"/>
              <w:left w:val="nil"/>
              <w:bottom w:val="single" w:color="000000" w:sz="8" w:space="0"/>
              <w:right w:val="single" w:color="000000" w:sz="4" w:space="0"/>
            </w:tcBorders>
            <w:shd w:val="clear" w:color="auto" w:fill="auto"/>
            <w:noWrap/>
            <w:vAlign w:val="center"/>
          </w:tcPr>
          <w:p w14:paraId="1208AE30">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000000" w:sz="8" w:space="0"/>
              <w:right w:val="single" w:color="000000" w:sz="4" w:space="0"/>
            </w:tcBorders>
            <w:shd w:val="clear" w:color="auto" w:fill="auto"/>
            <w:noWrap/>
            <w:vAlign w:val="center"/>
          </w:tcPr>
          <w:p w14:paraId="27C1BAF7">
            <w:pPr>
              <w:widowControl/>
              <w:jc w:val="right"/>
              <w:rPr>
                <w:rFonts w:ascii="宋体" w:hAnsi="宋体" w:cs="Arial"/>
                <w:color w:val="000000"/>
                <w:kern w:val="0"/>
                <w:sz w:val="22"/>
              </w:rPr>
            </w:pPr>
            <w:r>
              <w:rPr>
                <w:rFonts w:hint="eastAsia" w:ascii="宋体" w:hAnsi="宋体" w:cs="Arial"/>
                <w:color w:val="000000"/>
                <w:kern w:val="0"/>
                <w:sz w:val="22"/>
              </w:rPr>
              <w:t>641,221.71</w:t>
            </w:r>
          </w:p>
        </w:tc>
      </w:tr>
    </w:tbl>
    <w:p w14:paraId="778AEBCE">
      <w:pPr>
        <w:pStyle w:val="46"/>
        <w:spacing w:line="560" w:lineRule="exact"/>
        <w:ind w:firstLine="643"/>
        <w:rPr>
          <w:rFonts w:ascii="Times New Roman" w:hAnsi="Times New Roman" w:eastAsia="楷体"/>
          <w:b/>
          <w:color w:val="000000"/>
          <w:sz w:val="32"/>
          <w:szCs w:val="32"/>
        </w:rPr>
      </w:pPr>
      <w:r>
        <w:rPr>
          <w:rFonts w:ascii="Times New Roman" w:hAnsi="楷体" w:eastAsia="楷体"/>
          <w:b/>
          <w:color w:val="000000"/>
          <w:sz w:val="32"/>
          <w:szCs w:val="32"/>
        </w:rPr>
        <w:t>（三）收入支出预算执行情况。</w:t>
      </w:r>
    </w:p>
    <w:p w14:paraId="7543F46C">
      <w:pPr>
        <w:pStyle w:val="46"/>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2019年结</w:t>
      </w:r>
      <w:r>
        <w:rPr>
          <w:rFonts w:hint="eastAsia" w:ascii="仿宋_GB2312" w:hAnsi="宋体" w:eastAsia="仿宋_GB2312" w:cs="宋体"/>
          <w:color w:val="000000"/>
          <w:sz w:val="32"/>
          <w:szCs w:val="32"/>
        </w:rPr>
        <w:t>转结余</w:t>
      </w:r>
      <w:r>
        <w:rPr>
          <w:rFonts w:ascii="Times New Roman" w:hAnsi="Times New Roman"/>
          <w:color w:val="000000"/>
          <w:sz w:val="32"/>
          <w:szCs w:val="32"/>
        </w:rPr>
        <w:t>1,347,419.44</w:t>
      </w:r>
      <w:r>
        <w:rPr>
          <w:rFonts w:hint="eastAsia" w:ascii="宋体" w:hAnsi="宋体" w:cs="宋体"/>
          <w:color w:val="000000"/>
          <w:sz w:val="32"/>
          <w:szCs w:val="32"/>
        </w:rPr>
        <w:t>元。</w:t>
      </w:r>
      <w:r>
        <w:rPr>
          <w:rFonts w:ascii="Times New Roman" w:hAnsi="Times New Roman" w:eastAsia="仿宋_GB2312"/>
          <w:color w:val="000000"/>
          <w:sz w:val="32"/>
          <w:szCs w:val="32"/>
        </w:rPr>
        <w:t>2020</w:t>
      </w:r>
      <w:r>
        <w:rPr>
          <w:rFonts w:ascii="Times New Roman" w:hAnsi="仿宋_GB2312" w:eastAsia="仿宋_GB2312"/>
          <w:color w:val="000000"/>
          <w:sz w:val="32"/>
          <w:szCs w:val="32"/>
        </w:rPr>
        <w:t>年本年收入</w:t>
      </w:r>
      <w:r>
        <w:rPr>
          <w:rFonts w:ascii="Times New Roman" w:hAnsi="Times New Roman" w:eastAsia="仿宋_GB2312"/>
          <w:color w:val="000000"/>
          <w:sz w:val="32"/>
          <w:szCs w:val="32"/>
        </w:rPr>
        <w:t>18,814,516.49</w:t>
      </w:r>
      <w:r>
        <w:rPr>
          <w:rFonts w:ascii="Times New Roman" w:hAnsi="仿宋_GB2312" w:eastAsia="仿宋_GB2312"/>
          <w:color w:val="000000"/>
          <w:sz w:val="32"/>
          <w:szCs w:val="32"/>
        </w:rPr>
        <w:t>元，支出</w:t>
      </w:r>
      <w:r>
        <w:rPr>
          <w:rFonts w:ascii="Times New Roman" w:hAnsi="Times New Roman" w:eastAsia="仿宋_GB2312"/>
          <w:color w:val="000000"/>
          <w:sz w:val="32"/>
          <w:szCs w:val="32"/>
        </w:rPr>
        <w:t>20,161,935.93</w:t>
      </w:r>
      <w:r>
        <w:rPr>
          <w:rFonts w:ascii="Times New Roman" w:hAnsi="仿宋_GB2312" w:eastAsia="仿宋_GB2312"/>
          <w:color w:val="000000"/>
          <w:sz w:val="32"/>
          <w:szCs w:val="32"/>
        </w:rPr>
        <w:t>元，与上年度收入</w:t>
      </w:r>
      <w:r>
        <w:rPr>
          <w:rFonts w:ascii="Times New Roman" w:hAnsi="Times New Roman" w:eastAsia="仿宋_GB2312"/>
          <w:color w:val="000000"/>
          <w:sz w:val="32"/>
          <w:szCs w:val="32"/>
        </w:rPr>
        <w:t>7,876,774.46</w:t>
      </w:r>
      <w:r>
        <w:rPr>
          <w:rFonts w:ascii="Times New Roman" w:hAnsi="仿宋_GB2312" w:eastAsia="仿宋_GB2312"/>
          <w:color w:val="000000"/>
          <w:sz w:val="32"/>
          <w:szCs w:val="32"/>
        </w:rPr>
        <w:t>元，增加了</w:t>
      </w:r>
      <w:r>
        <w:rPr>
          <w:rFonts w:ascii="Times New Roman" w:hAnsi="Times New Roman" w:eastAsia="仿宋_GB2312"/>
          <w:color w:val="000000"/>
          <w:sz w:val="32"/>
          <w:szCs w:val="32"/>
        </w:rPr>
        <w:t>10,937,742.03</w:t>
      </w:r>
      <w:r>
        <w:rPr>
          <w:rFonts w:ascii="Times New Roman" w:hAnsi="仿宋_GB2312" w:eastAsia="仿宋_GB2312"/>
          <w:color w:val="000000"/>
          <w:sz w:val="32"/>
          <w:szCs w:val="32"/>
        </w:rPr>
        <w:t>元，增加了</w:t>
      </w:r>
      <w:r>
        <w:rPr>
          <w:rFonts w:ascii="Times New Roman" w:hAnsi="Times New Roman" w:eastAsia="仿宋_GB2312"/>
          <w:color w:val="000000"/>
          <w:sz w:val="32"/>
          <w:szCs w:val="32"/>
        </w:rPr>
        <w:t>138.86%</w:t>
      </w:r>
      <w:r>
        <w:rPr>
          <w:rFonts w:ascii="Times New Roman" w:hAnsi="仿宋_GB2312" w:eastAsia="仿宋_GB2312"/>
          <w:color w:val="000000"/>
          <w:sz w:val="32"/>
          <w:szCs w:val="32"/>
        </w:rPr>
        <w:t>；支出与上年支出</w:t>
      </w:r>
      <w:r>
        <w:rPr>
          <w:rFonts w:ascii="Times New Roman" w:hAnsi="Times New Roman" w:eastAsia="仿宋_GB2312"/>
          <w:color w:val="000000"/>
          <w:sz w:val="32"/>
          <w:szCs w:val="32"/>
        </w:rPr>
        <w:t>7,876,774.46</w:t>
      </w:r>
      <w:r>
        <w:rPr>
          <w:rFonts w:ascii="Times New Roman" w:hAnsi="仿宋_GB2312" w:eastAsia="仿宋_GB2312"/>
          <w:color w:val="000000"/>
          <w:sz w:val="32"/>
          <w:szCs w:val="32"/>
        </w:rPr>
        <w:t>元，增加了</w:t>
      </w:r>
      <w:r>
        <w:rPr>
          <w:rFonts w:ascii="Times New Roman" w:hAnsi="Times New Roman" w:eastAsia="仿宋_GB2312"/>
          <w:color w:val="000000"/>
          <w:sz w:val="32"/>
          <w:szCs w:val="32"/>
        </w:rPr>
        <w:t>12,285,161.47</w:t>
      </w:r>
      <w:r>
        <w:rPr>
          <w:rFonts w:ascii="Times New Roman" w:hAnsi="仿宋_GB2312" w:eastAsia="仿宋_GB2312"/>
          <w:color w:val="000000"/>
          <w:sz w:val="32"/>
          <w:szCs w:val="32"/>
        </w:rPr>
        <w:t>元，增加了</w:t>
      </w:r>
      <w:r>
        <w:rPr>
          <w:rFonts w:ascii="Times New Roman" w:hAnsi="Times New Roman" w:eastAsia="仿宋_GB2312"/>
          <w:color w:val="000000"/>
          <w:sz w:val="32"/>
          <w:szCs w:val="32"/>
        </w:rPr>
        <w:t>155.97%</w:t>
      </w:r>
      <w:r>
        <w:rPr>
          <w:rFonts w:ascii="Times New Roman" w:hAnsi="仿宋_GB2312" w:eastAsia="仿宋_GB2312"/>
          <w:color w:val="000000"/>
          <w:sz w:val="32"/>
          <w:szCs w:val="32"/>
        </w:rPr>
        <w:t>；增加的主要原因是医保事务中心</w:t>
      </w:r>
      <w:r>
        <w:rPr>
          <w:rFonts w:hint="eastAsia" w:ascii="Times New Roman" w:hAnsi="仿宋_GB2312" w:eastAsia="仿宋_GB2312"/>
          <w:color w:val="000000"/>
          <w:sz w:val="32"/>
          <w:szCs w:val="32"/>
        </w:rPr>
        <w:t>财务</w:t>
      </w:r>
      <w:r>
        <w:rPr>
          <w:rFonts w:ascii="Times New Roman" w:hAnsi="仿宋_GB2312" w:eastAsia="仿宋_GB2312"/>
          <w:color w:val="000000"/>
          <w:sz w:val="32"/>
          <w:szCs w:val="32"/>
        </w:rPr>
        <w:t>和医保局</w:t>
      </w:r>
      <w:r>
        <w:rPr>
          <w:rFonts w:hint="eastAsia" w:ascii="Times New Roman" w:hAnsi="仿宋_GB2312" w:eastAsia="仿宋_GB2312"/>
          <w:color w:val="000000"/>
          <w:sz w:val="32"/>
          <w:szCs w:val="32"/>
        </w:rPr>
        <w:t>进行了</w:t>
      </w:r>
      <w:r>
        <w:rPr>
          <w:rFonts w:ascii="Times New Roman" w:hAnsi="仿宋_GB2312" w:eastAsia="仿宋_GB2312"/>
          <w:color w:val="000000"/>
          <w:sz w:val="32"/>
          <w:szCs w:val="32"/>
        </w:rPr>
        <w:t>合并。</w:t>
      </w:r>
    </w:p>
    <w:p w14:paraId="1B25F708">
      <w:pPr>
        <w:spacing w:line="560" w:lineRule="exact"/>
        <w:ind w:firstLine="630" w:firstLineChars="196"/>
        <w:rPr>
          <w:rFonts w:eastAsia="楷体"/>
          <w:b/>
          <w:color w:val="000000"/>
          <w:sz w:val="32"/>
          <w:szCs w:val="32"/>
        </w:rPr>
      </w:pPr>
      <w:r>
        <w:rPr>
          <w:rFonts w:eastAsia="楷体"/>
          <w:b/>
          <w:color w:val="000000"/>
          <w:sz w:val="32"/>
          <w:szCs w:val="32"/>
        </w:rPr>
        <w:t>（四）结转和结余情况。</w:t>
      </w:r>
    </w:p>
    <w:p w14:paraId="0FCA09E7">
      <w:pPr>
        <w:spacing w:line="560" w:lineRule="exact"/>
        <w:ind w:firstLine="780" w:firstLineChars="244"/>
        <w:rPr>
          <w:rFonts w:eastAsia="楷体"/>
          <w:b/>
          <w:color w:val="000000"/>
          <w:sz w:val="32"/>
          <w:szCs w:val="32"/>
        </w:rPr>
      </w:pPr>
      <w:r>
        <w:rPr>
          <w:rFonts w:hint="eastAsia" w:hAnsi="仿宋_GB2312" w:eastAsia="仿宋_GB2312"/>
          <w:color w:val="000000"/>
          <w:sz w:val="32"/>
          <w:szCs w:val="32"/>
        </w:rPr>
        <w:t>2020</w:t>
      </w:r>
      <w:r>
        <w:rPr>
          <w:rFonts w:hAnsi="仿宋_GB2312" w:eastAsia="仿宋_GB2312"/>
          <w:color w:val="000000"/>
          <w:sz w:val="32"/>
          <w:szCs w:val="32"/>
        </w:rPr>
        <w:t>年</w:t>
      </w:r>
      <w:r>
        <w:rPr>
          <w:rFonts w:hint="eastAsia" w:hAnsi="仿宋_GB2312" w:eastAsia="仿宋_GB2312"/>
          <w:color w:val="000000"/>
          <w:sz w:val="32"/>
          <w:szCs w:val="32"/>
        </w:rPr>
        <w:t>年</w:t>
      </w:r>
      <w:r>
        <w:rPr>
          <w:rFonts w:hAnsi="仿宋_GB2312" w:eastAsia="仿宋_GB2312"/>
          <w:color w:val="000000"/>
          <w:sz w:val="32"/>
          <w:szCs w:val="32"/>
        </w:rPr>
        <w:t>终结转结余</w:t>
      </w:r>
      <w:r>
        <w:rPr>
          <w:rFonts w:eastAsia="仿宋_GB2312"/>
          <w:color w:val="000000"/>
          <w:sz w:val="32"/>
          <w:szCs w:val="32"/>
        </w:rPr>
        <w:t>139,105.69</w:t>
      </w:r>
      <w:r>
        <w:rPr>
          <w:rFonts w:hAnsi="仿宋_GB2312" w:eastAsia="仿宋_GB2312"/>
          <w:color w:val="000000"/>
          <w:sz w:val="32"/>
          <w:szCs w:val="32"/>
        </w:rPr>
        <w:t>元，主要是</w:t>
      </w:r>
      <w:r>
        <w:rPr>
          <w:rFonts w:eastAsia="仿宋_GB2312"/>
          <w:color w:val="000000"/>
          <w:sz w:val="32"/>
          <w:szCs w:val="32"/>
        </w:rPr>
        <w:t>2017</w:t>
      </w:r>
      <w:r>
        <w:rPr>
          <w:rFonts w:hAnsi="仿宋_GB2312" w:eastAsia="仿宋_GB2312"/>
          <w:color w:val="000000"/>
          <w:sz w:val="32"/>
          <w:szCs w:val="32"/>
        </w:rPr>
        <w:t>年医保监管工作经费资金结转结余。</w:t>
      </w:r>
    </w:p>
    <w:p w14:paraId="6A53D4E1">
      <w:pPr>
        <w:spacing w:line="560" w:lineRule="exact"/>
        <w:ind w:firstLine="780" w:firstLineChars="244"/>
        <w:rPr>
          <w:rFonts w:eastAsia="黑体"/>
          <w:color w:val="000000"/>
          <w:sz w:val="32"/>
          <w:szCs w:val="32"/>
        </w:rPr>
      </w:pPr>
      <w:r>
        <w:rPr>
          <w:rStyle w:val="40"/>
          <w:rFonts w:hint="default"/>
        </w:rPr>
        <w:t>四、部门财政支出管理情况</w:t>
      </w:r>
    </w:p>
    <w:p w14:paraId="0F1A6CE9">
      <w:pPr>
        <w:spacing w:line="560" w:lineRule="exact"/>
        <w:ind w:firstLine="774" w:firstLineChars="241"/>
        <w:rPr>
          <w:rFonts w:eastAsia="楷体"/>
          <w:b/>
          <w:color w:val="000000"/>
          <w:sz w:val="32"/>
          <w:szCs w:val="32"/>
        </w:rPr>
      </w:pPr>
      <w:r>
        <w:rPr>
          <w:rFonts w:eastAsia="楷体"/>
          <w:b/>
          <w:color w:val="000000"/>
          <w:sz w:val="32"/>
          <w:szCs w:val="32"/>
        </w:rPr>
        <w:t>（一）专项资金分配情况。</w:t>
      </w:r>
    </w:p>
    <w:p w14:paraId="2FA8E68B">
      <w:pPr>
        <w:spacing w:line="560" w:lineRule="exact"/>
        <w:ind w:firstLine="640" w:firstLineChars="200"/>
        <w:rPr>
          <w:rStyle w:val="44"/>
          <w:rFonts w:eastAsia="仿宋_GB2312"/>
        </w:rPr>
      </w:pPr>
      <w:r>
        <w:rPr>
          <w:rFonts w:eastAsia="仿宋_GB2312"/>
          <w:color w:val="000000"/>
          <w:sz w:val="32"/>
          <w:szCs w:val="32"/>
        </w:rPr>
        <w:t>米易县医疗保障局202</w:t>
      </w:r>
      <w:r>
        <w:rPr>
          <w:rFonts w:hint="eastAsia" w:eastAsia="仿宋_GB2312"/>
          <w:color w:val="000000"/>
          <w:sz w:val="32"/>
          <w:szCs w:val="32"/>
        </w:rPr>
        <w:t>0</w:t>
      </w:r>
      <w:r>
        <w:rPr>
          <w:rFonts w:eastAsia="仿宋_GB2312"/>
          <w:color w:val="000000"/>
          <w:sz w:val="32"/>
          <w:szCs w:val="32"/>
        </w:rPr>
        <w:t>年</w:t>
      </w:r>
      <w:r>
        <w:rPr>
          <w:rFonts w:hint="eastAsia" w:eastAsia="仿宋_GB2312"/>
          <w:color w:val="000000"/>
          <w:sz w:val="32"/>
          <w:szCs w:val="32"/>
        </w:rPr>
        <w:t>年初</w:t>
      </w:r>
      <w:r>
        <w:rPr>
          <w:rFonts w:eastAsia="仿宋_GB2312"/>
          <w:color w:val="000000"/>
          <w:sz w:val="32"/>
          <w:szCs w:val="32"/>
        </w:rPr>
        <w:t>预算项目支出4个,预算资金总额共计174.7万元，项目绩效目标编制率为100%。一是医保工作专项经费11.7万元。二是 “村医通”专项工作经费6.5万元。三是离休、二等乙级伤残军人和伤残人民警察、建国初期参加革命工作人员医疗费用150万元。四是办公室物业管理费6.5万元。</w:t>
      </w:r>
      <w:r>
        <w:rPr>
          <w:rFonts w:hint="eastAsia" w:eastAsia="仿宋_GB2312"/>
          <w:color w:val="000000"/>
          <w:sz w:val="32"/>
          <w:szCs w:val="32"/>
        </w:rPr>
        <w:t>年中追加财政代缴建档立卡贫困人口城乡居民医疗保险个人缴费570.97万元和城乡医疗救助补助资金954.5万元项目预算</w:t>
      </w:r>
    </w:p>
    <w:p w14:paraId="68A060E2">
      <w:pPr>
        <w:spacing w:line="560" w:lineRule="exact"/>
        <w:ind w:firstLine="643" w:firstLineChars="200"/>
        <w:rPr>
          <w:rFonts w:eastAsia="仿宋_GB2312"/>
          <w:b/>
          <w:bCs/>
          <w:color w:val="000000"/>
          <w:sz w:val="32"/>
          <w:szCs w:val="32"/>
        </w:rPr>
      </w:pPr>
      <w:r>
        <w:rPr>
          <w:rFonts w:eastAsia="楷体"/>
          <w:b/>
          <w:color w:val="000000"/>
          <w:sz w:val="32"/>
          <w:szCs w:val="32"/>
        </w:rPr>
        <w:t>（二）资产管理。</w:t>
      </w:r>
    </w:p>
    <w:p w14:paraId="086D46DB">
      <w:pPr>
        <w:pStyle w:val="46"/>
        <w:spacing w:line="560" w:lineRule="exact"/>
        <w:ind w:firstLine="640"/>
        <w:rPr>
          <w:rFonts w:ascii="Times New Roman" w:hAnsi="仿宋_GB2312" w:eastAsia="仿宋_GB2312"/>
          <w:color w:val="000000"/>
          <w:sz w:val="32"/>
          <w:szCs w:val="32"/>
        </w:rPr>
      </w:pPr>
      <w:r>
        <w:rPr>
          <w:rFonts w:ascii="Times New Roman" w:hAnsi="Times New Roman" w:eastAsia="仿宋_GB2312"/>
          <w:color w:val="000000"/>
          <w:sz w:val="32"/>
          <w:szCs w:val="32"/>
        </w:rPr>
        <w:t>本单位建立健全资产配置标准体系和资产管理使用制度。资产配置标准严格按照相关文件规定标准进行采购。为了推进党政机关厉行节约反对浪费，本单位即使在国有资产已到达规定使用年限但凡还能继续使用时都将继续使用至完全拟报废为止。2020</w:t>
      </w:r>
      <w:r>
        <w:rPr>
          <w:rFonts w:ascii="Times New Roman" w:hAnsi="仿宋_GB2312" w:eastAsia="仿宋_GB2312"/>
          <w:color w:val="000000"/>
          <w:sz w:val="32"/>
          <w:szCs w:val="32"/>
        </w:rPr>
        <w:t>年资产总计</w:t>
      </w:r>
      <w:r>
        <w:rPr>
          <w:rFonts w:ascii="Times New Roman" w:hAnsi="Times New Roman" w:eastAsia="仿宋_GB2312"/>
          <w:color w:val="000000"/>
          <w:sz w:val="32"/>
          <w:szCs w:val="32"/>
        </w:rPr>
        <w:t>762,549.76</w:t>
      </w:r>
      <w:r>
        <w:rPr>
          <w:rFonts w:ascii="Times New Roman" w:hAnsi="仿宋_GB2312" w:eastAsia="仿宋_GB2312"/>
          <w:color w:val="000000"/>
          <w:sz w:val="32"/>
          <w:szCs w:val="32"/>
        </w:rPr>
        <w:t>元，比上年</w:t>
      </w:r>
      <w:r>
        <w:rPr>
          <w:rFonts w:ascii="Times New Roman" w:hAnsi="Times New Roman" w:eastAsia="仿宋_GB2312"/>
          <w:color w:val="000000"/>
          <w:sz w:val="32"/>
          <w:szCs w:val="32"/>
        </w:rPr>
        <w:t>1,207,419.44</w:t>
      </w:r>
      <w:r>
        <w:rPr>
          <w:rFonts w:ascii="Times New Roman" w:hAnsi="仿宋_GB2312" w:eastAsia="仿宋_GB2312"/>
          <w:color w:val="000000"/>
          <w:sz w:val="32"/>
          <w:szCs w:val="32"/>
        </w:rPr>
        <w:t>元</w:t>
      </w:r>
      <w:r>
        <w:rPr>
          <w:rFonts w:ascii="Times New Roman" w:hAnsi="Times New Roman" w:eastAsia="仿宋_GB2312"/>
          <w:color w:val="000000"/>
          <w:sz w:val="32"/>
          <w:szCs w:val="32"/>
        </w:rPr>
        <w:t>,</w:t>
      </w:r>
      <w:r>
        <w:rPr>
          <w:rFonts w:ascii="Times New Roman" w:hAnsi="仿宋_GB2312" w:eastAsia="仿宋_GB2312"/>
          <w:color w:val="000000"/>
          <w:sz w:val="32"/>
          <w:szCs w:val="32"/>
        </w:rPr>
        <w:t>减少</w:t>
      </w:r>
      <w:r>
        <w:rPr>
          <w:rFonts w:ascii="Times New Roman" w:hAnsi="Times New Roman" w:eastAsia="仿宋_GB2312"/>
          <w:color w:val="000000"/>
          <w:sz w:val="32"/>
          <w:szCs w:val="32"/>
        </w:rPr>
        <w:t>36.84%</w:t>
      </w:r>
      <w:r>
        <w:rPr>
          <w:rFonts w:ascii="Times New Roman" w:hAnsi="仿宋_GB2312" w:eastAsia="仿宋_GB2312"/>
          <w:color w:val="000000"/>
          <w:sz w:val="32"/>
          <w:szCs w:val="32"/>
        </w:rPr>
        <w:t>，其中：货币资金</w:t>
      </w:r>
      <w:r>
        <w:rPr>
          <w:rFonts w:ascii="Times New Roman" w:hAnsi="Times New Roman" w:eastAsia="仿宋_GB2312"/>
          <w:color w:val="000000"/>
          <w:sz w:val="32"/>
          <w:szCs w:val="32"/>
        </w:rPr>
        <w:t>294,965.93</w:t>
      </w:r>
      <w:r>
        <w:rPr>
          <w:rFonts w:ascii="Times New Roman" w:hAnsi="仿宋_GB2312" w:eastAsia="仿宋_GB2312"/>
          <w:color w:val="000000"/>
          <w:sz w:val="32"/>
          <w:szCs w:val="32"/>
        </w:rPr>
        <w:t>元，固定资产净值</w:t>
      </w:r>
      <w:r>
        <w:rPr>
          <w:rFonts w:ascii="Times New Roman" w:hAnsi="Times New Roman" w:eastAsia="仿宋_GB2312"/>
          <w:color w:val="000000"/>
          <w:sz w:val="32"/>
          <w:szCs w:val="32"/>
        </w:rPr>
        <w:t>26,798.90</w:t>
      </w:r>
      <w:r>
        <w:rPr>
          <w:rFonts w:ascii="Times New Roman" w:hAnsi="仿宋_GB2312" w:eastAsia="仿宋_GB2312"/>
          <w:color w:val="000000"/>
          <w:sz w:val="32"/>
          <w:szCs w:val="32"/>
        </w:rPr>
        <w:t>元，净资产中累计盈余</w:t>
      </w:r>
      <w:r>
        <w:rPr>
          <w:rFonts w:ascii="Times New Roman" w:hAnsi="Times New Roman" w:eastAsia="仿宋_GB2312"/>
          <w:color w:val="000000"/>
          <w:sz w:val="32"/>
          <w:szCs w:val="32"/>
        </w:rPr>
        <w:t>165,904.59</w:t>
      </w:r>
      <w:r>
        <w:rPr>
          <w:rFonts w:ascii="Times New Roman" w:hAnsi="仿宋_GB2312" w:eastAsia="仿宋_GB2312"/>
          <w:color w:val="000000"/>
          <w:sz w:val="32"/>
          <w:szCs w:val="32"/>
        </w:rPr>
        <w:t>元，比上年减少</w:t>
      </w:r>
      <w:r>
        <w:rPr>
          <w:rFonts w:ascii="Times New Roman" w:hAnsi="Times New Roman" w:eastAsia="仿宋_GB2312"/>
          <w:color w:val="000000"/>
          <w:sz w:val="32"/>
          <w:szCs w:val="32"/>
        </w:rPr>
        <w:t>86.25%</w:t>
      </w:r>
      <w:r>
        <w:rPr>
          <w:rFonts w:ascii="Times New Roman" w:hAnsi="仿宋_GB2312" w:eastAsia="仿宋_GB2312"/>
          <w:color w:val="000000"/>
          <w:sz w:val="32"/>
          <w:szCs w:val="32"/>
        </w:rPr>
        <w:t>。</w:t>
      </w:r>
    </w:p>
    <w:p w14:paraId="216A406C">
      <w:pPr>
        <w:pStyle w:val="46"/>
        <w:spacing w:line="560" w:lineRule="exact"/>
        <w:ind w:firstLine="643"/>
        <w:rPr>
          <w:rFonts w:ascii="Times New Roman" w:hAnsi="Times New Roman" w:eastAsia="楷体"/>
          <w:b/>
          <w:color w:val="000000"/>
          <w:sz w:val="32"/>
          <w:szCs w:val="32"/>
        </w:rPr>
      </w:pPr>
      <w:r>
        <w:rPr>
          <w:rFonts w:ascii="Times New Roman" w:hAnsi="Times New Roman" w:eastAsia="楷体"/>
          <w:b/>
          <w:color w:val="000000"/>
          <w:sz w:val="32"/>
          <w:szCs w:val="32"/>
        </w:rPr>
        <w:t>（三）内控制度管理。</w:t>
      </w:r>
    </w:p>
    <w:p w14:paraId="0C7D6FB6">
      <w:pPr>
        <w:pStyle w:val="46"/>
        <w:spacing w:line="560" w:lineRule="exact"/>
        <w:ind w:firstLine="643"/>
        <w:rPr>
          <w:rFonts w:ascii="Times New Roman" w:hAnsi="Times New Roman" w:eastAsia="仿宋_GB2312"/>
          <w:color w:val="000000"/>
          <w:sz w:val="32"/>
          <w:szCs w:val="32"/>
        </w:rPr>
      </w:pPr>
      <w:r>
        <w:rPr>
          <w:rFonts w:ascii="Times New Roman" w:hAnsi="Times New Roman" w:eastAsia="仿宋_GB2312"/>
          <w:b/>
          <w:color w:val="000000"/>
          <w:sz w:val="32"/>
          <w:szCs w:val="32"/>
        </w:rPr>
        <w:t>（1）内部控制制度的设置及执行情况。</w:t>
      </w:r>
      <w:r>
        <w:rPr>
          <w:rFonts w:ascii="Times New Roman" w:hAnsi="Times New Roman" w:eastAsia="仿宋_GB2312"/>
          <w:color w:val="000000"/>
          <w:sz w:val="32"/>
          <w:szCs w:val="32"/>
        </w:rPr>
        <w:t>一是单位层面内控建设。成立单位内控领导小组及工作小组;明确内控建设牵头责任人及主体责任。二是业务层面内控建设。内控建设涵盖预算管理、收支管理、政府采购管理、国有资产管理、合同管理、建设项目管理等主要经济业务领域;按照分事行权、分岗设权、分级授权要求落实不相容岗位分离和定期轮岗等内部权力制衡基本举措;是否建立决策权、管理权、执行权和监督权“四权分立”机制;建立重大事项议事决策机制，建立健全集体研究、专家论证和技术咨询相结合的辅助决策机制。三是自我评价监督及信息化建设。建立经济活动风险定期评估和内部监督机制;执行内控报告制度，开展内控自我评价工作;通过信息化手段实现内部控制制度与信息化建设工作同步开展、相互促进。</w:t>
      </w:r>
    </w:p>
    <w:p w14:paraId="1A15A7D2">
      <w:pPr>
        <w:pStyle w:val="46"/>
        <w:spacing w:line="560" w:lineRule="exact"/>
        <w:ind w:firstLine="643"/>
        <w:rPr>
          <w:rFonts w:ascii="Times New Roman" w:hAnsi="Times New Roman" w:eastAsia="仿宋_GB2312"/>
          <w:color w:val="000000"/>
          <w:sz w:val="32"/>
          <w:szCs w:val="32"/>
        </w:rPr>
      </w:pPr>
      <w:r>
        <w:rPr>
          <w:rFonts w:ascii="Times New Roman" w:hAnsi="Times New Roman" w:eastAsia="仿宋_GB2312"/>
          <w:b/>
          <w:color w:val="000000"/>
          <w:sz w:val="32"/>
          <w:szCs w:val="32"/>
        </w:rPr>
        <w:t>（2）部门内部控制制度的执行。</w:t>
      </w:r>
      <w:r>
        <w:rPr>
          <w:rFonts w:ascii="Times New Roman" w:hAnsi="Times New Roman" w:eastAsia="仿宋_GB2312"/>
          <w:color w:val="000000"/>
          <w:sz w:val="32"/>
          <w:szCs w:val="32"/>
        </w:rPr>
        <w:t>我单位根据规定编制了内部控制手册，对资金的收入、支出，财务报销，采购等环节都具体的制作了想关流程和管理制度，会计、出纳业务做到不相容岗位分离，合理规避财务风险。</w:t>
      </w:r>
    </w:p>
    <w:p w14:paraId="59E620B7">
      <w:pPr>
        <w:pStyle w:val="46"/>
        <w:spacing w:line="560" w:lineRule="exact"/>
        <w:ind w:firstLine="643"/>
        <w:rPr>
          <w:rFonts w:ascii="Times New Roman" w:hAnsi="Times New Roman" w:eastAsia="楷体"/>
          <w:b/>
          <w:color w:val="000000"/>
          <w:sz w:val="32"/>
          <w:szCs w:val="32"/>
        </w:rPr>
      </w:pPr>
      <w:r>
        <w:rPr>
          <w:rFonts w:ascii="Times New Roman" w:hAnsi="Times New Roman" w:eastAsia="楷体"/>
          <w:b/>
          <w:color w:val="000000"/>
          <w:sz w:val="32"/>
          <w:szCs w:val="32"/>
        </w:rPr>
        <w:t>（四）信息公开。</w:t>
      </w:r>
    </w:p>
    <w:p w14:paraId="708359BE">
      <w:pPr>
        <w:pStyle w:val="46"/>
        <w:spacing w:line="560" w:lineRule="exact"/>
        <w:ind w:firstLine="643"/>
        <w:rPr>
          <w:rFonts w:ascii="Times New Roman" w:hAnsi="Times New Roman" w:eastAsia="仿宋_GB2312"/>
          <w:color w:val="000000"/>
          <w:sz w:val="32"/>
          <w:szCs w:val="32"/>
        </w:rPr>
      </w:pPr>
      <w:r>
        <w:rPr>
          <w:rFonts w:ascii="Times New Roman" w:hAnsi="Times New Roman" w:eastAsia="仿宋_GB2312"/>
          <w:b/>
          <w:color w:val="000000"/>
          <w:sz w:val="32"/>
          <w:szCs w:val="32"/>
        </w:rPr>
        <w:t>1.</w:t>
      </w:r>
      <w:r>
        <w:rPr>
          <w:rFonts w:ascii="Times New Roman" w:hAnsi="Times New Roman" w:eastAsia="仿宋_GB2312"/>
          <w:color w:val="000000"/>
          <w:sz w:val="32"/>
          <w:szCs w:val="32"/>
        </w:rPr>
        <w:t>及时公开预算相关内容。按照米易县财政局的要求,我局于2020年7月17日对2020年预算进行了公开，于2020年9月2日对2019年部门决算进行了公开，确保了在本级政府财政部门批复后20日内及时向社会公开。</w:t>
      </w:r>
    </w:p>
    <w:p w14:paraId="6A82ED74">
      <w:pPr>
        <w:pStyle w:val="46"/>
        <w:spacing w:line="560" w:lineRule="exact"/>
        <w:ind w:firstLine="643"/>
        <w:rPr>
          <w:rFonts w:ascii="Times New Roman" w:hAnsi="Times New Roman" w:eastAsia="仿宋_GB2312"/>
          <w:color w:val="000000"/>
          <w:sz w:val="32"/>
          <w:szCs w:val="32"/>
        </w:rPr>
      </w:pPr>
      <w:r>
        <w:rPr>
          <w:rFonts w:ascii="Times New Roman" w:hAnsi="Times New Roman" w:eastAsia="仿宋_GB2312"/>
          <w:b/>
          <w:color w:val="000000"/>
          <w:sz w:val="32"/>
          <w:szCs w:val="32"/>
        </w:rPr>
        <w:t>2.</w:t>
      </w:r>
      <w:r>
        <w:rPr>
          <w:rFonts w:ascii="Times New Roman" w:hAnsi="Times New Roman" w:eastAsia="仿宋_GB2312"/>
          <w:color w:val="000000"/>
          <w:sz w:val="32"/>
          <w:szCs w:val="32"/>
        </w:rPr>
        <w:t>规范公开形式。我局按照米易县财政局要求, 我局及时在米易县人民政府官方网站公开了2020年度的部门预算信息。</w:t>
      </w:r>
    </w:p>
    <w:p w14:paraId="2D4E225A">
      <w:pPr>
        <w:spacing w:line="560" w:lineRule="exact"/>
        <w:ind w:firstLine="640" w:firstLineChars="200"/>
        <w:rPr>
          <w:rFonts w:eastAsia="仿宋_GB2312"/>
          <w:color w:val="000000"/>
          <w:sz w:val="32"/>
          <w:szCs w:val="32"/>
        </w:rPr>
      </w:pPr>
      <w:r>
        <w:rPr>
          <w:rFonts w:eastAsia="仿宋_GB2312"/>
          <w:color w:val="000000"/>
          <w:sz w:val="32"/>
          <w:szCs w:val="32"/>
        </w:rPr>
        <w:t>3. 做到决算公开内容真实。在网上公开之前,我局严格按照《会计准则》等财务制度编制决算报表，并通过分管领导审核、主要领导审定等程序,确保公开内容真实无差错。</w:t>
      </w:r>
    </w:p>
    <w:p w14:paraId="7DEAF320">
      <w:pPr>
        <w:spacing w:line="560" w:lineRule="exact"/>
        <w:ind w:firstLine="643" w:firstLineChars="200"/>
        <w:rPr>
          <w:rFonts w:eastAsia="仿宋_GB2312"/>
          <w:color w:val="000000"/>
          <w:sz w:val="32"/>
          <w:szCs w:val="32"/>
        </w:rPr>
      </w:pPr>
      <w:r>
        <w:rPr>
          <w:rFonts w:eastAsia="楷体"/>
          <w:b/>
          <w:color w:val="000000"/>
          <w:sz w:val="32"/>
          <w:szCs w:val="32"/>
        </w:rPr>
        <w:t>（五）绩效监控。</w:t>
      </w:r>
    </w:p>
    <w:p w14:paraId="446155BA">
      <w:pPr>
        <w:pStyle w:val="25"/>
        <w:spacing w:line="560" w:lineRule="exact"/>
        <w:ind w:firstLine="640"/>
        <w:rPr>
          <w:rFonts w:eastAsia="仿宋_GB2312"/>
          <w:color w:val="000000"/>
          <w:sz w:val="32"/>
          <w:szCs w:val="32"/>
        </w:rPr>
      </w:pPr>
      <w:r>
        <w:rPr>
          <w:rFonts w:eastAsia="仿宋_GB2312"/>
          <w:color w:val="000000"/>
          <w:sz w:val="32"/>
          <w:szCs w:val="32"/>
        </w:rPr>
        <w:t>按照县财政局《关于开展 2020 年度事中绩效监控工作的通知》（米财预〔2020〕142号）文件的工作安排，县医保局组织下属单位及机关各相关股室，认真开展了2020 年度1-8月事中绩效监控管理和绩效运行监控相关工作。</w:t>
      </w:r>
    </w:p>
    <w:p w14:paraId="1D97AAFB">
      <w:pPr>
        <w:pStyle w:val="25"/>
        <w:spacing w:line="560" w:lineRule="exact"/>
        <w:ind w:firstLine="640"/>
        <w:rPr>
          <w:rFonts w:eastAsia="仿宋_GB2312"/>
          <w:color w:val="000000"/>
          <w:sz w:val="32"/>
          <w:szCs w:val="32"/>
        </w:rPr>
      </w:pPr>
      <w:r>
        <w:rPr>
          <w:rFonts w:eastAsia="仿宋_GB2312"/>
          <w:color w:val="000000"/>
          <w:sz w:val="32"/>
          <w:szCs w:val="32"/>
        </w:rPr>
        <w:t>（1）医保专项支出</w:t>
      </w:r>
      <w:r>
        <w:rPr>
          <w:rFonts w:hint="eastAsia" w:eastAsia="仿宋_GB2312"/>
          <w:color w:val="000000"/>
          <w:sz w:val="32"/>
          <w:szCs w:val="32"/>
        </w:rPr>
        <w:t>预算下达11.7万元，执行</w:t>
      </w:r>
      <w:r>
        <w:rPr>
          <w:rFonts w:eastAsia="仿宋_GB2312"/>
          <w:color w:val="000000"/>
          <w:sz w:val="32"/>
          <w:szCs w:val="32"/>
        </w:rPr>
        <w:t>5.02万元</w:t>
      </w:r>
      <w:r>
        <w:rPr>
          <w:rFonts w:hint="eastAsia" w:eastAsia="仿宋_GB2312"/>
          <w:color w:val="000000"/>
          <w:sz w:val="32"/>
          <w:szCs w:val="32"/>
        </w:rPr>
        <w:t>，</w:t>
      </w:r>
      <w:r>
        <w:rPr>
          <w:rFonts w:hint="eastAsia" w:hAnsi="仿宋_GB2312" w:eastAsia="仿宋_GB2312"/>
          <w:color w:val="000000"/>
          <w:sz w:val="32"/>
          <w:szCs w:val="32"/>
        </w:rPr>
        <w:t>预计</w:t>
      </w:r>
      <w:r>
        <w:rPr>
          <w:rFonts w:hint="eastAsia" w:ascii="仿宋_GB2312" w:hAnsi="仿宋_GB2312" w:eastAsia="仿宋_GB2312" w:cs="仿宋_GB2312"/>
          <w:bCs/>
          <w:color w:val="000000"/>
          <w:sz w:val="32"/>
          <w:szCs w:val="32"/>
        </w:rPr>
        <w:t>年底在完成年初项目任务情况下节约资金0.7万元。</w:t>
      </w:r>
    </w:p>
    <w:p w14:paraId="4F07F07F">
      <w:pPr>
        <w:pStyle w:val="25"/>
        <w:spacing w:line="560" w:lineRule="exact"/>
        <w:ind w:firstLine="640"/>
        <w:rPr>
          <w:rFonts w:eastAsia="仿宋_GB2312"/>
          <w:color w:val="000000"/>
          <w:sz w:val="32"/>
          <w:szCs w:val="32"/>
        </w:rPr>
      </w:pPr>
      <w:r>
        <w:rPr>
          <w:rFonts w:eastAsia="仿宋_GB2312"/>
          <w:color w:val="000000"/>
          <w:sz w:val="32"/>
          <w:szCs w:val="32"/>
        </w:rPr>
        <w:t>（2）“村医通”专项支出</w:t>
      </w:r>
      <w:r>
        <w:rPr>
          <w:rFonts w:hint="eastAsia" w:eastAsia="仿宋_GB2312"/>
          <w:color w:val="000000"/>
          <w:sz w:val="32"/>
          <w:szCs w:val="32"/>
        </w:rPr>
        <w:t>预算下达6.5万元，执行</w:t>
      </w:r>
      <w:r>
        <w:rPr>
          <w:rFonts w:eastAsia="仿宋_GB2312"/>
          <w:color w:val="000000"/>
          <w:sz w:val="32"/>
          <w:szCs w:val="32"/>
        </w:rPr>
        <w:t>0.75万元。</w:t>
      </w:r>
      <w:r>
        <w:rPr>
          <w:rFonts w:hAnsi="仿宋_GB2312" w:eastAsia="仿宋_GB2312"/>
          <w:color w:val="000000"/>
          <w:sz w:val="32"/>
          <w:szCs w:val="32"/>
        </w:rPr>
        <w:t>截至</w:t>
      </w:r>
      <w:r>
        <w:rPr>
          <w:rFonts w:hint="eastAsia" w:eastAsia="仿宋_GB2312"/>
          <w:color w:val="000000"/>
          <w:sz w:val="32"/>
          <w:szCs w:val="32"/>
        </w:rPr>
        <w:t>12</w:t>
      </w:r>
      <w:r>
        <w:rPr>
          <w:rFonts w:hAnsi="仿宋_GB2312" w:eastAsia="仿宋_GB2312"/>
          <w:color w:val="000000"/>
          <w:sz w:val="32"/>
          <w:szCs w:val="32"/>
        </w:rPr>
        <w:t>月，全县</w:t>
      </w:r>
      <w:r>
        <w:rPr>
          <w:rFonts w:eastAsia="仿宋_GB2312"/>
          <w:color w:val="000000"/>
          <w:sz w:val="32"/>
          <w:szCs w:val="32"/>
        </w:rPr>
        <w:t>2</w:t>
      </w:r>
      <w:r>
        <w:rPr>
          <w:rFonts w:hint="eastAsia" w:eastAsia="仿宋_GB2312"/>
          <w:color w:val="000000"/>
          <w:sz w:val="32"/>
          <w:szCs w:val="32"/>
        </w:rPr>
        <w:t>8</w:t>
      </w:r>
      <w:r>
        <w:rPr>
          <w:rFonts w:hAnsi="仿宋_GB2312" w:eastAsia="仿宋_GB2312"/>
          <w:color w:val="000000"/>
          <w:sz w:val="32"/>
          <w:szCs w:val="32"/>
        </w:rPr>
        <w:t>个贫困村的村卫生室已经实现了</w:t>
      </w:r>
      <w:r>
        <w:rPr>
          <w:rFonts w:eastAsia="仿宋_GB2312"/>
          <w:color w:val="000000"/>
          <w:sz w:val="32"/>
          <w:szCs w:val="32"/>
        </w:rPr>
        <w:t>“</w:t>
      </w:r>
      <w:r>
        <w:rPr>
          <w:rFonts w:hAnsi="仿宋_GB2312" w:eastAsia="仿宋_GB2312"/>
          <w:color w:val="000000"/>
          <w:sz w:val="32"/>
          <w:szCs w:val="32"/>
        </w:rPr>
        <w:t>村医通</w:t>
      </w:r>
      <w:r>
        <w:rPr>
          <w:rFonts w:eastAsia="仿宋_GB2312"/>
          <w:color w:val="000000"/>
          <w:sz w:val="32"/>
          <w:szCs w:val="32"/>
        </w:rPr>
        <w:t>”</w:t>
      </w:r>
      <w:r>
        <w:rPr>
          <w:rFonts w:hAnsi="仿宋_GB2312" w:eastAsia="仿宋_GB2312"/>
          <w:color w:val="000000"/>
          <w:sz w:val="32"/>
          <w:szCs w:val="32"/>
        </w:rPr>
        <w:t>医保系统的全覆盖</w:t>
      </w:r>
      <w:r>
        <w:rPr>
          <w:rFonts w:hint="eastAsia" w:hAnsi="仿宋_GB2312" w:eastAsia="仿宋_GB2312"/>
          <w:color w:val="000000"/>
          <w:sz w:val="32"/>
          <w:szCs w:val="32"/>
        </w:rPr>
        <w:t>。按照上级部门要求，对贫困村以外的村暂不开通，预计</w:t>
      </w:r>
      <w:r>
        <w:rPr>
          <w:rFonts w:hint="eastAsia" w:ascii="仿宋_GB2312" w:hAnsi="仿宋_GB2312" w:eastAsia="仿宋_GB2312" w:cs="仿宋_GB2312"/>
          <w:bCs/>
          <w:color w:val="000000"/>
          <w:sz w:val="32"/>
          <w:szCs w:val="32"/>
        </w:rPr>
        <w:t>年底在完成年初项目任务情况下节约资金5.27元。</w:t>
      </w:r>
    </w:p>
    <w:p w14:paraId="50B61928">
      <w:pPr>
        <w:pStyle w:val="25"/>
        <w:spacing w:line="560" w:lineRule="exact"/>
        <w:ind w:firstLine="640"/>
        <w:rPr>
          <w:rFonts w:eastAsia="仿宋_GB2312"/>
          <w:color w:val="000000"/>
          <w:sz w:val="32"/>
          <w:szCs w:val="32"/>
        </w:rPr>
      </w:pPr>
      <w:r>
        <w:rPr>
          <w:rFonts w:eastAsia="仿宋_GB2312"/>
          <w:color w:val="000000"/>
          <w:sz w:val="32"/>
          <w:szCs w:val="32"/>
        </w:rPr>
        <w:t>（3）离休干部、二等乙级伤残军人和伤残人民警察、建国初期参加革命工作人员医疗费用</w:t>
      </w:r>
      <w:r>
        <w:rPr>
          <w:rFonts w:hint="eastAsia" w:eastAsia="仿宋_GB2312"/>
          <w:color w:val="000000"/>
          <w:sz w:val="32"/>
          <w:szCs w:val="32"/>
        </w:rPr>
        <w:t>预算下达126.13万元，</w:t>
      </w:r>
      <w:r>
        <w:rPr>
          <w:rFonts w:eastAsia="仿宋_GB2312"/>
          <w:color w:val="000000"/>
          <w:sz w:val="32"/>
          <w:szCs w:val="32"/>
        </w:rPr>
        <w:t>支出36.3万元。</w:t>
      </w:r>
      <w:r>
        <w:rPr>
          <w:rFonts w:hint="eastAsia" w:ascii="仿宋_GB2312" w:hAnsi="仿宋_GB2312" w:eastAsia="仿宋_GB2312" w:cs="仿宋_GB2312"/>
          <w:bCs/>
          <w:color w:val="000000"/>
          <w:sz w:val="32"/>
          <w:szCs w:val="32"/>
        </w:rPr>
        <w:t>年底在规定时间内资金支付和项目完成率100%。</w:t>
      </w:r>
    </w:p>
    <w:p w14:paraId="05256956">
      <w:pPr>
        <w:pStyle w:val="25"/>
        <w:spacing w:line="560" w:lineRule="exact"/>
        <w:ind w:firstLine="640"/>
        <w:rPr>
          <w:rFonts w:eastAsia="仿宋_GB2312"/>
          <w:color w:val="000000"/>
          <w:sz w:val="32"/>
          <w:szCs w:val="32"/>
        </w:rPr>
      </w:pPr>
      <w:r>
        <w:rPr>
          <w:rFonts w:eastAsia="仿宋_GB2312"/>
          <w:color w:val="000000"/>
          <w:sz w:val="32"/>
          <w:szCs w:val="32"/>
        </w:rPr>
        <w:t>（4）办公室物业管理费</w:t>
      </w:r>
      <w:r>
        <w:rPr>
          <w:rFonts w:hint="eastAsia" w:eastAsia="仿宋_GB2312"/>
          <w:color w:val="000000"/>
          <w:sz w:val="32"/>
          <w:szCs w:val="32"/>
        </w:rPr>
        <w:t>预算下达6.5万元，执行</w:t>
      </w:r>
      <w:r>
        <w:rPr>
          <w:rFonts w:eastAsia="仿宋_GB2312"/>
          <w:color w:val="000000"/>
          <w:sz w:val="32"/>
          <w:szCs w:val="32"/>
        </w:rPr>
        <w:t>3.25</w:t>
      </w:r>
      <w:r>
        <w:rPr>
          <w:rFonts w:hint="eastAsia" w:eastAsia="仿宋_GB2312"/>
          <w:color w:val="000000"/>
          <w:sz w:val="32"/>
          <w:szCs w:val="32"/>
        </w:rPr>
        <w:t>万元，</w:t>
      </w:r>
      <w:r>
        <w:rPr>
          <w:rFonts w:hint="eastAsia" w:ascii="仿宋_GB2312" w:hAnsi="仿宋_GB2312" w:eastAsia="仿宋_GB2312" w:cs="仿宋_GB2312"/>
          <w:bCs/>
          <w:color w:val="000000"/>
          <w:sz w:val="32"/>
          <w:szCs w:val="32"/>
        </w:rPr>
        <w:t>年底在规定时间内资金支付和项目完成率100%。</w:t>
      </w:r>
    </w:p>
    <w:p w14:paraId="7813878A">
      <w:pPr>
        <w:pStyle w:val="25"/>
        <w:spacing w:line="560" w:lineRule="exact"/>
        <w:ind w:firstLine="64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城乡医疗救助补助资金预算下达954.5万元，执行954.5</w:t>
      </w:r>
      <w:r>
        <w:rPr>
          <w:rFonts w:eastAsia="仿宋_GB2312"/>
          <w:color w:val="000000"/>
          <w:sz w:val="32"/>
          <w:szCs w:val="32"/>
        </w:rPr>
        <w:t>万元</w:t>
      </w:r>
      <w:r>
        <w:rPr>
          <w:rFonts w:hint="eastAsia" w:eastAsia="仿宋_GB2312"/>
          <w:color w:val="000000"/>
          <w:sz w:val="32"/>
          <w:szCs w:val="32"/>
        </w:rPr>
        <w:t>，</w:t>
      </w:r>
      <w:r>
        <w:rPr>
          <w:rFonts w:hint="eastAsia" w:hAnsi="仿宋_GB2312" w:eastAsia="仿宋_GB2312"/>
          <w:color w:val="000000"/>
          <w:sz w:val="32"/>
          <w:szCs w:val="32"/>
        </w:rPr>
        <w:t>预计</w:t>
      </w:r>
      <w:r>
        <w:rPr>
          <w:rFonts w:hint="eastAsia" w:ascii="仿宋_GB2312" w:hAnsi="仿宋_GB2312" w:eastAsia="仿宋_GB2312" w:cs="仿宋_GB2312"/>
          <w:bCs/>
          <w:color w:val="000000"/>
          <w:sz w:val="32"/>
          <w:szCs w:val="32"/>
        </w:rPr>
        <w:t>年底在完成年初项目任务情况下节约资金0.7万元。</w:t>
      </w:r>
    </w:p>
    <w:p w14:paraId="26AB65AF">
      <w:pPr>
        <w:pStyle w:val="25"/>
        <w:spacing w:line="560" w:lineRule="exact"/>
        <w:ind w:firstLine="643"/>
        <w:rPr>
          <w:rFonts w:eastAsia="楷体"/>
          <w:b/>
          <w:color w:val="000000"/>
          <w:sz w:val="32"/>
          <w:szCs w:val="32"/>
        </w:rPr>
      </w:pPr>
      <w:r>
        <w:rPr>
          <w:rFonts w:eastAsia="楷体"/>
          <w:b/>
          <w:color w:val="000000"/>
          <w:sz w:val="32"/>
          <w:szCs w:val="32"/>
        </w:rPr>
        <w:t>（</w:t>
      </w:r>
      <w:r>
        <w:rPr>
          <w:rFonts w:hint="eastAsia" w:eastAsia="楷体"/>
          <w:b/>
          <w:color w:val="000000"/>
          <w:sz w:val="32"/>
          <w:szCs w:val="32"/>
        </w:rPr>
        <w:t>六</w:t>
      </w:r>
      <w:r>
        <w:rPr>
          <w:rFonts w:eastAsia="楷体"/>
          <w:b/>
          <w:color w:val="000000"/>
          <w:sz w:val="32"/>
          <w:szCs w:val="32"/>
        </w:rPr>
        <w:t>）部门绩效情况。</w:t>
      </w:r>
    </w:p>
    <w:p w14:paraId="72AEB4D6">
      <w:pPr>
        <w:pStyle w:val="25"/>
        <w:spacing w:line="560" w:lineRule="exact"/>
        <w:ind w:firstLine="643"/>
        <w:rPr>
          <w:rStyle w:val="41"/>
          <w:rFonts w:hint="default"/>
        </w:rPr>
      </w:pPr>
      <w:r>
        <w:rPr>
          <w:rStyle w:val="44"/>
        </w:rPr>
        <w:t>1.</w:t>
      </w:r>
      <w:r>
        <w:rPr>
          <w:rStyle w:val="41"/>
          <w:rFonts w:hint="default"/>
          <w:b/>
        </w:rPr>
        <w:t>总体绩效</w:t>
      </w:r>
    </w:p>
    <w:p w14:paraId="1A76677E">
      <w:pPr>
        <w:spacing w:line="560" w:lineRule="exact"/>
        <w:ind w:firstLine="640" w:firstLineChars="200"/>
        <w:rPr>
          <w:rStyle w:val="41"/>
          <w:rFonts w:hint="default"/>
          <w:lang w:val="zh-CN"/>
        </w:rPr>
      </w:pPr>
      <w:r>
        <w:rPr>
          <w:rStyle w:val="41"/>
          <w:rFonts w:hint="default"/>
          <w:lang w:val="zh-CN"/>
        </w:rPr>
        <w:t>（1）运转保障</w:t>
      </w:r>
    </w:p>
    <w:p w14:paraId="0B74F266">
      <w:pPr>
        <w:spacing w:line="560" w:lineRule="exact"/>
        <w:ind w:firstLine="200"/>
        <w:rPr>
          <w:rFonts w:hAnsi="仿宋_GB2312" w:eastAsia="仿宋_GB2312"/>
          <w:color w:val="000000"/>
          <w:sz w:val="32"/>
          <w:szCs w:val="32"/>
        </w:rPr>
      </w:pPr>
      <w:r>
        <w:rPr>
          <w:rFonts w:hAnsi="仿宋_GB2312" w:eastAsia="仿宋_GB2312"/>
          <w:color w:val="000000"/>
          <w:sz w:val="32"/>
          <w:szCs w:val="32"/>
        </w:rPr>
        <w:t>严格履行法定职责，完成县委、县政府决策部署和本单位职责；全面完成</w:t>
      </w:r>
      <w:r>
        <w:rPr>
          <w:rFonts w:eastAsia="仿宋_GB2312"/>
          <w:color w:val="000000"/>
          <w:sz w:val="32"/>
          <w:szCs w:val="32"/>
        </w:rPr>
        <w:t>2020</w:t>
      </w:r>
      <w:r>
        <w:rPr>
          <w:rFonts w:hAnsi="仿宋_GB2312" w:eastAsia="仿宋_GB2312"/>
          <w:color w:val="000000"/>
          <w:sz w:val="32"/>
          <w:szCs w:val="32"/>
        </w:rPr>
        <w:t>年度城乡居民医疗保险参保工作</w:t>
      </w:r>
      <w:r>
        <w:rPr>
          <w:rFonts w:eastAsia="仿宋_GB2312"/>
          <w:color w:val="000000"/>
          <w:sz w:val="32"/>
          <w:szCs w:val="32"/>
        </w:rPr>
        <w:t xml:space="preserve"> ,</w:t>
      </w:r>
      <w:r>
        <w:rPr>
          <w:rFonts w:hAnsi="仿宋_GB2312" w:eastAsia="仿宋_GB2312"/>
          <w:color w:val="000000"/>
          <w:sz w:val="32"/>
          <w:szCs w:val="32"/>
        </w:rPr>
        <w:t>完成</w:t>
      </w:r>
      <w:r>
        <w:rPr>
          <w:rFonts w:eastAsia="方正仿宋_GBK"/>
          <w:color w:val="000000"/>
          <w:sz w:val="32"/>
          <w:szCs w:val="32"/>
        </w:rPr>
        <w:t>2.18万人</w:t>
      </w:r>
      <w:r>
        <w:rPr>
          <w:rFonts w:hAnsi="仿宋_GB2312" w:eastAsia="仿宋_GB2312"/>
          <w:color w:val="000000"/>
          <w:sz w:val="32"/>
          <w:szCs w:val="32"/>
        </w:rPr>
        <w:t>的城乡居民医疗保险的参保工作，征收医保基金</w:t>
      </w:r>
      <w:r>
        <w:rPr>
          <w:rStyle w:val="36"/>
          <w:rFonts w:hint="default" w:eastAsia="方正仿宋_GBK"/>
        </w:rPr>
        <w:t>10909.11</w:t>
      </w:r>
      <w:r>
        <w:rPr>
          <w:rFonts w:hAnsi="仿宋_GB2312" w:eastAsia="仿宋_GB2312"/>
          <w:color w:val="000000"/>
          <w:sz w:val="32"/>
          <w:szCs w:val="32"/>
        </w:rPr>
        <w:t>万元。</w:t>
      </w:r>
      <w:r>
        <w:rPr>
          <w:rFonts w:eastAsia="方正仿宋_GBK"/>
          <w:color w:val="000000"/>
          <w:sz w:val="32"/>
          <w:szCs w:val="32"/>
        </w:rPr>
        <w:t>落实参保扩面工作，2020年共有</w:t>
      </w:r>
      <w:r>
        <w:rPr>
          <w:rStyle w:val="36"/>
          <w:rFonts w:hint="default" w:eastAsia="方正仿宋_GBK"/>
        </w:rPr>
        <w:t>190015</w:t>
      </w:r>
      <w:r>
        <w:rPr>
          <w:rFonts w:eastAsia="方正仿宋_GBK"/>
          <w:color w:val="000000"/>
          <w:sz w:val="32"/>
          <w:szCs w:val="32"/>
        </w:rPr>
        <w:t>人参加城乡居民医疗保险，征收参保资金5044.36万元，参保率达98%。</w:t>
      </w:r>
      <w:r>
        <w:rPr>
          <w:rFonts w:eastAsia="仿宋_GB2312"/>
          <w:color w:val="000000"/>
          <w:sz w:val="32"/>
          <w:szCs w:val="32"/>
        </w:rPr>
        <w:t>离休干部、二等乙级伤残军人和伤残人民警察、建国初期参加革命工作人员医疗费用支出</w:t>
      </w:r>
      <w:r>
        <w:rPr>
          <w:rFonts w:hint="eastAsia" w:eastAsia="仿宋_GB2312"/>
          <w:color w:val="000000"/>
          <w:sz w:val="32"/>
          <w:szCs w:val="32"/>
        </w:rPr>
        <w:t>126.13</w:t>
      </w:r>
      <w:r>
        <w:rPr>
          <w:rFonts w:eastAsia="仿宋_GB2312"/>
          <w:color w:val="000000"/>
          <w:sz w:val="32"/>
          <w:szCs w:val="32"/>
        </w:rPr>
        <w:t>万元。</w:t>
      </w:r>
      <w:r>
        <w:rPr>
          <w:rFonts w:eastAsia="方正仿宋_GBK"/>
          <w:color w:val="000000"/>
          <w:sz w:val="32"/>
          <w:szCs w:val="32"/>
        </w:rPr>
        <w:t>全面落实“一单制结算、一窗口办理、一站式服务”的医保改革服务工作。审核</w:t>
      </w:r>
      <w:r>
        <w:rPr>
          <w:rFonts w:hint="eastAsia" w:eastAsia="方正仿宋_GBK"/>
          <w:color w:val="000000"/>
          <w:sz w:val="32"/>
          <w:szCs w:val="32"/>
        </w:rPr>
        <w:t>18.24</w:t>
      </w:r>
      <w:r>
        <w:rPr>
          <w:rFonts w:eastAsia="方正仿宋_GBK"/>
          <w:color w:val="000000"/>
          <w:sz w:val="32"/>
          <w:szCs w:val="32"/>
        </w:rPr>
        <w:t>万人次的城镇职工</w:t>
      </w:r>
      <w:r>
        <w:rPr>
          <w:rFonts w:hint="eastAsia" w:eastAsia="方正仿宋_GBK"/>
          <w:color w:val="000000"/>
          <w:sz w:val="32"/>
          <w:szCs w:val="32"/>
        </w:rPr>
        <w:t>住院</w:t>
      </w:r>
      <w:r>
        <w:rPr>
          <w:rFonts w:eastAsia="方正仿宋_GBK"/>
          <w:color w:val="000000"/>
          <w:sz w:val="32"/>
          <w:szCs w:val="32"/>
        </w:rPr>
        <w:t>费用，支付医保基金</w:t>
      </w:r>
      <w:r>
        <w:rPr>
          <w:rFonts w:hint="eastAsia" w:eastAsia="方正仿宋_GBK"/>
          <w:color w:val="000000"/>
          <w:sz w:val="32"/>
          <w:szCs w:val="32"/>
        </w:rPr>
        <w:t>3042</w:t>
      </w:r>
      <w:r>
        <w:rPr>
          <w:rFonts w:eastAsia="方正仿宋_GBK"/>
          <w:color w:val="000000"/>
          <w:sz w:val="32"/>
          <w:szCs w:val="32"/>
        </w:rPr>
        <w:t>万元，审核</w:t>
      </w:r>
      <w:r>
        <w:rPr>
          <w:rFonts w:hint="eastAsia" w:eastAsia="方正仿宋_GBK"/>
          <w:color w:val="000000"/>
          <w:sz w:val="32"/>
          <w:szCs w:val="32"/>
        </w:rPr>
        <w:t>4.29</w:t>
      </w:r>
      <w:r>
        <w:rPr>
          <w:rFonts w:eastAsia="方正仿宋_GBK"/>
          <w:color w:val="000000"/>
          <w:sz w:val="32"/>
          <w:szCs w:val="32"/>
        </w:rPr>
        <w:t>万人次的城乡居民</w:t>
      </w:r>
      <w:r>
        <w:rPr>
          <w:rFonts w:hint="eastAsia" w:eastAsia="方正仿宋_GBK"/>
          <w:color w:val="000000"/>
          <w:sz w:val="32"/>
          <w:szCs w:val="32"/>
        </w:rPr>
        <w:t>住院</w:t>
      </w:r>
      <w:r>
        <w:rPr>
          <w:rFonts w:eastAsia="方正仿宋_GBK"/>
          <w:color w:val="000000"/>
          <w:sz w:val="32"/>
          <w:szCs w:val="32"/>
        </w:rPr>
        <w:t>费用，支付医保基金</w:t>
      </w:r>
      <w:r>
        <w:rPr>
          <w:rFonts w:hint="eastAsia" w:eastAsia="方正仿宋_GBK"/>
          <w:color w:val="000000"/>
          <w:sz w:val="32"/>
          <w:szCs w:val="32"/>
        </w:rPr>
        <w:t>9652</w:t>
      </w:r>
      <w:r>
        <w:rPr>
          <w:rFonts w:eastAsia="方正仿宋_GBK"/>
          <w:color w:val="000000"/>
          <w:sz w:val="32"/>
          <w:szCs w:val="32"/>
        </w:rPr>
        <w:t>万元。</w:t>
      </w:r>
      <w:r>
        <w:rPr>
          <w:rFonts w:hAnsi="仿宋_GB2312" w:eastAsia="仿宋_GB2312"/>
          <w:color w:val="000000"/>
          <w:sz w:val="32"/>
          <w:szCs w:val="32"/>
        </w:rPr>
        <w:t>通过基本医保、大病（补充）保险、医保扶贫等各项政策落地落实和各项待遇的及时兑付，切实增强参保群众的获得感和幸福感。</w:t>
      </w:r>
    </w:p>
    <w:p w14:paraId="75092B54">
      <w:pPr>
        <w:spacing w:line="560" w:lineRule="exact"/>
        <w:ind w:firstLine="640" w:firstLineChars="200"/>
        <w:rPr>
          <w:rFonts w:hAnsi="仿宋_GB2312" w:eastAsia="仿宋_GB2312"/>
          <w:color w:val="000000"/>
          <w:sz w:val="32"/>
          <w:szCs w:val="32"/>
        </w:rPr>
      </w:pPr>
      <w:r>
        <w:rPr>
          <w:rFonts w:hAnsi="仿宋_GB2312" w:eastAsia="仿宋_GB2312"/>
          <w:color w:val="000000"/>
          <w:sz w:val="32"/>
          <w:szCs w:val="32"/>
          <w:lang w:val="zh-CN"/>
        </w:rPr>
        <w:t>（</w:t>
      </w:r>
      <w:r>
        <w:rPr>
          <w:rFonts w:eastAsia="仿宋_GB2312"/>
          <w:color w:val="000000"/>
          <w:sz w:val="32"/>
          <w:szCs w:val="32"/>
          <w:lang w:val="zh-CN"/>
        </w:rPr>
        <w:t>2</w:t>
      </w:r>
      <w:r>
        <w:rPr>
          <w:rFonts w:hAnsi="仿宋_GB2312" w:eastAsia="仿宋_GB2312"/>
          <w:color w:val="000000"/>
          <w:sz w:val="32"/>
          <w:szCs w:val="32"/>
          <w:lang w:val="zh-CN"/>
        </w:rPr>
        <w:t>）厉行节约。</w:t>
      </w:r>
      <w:r>
        <w:rPr>
          <w:rFonts w:hAnsi="仿宋_GB2312" w:eastAsia="仿宋_GB2312"/>
          <w:color w:val="000000"/>
          <w:sz w:val="32"/>
          <w:szCs w:val="32"/>
        </w:rPr>
        <w:t>我单位在保证单位正常工作需要和人员经费的前提下，严格控制</w:t>
      </w:r>
      <w:r>
        <w:rPr>
          <w:rFonts w:eastAsia="仿宋_GB2312"/>
          <w:color w:val="000000"/>
          <w:sz w:val="32"/>
          <w:szCs w:val="32"/>
        </w:rPr>
        <w:t>“</w:t>
      </w:r>
      <w:r>
        <w:rPr>
          <w:rFonts w:hAnsi="仿宋_GB2312" w:eastAsia="仿宋_GB2312"/>
          <w:color w:val="000000"/>
          <w:sz w:val="32"/>
          <w:szCs w:val="32"/>
        </w:rPr>
        <w:t>三公</w:t>
      </w:r>
      <w:r>
        <w:rPr>
          <w:rFonts w:eastAsia="仿宋_GB2312"/>
          <w:color w:val="000000"/>
          <w:sz w:val="32"/>
          <w:szCs w:val="32"/>
        </w:rPr>
        <w:t>”</w:t>
      </w:r>
      <w:r>
        <w:rPr>
          <w:rFonts w:hAnsi="仿宋_GB2312" w:eastAsia="仿宋_GB2312"/>
          <w:color w:val="000000"/>
          <w:sz w:val="32"/>
          <w:szCs w:val="32"/>
        </w:rPr>
        <w:t>经费和会议费支出。</w:t>
      </w:r>
      <w:r>
        <w:rPr>
          <w:rFonts w:eastAsia="仿宋_GB2312"/>
          <w:color w:val="000000"/>
          <w:sz w:val="32"/>
          <w:szCs w:val="32"/>
        </w:rPr>
        <w:t xml:space="preserve"> 2020</w:t>
      </w:r>
      <w:r>
        <w:rPr>
          <w:rFonts w:hAnsi="仿宋_GB2312" w:eastAsia="仿宋_GB2312"/>
          <w:color w:val="000000"/>
          <w:sz w:val="32"/>
          <w:szCs w:val="32"/>
        </w:rPr>
        <w:t>年度我单位无</w:t>
      </w:r>
      <w:r>
        <w:rPr>
          <w:rFonts w:hAnsi="仿宋_GB2312" w:eastAsia="仿宋_GB2312"/>
          <w:color w:val="000000"/>
          <w:sz w:val="32"/>
          <w:szCs w:val="32"/>
          <w:lang w:val="zh-CN"/>
        </w:rPr>
        <w:t>机关因公出国（境）费用、无会议费、无车辆购置及运行费用的发生。</w:t>
      </w:r>
      <w:r>
        <w:rPr>
          <w:rFonts w:eastAsia="仿宋_GB2312"/>
          <w:color w:val="000000"/>
          <w:sz w:val="32"/>
          <w:szCs w:val="32"/>
        </w:rPr>
        <w:t>2020</w:t>
      </w:r>
      <w:r>
        <w:rPr>
          <w:rFonts w:hAnsi="仿宋_GB2312" w:eastAsia="仿宋_GB2312"/>
          <w:color w:val="000000"/>
          <w:sz w:val="32"/>
          <w:szCs w:val="32"/>
        </w:rPr>
        <w:t>年在</w:t>
      </w:r>
      <w:r>
        <w:rPr>
          <w:rFonts w:eastAsia="仿宋_GB2312"/>
          <w:color w:val="000000"/>
          <w:sz w:val="32"/>
          <w:szCs w:val="32"/>
        </w:rPr>
        <w:t>“</w:t>
      </w:r>
      <w:r>
        <w:rPr>
          <w:rFonts w:hAnsi="仿宋_GB2312" w:eastAsia="仿宋_GB2312"/>
          <w:color w:val="000000"/>
          <w:sz w:val="32"/>
          <w:szCs w:val="32"/>
        </w:rPr>
        <w:t>三公</w:t>
      </w:r>
      <w:r>
        <w:rPr>
          <w:rFonts w:eastAsia="仿宋_GB2312"/>
          <w:color w:val="000000"/>
          <w:sz w:val="32"/>
          <w:szCs w:val="32"/>
        </w:rPr>
        <w:t>”</w:t>
      </w:r>
      <w:r>
        <w:rPr>
          <w:rFonts w:hAnsi="仿宋_GB2312" w:eastAsia="仿宋_GB2312"/>
          <w:color w:val="000000"/>
          <w:sz w:val="32"/>
          <w:szCs w:val="32"/>
        </w:rPr>
        <w:t>经费支出</w:t>
      </w:r>
      <w:r>
        <w:rPr>
          <w:rFonts w:hint="eastAsia" w:eastAsia="仿宋_GB2312"/>
          <w:color w:val="000000"/>
          <w:sz w:val="32"/>
          <w:szCs w:val="32"/>
        </w:rPr>
        <w:t>0.61万</w:t>
      </w:r>
      <w:r>
        <w:rPr>
          <w:rFonts w:hAnsi="仿宋_GB2312" w:eastAsia="仿宋_GB2312"/>
          <w:color w:val="000000"/>
          <w:sz w:val="32"/>
          <w:szCs w:val="32"/>
        </w:rPr>
        <w:t>元，其中</w:t>
      </w:r>
      <w:r>
        <w:rPr>
          <w:rFonts w:eastAsia="仿宋_GB2312"/>
          <w:color w:val="000000"/>
          <w:sz w:val="32"/>
          <w:szCs w:val="32"/>
        </w:rPr>
        <w:t xml:space="preserve"> </w:t>
      </w:r>
      <w:r>
        <w:rPr>
          <w:rFonts w:hAnsi="仿宋_GB2312" w:eastAsia="仿宋_GB2312"/>
          <w:color w:val="000000"/>
          <w:sz w:val="32"/>
          <w:szCs w:val="32"/>
        </w:rPr>
        <w:t>：公务接待费</w:t>
      </w:r>
      <w:r>
        <w:rPr>
          <w:rFonts w:hint="eastAsia" w:eastAsia="仿宋_GB2312"/>
          <w:color w:val="000000"/>
          <w:sz w:val="32"/>
          <w:szCs w:val="32"/>
        </w:rPr>
        <w:t>0.61万</w:t>
      </w:r>
      <w:r>
        <w:rPr>
          <w:rFonts w:hAnsi="仿宋_GB2312" w:eastAsia="仿宋_GB2312"/>
          <w:color w:val="000000"/>
          <w:sz w:val="32"/>
          <w:szCs w:val="32"/>
        </w:rPr>
        <w:t>元，国内公务接待批次</w:t>
      </w:r>
      <w:r>
        <w:rPr>
          <w:rFonts w:eastAsia="仿宋_GB2312"/>
          <w:color w:val="000000"/>
          <w:sz w:val="32"/>
          <w:szCs w:val="32"/>
        </w:rPr>
        <w:t>8</w:t>
      </w:r>
      <w:r>
        <w:rPr>
          <w:rFonts w:hAnsi="仿宋_GB2312" w:eastAsia="仿宋_GB2312"/>
          <w:color w:val="000000"/>
          <w:sz w:val="32"/>
          <w:szCs w:val="32"/>
        </w:rPr>
        <w:t>批次，接待</w:t>
      </w:r>
      <w:r>
        <w:rPr>
          <w:rFonts w:eastAsia="仿宋_GB2312"/>
          <w:color w:val="000000"/>
          <w:sz w:val="32"/>
          <w:szCs w:val="32"/>
        </w:rPr>
        <w:t>109</w:t>
      </w:r>
      <w:r>
        <w:rPr>
          <w:rFonts w:hAnsi="仿宋_GB2312" w:eastAsia="仿宋_GB2312"/>
          <w:color w:val="000000"/>
          <w:sz w:val="32"/>
          <w:szCs w:val="32"/>
        </w:rPr>
        <w:t>人次。</w:t>
      </w:r>
    </w:p>
    <w:p w14:paraId="1D0CB3A1">
      <w:pPr>
        <w:spacing w:line="560" w:lineRule="exact"/>
        <w:ind w:firstLine="640" w:firstLineChars="200"/>
        <w:rPr>
          <w:rStyle w:val="44"/>
        </w:rPr>
      </w:pPr>
      <w:r>
        <w:rPr>
          <w:rFonts w:hAnsi="仿宋_GB2312" w:eastAsia="仿宋_GB2312"/>
          <w:color w:val="000000"/>
          <w:sz w:val="32"/>
          <w:szCs w:val="32"/>
          <w:lang w:val="zh-CN"/>
        </w:rPr>
        <w:t>（</w:t>
      </w:r>
      <w:r>
        <w:rPr>
          <w:rFonts w:eastAsia="仿宋_GB2312"/>
          <w:color w:val="000000"/>
          <w:sz w:val="32"/>
          <w:szCs w:val="32"/>
          <w:lang w:val="zh-CN"/>
        </w:rPr>
        <w:t>3</w:t>
      </w:r>
      <w:r>
        <w:rPr>
          <w:rFonts w:hAnsi="仿宋_GB2312" w:eastAsia="仿宋_GB2312"/>
          <w:color w:val="000000"/>
          <w:sz w:val="32"/>
          <w:szCs w:val="32"/>
          <w:lang w:val="zh-CN"/>
        </w:rPr>
        <w:t>）机关节能降耗</w:t>
      </w:r>
      <w:r>
        <w:rPr>
          <w:rFonts w:hAnsi="仿宋_GB2312" w:eastAsia="仿宋_GB2312"/>
          <w:color w:val="000000"/>
          <w:sz w:val="32"/>
          <w:szCs w:val="32"/>
        </w:rPr>
        <w:t>我单位</w:t>
      </w:r>
      <w:r>
        <w:rPr>
          <w:rFonts w:hAnsi="仿宋_GB2312" w:eastAsia="仿宋_GB2312"/>
          <w:color w:val="000000"/>
          <w:sz w:val="32"/>
          <w:szCs w:val="32"/>
          <w:lang w:val="zh-CN"/>
        </w:rPr>
        <w:t>整体入驻县政府政务服务中心</w:t>
      </w:r>
      <w:r>
        <w:rPr>
          <w:rFonts w:hAnsi="仿宋_GB2312" w:eastAsia="仿宋_GB2312"/>
          <w:color w:val="000000"/>
          <w:sz w:val="32"/>
          <w:szCs w:val="32"/>
        </w:rPr>
        <w:t>，</w:t>
      </w:r>
      <w:r>
        <w:rPr>
          <w:rFonts w:eastAsia="仿宋_GB2312"/>
          <w:color w:val="000000"/>
          <w:sz w:val="32"/>
          <w:szCs w:val="32"/>
        </w:rPr>
        <w:t>2020</w:t>
      </w:r>
      <w:r>
        <w:rPr>
          <w:rFonts w:hAnsi="仿宋_GB2312" w:eastAsia="仿宋_GB2312"/>
          <w:color w:val="000000"/>
          <w:sz w:val="32"/>
          <w:szCs w:val="32"/>
        </w:rPr>
        <w:t>年水、电等费用由县机关事务服务中心统一支付。我局未配备公务用车，</w:t>
      </w:r>
      <w:r>
        <w:rPr>
          <w:rFonts w:eastAsia="仿宋_GB2312"/>
          <w:color w:val="000000"/>
          <w:sz w:val="32"/>
          <w:szCs w:val="32"/>
        </w:rPr>
        <w:t>2020</w:t>
      </w:r>
      <w:r>
        <w:rPr>
          <w:rFonts w:hAnsi="仿宋_GB2312" w:eastAsia="仿宋_GB2312"/>
          <w:color w:val="000000"/>
          <w:sz w:val="32"/>
          <w:szCs w:val="32"/>
        </w:rPr>
        <w:t>年无燃油费。</w:t>
      </w:r>
    </w:p>
    <w:p w14:paraId="59F2419A">
      <w:pPr>
        <w:spacing w:line="560" w:lineRule="exact"/>
        <w:ind w:firstLine="835" w:firstLineChars="260"/>
        <w:rPr>
          <w:rStyle w:val="41"/>
          <w:rFonts w:hint="default"/>
        </w:rPr>
      </w:pPr>
      <w:r>
        <w:rPr>
          <w:rStyle w:val="44"/>
        </w:rPr>
        <w:t>2.</w:t>
      </w:r>
      <w:r>
        <w:rPr>
          <w:rStyle w:val="41"/>
          <w:rFonts w:hint="default"/>
          <w:b/>
        </w:rPr>
        <w:t>主要目标绩效完成情况</w:t>
      </w:r>
    </w:p>
    <w:p w14:paraId="4306DB03">
      <w:pPr>
        <w:pStyle w:val="46"/>
        <w:spacing w:line="560" w:lineRule="exact"/>
        <w:ind w:firstLine="643"/>
        <w:rPr>
          <w:rFonts w:ascii="Times New Roman" w:hAnsi="Times New Roman" w:eastAsia="仿宋_GB2312"/>
          <w:b/>
          <w:color w:val="000000"/>
          <w:sz w:val="32"/>
          <w:szCs w:val="32"/>
        </w:rPr>
      </w:pPr>
      <w:r>
        <w:rPr>
          <w:rFonts w:ascii="Times New Roman" w:hAnsi="仿宋_GB2312" w:eastAsia="仿宋_GB2312"/>
          <w:b/>
          <w:color w:val="000000"/>
          <w:sz w:val="32"/>
          <w:szCs w:val="32"/>
        </w:rPr>
        <w:t>（</w:t>
      </w:r>
      <w:r>
        <w:rPr>
          <w:rFonts w:ascii="Times New Roman" w:hAnsi="Times New Roman" w:eastAsia="仿宋_GB2312"/>
          <w:b/>
          <w:color w:val="000000"/>
          <w:sz w:val="32"/>
          <w:szCs w:val="32"/>
        </w:rPr>
        <w:t>1</w:t>
      </w:r>
      <w:r>
        <w:rPr>
          <w:rFonts w:ascii="Times New Roman" w:hAnsi="仿宋_GB2312" w:eastAsia="仿宋_GB2312"/>
          <w:b/>
          <w:color w:val="000000"/>
          <w:sz w:val="32"/>
          <w:szCs w:val="32"/>
        </w:rPr>
        <w:t>）确保资助建档立卡贫困人口</w:t>
      </w:r>
      <w:r>
        <w:rPr>
          <w:rFonts w:ascii="Times New Roman" w:hAnsi="Times New Roman" w:eastAsia="仿宋_GB2312"/>
          <w:b/>
          <w:color w:val="000000"/>
          <w:sz w:val="32"/>
          <w:szCs w:val="32"/>
        </w:rPr>
        <w:t>100%</w:t>
      </w:r>
      <w:r>
        <w:rPr>
          <w:rFonts w:ascii="Times New Roman" w:hAnsi="仿宋_GB2312" w:eastAsia="仿宋_GB2312"/>
          <w:b/>
          <w:color w:val="000000"/>
          <w:sz w:val="32"/>
          <w:szCs w:val="32"/>
        </w:rPr>
        <w:t>参加城乡居民基本医疗保险。</w:t>
      </w:r>
    </w:p>
    <w:p w14:paraId="0CCA69D6">
      <w:pPr>
        <w:pStyle w:val="46"/>
        <w:spacing w:line="560" w:lineRule="exact"/>
        <w:ind w:firstLine="640"/>
        <w:rPr>
          <w:rFonts w:ascii="Times New Roman" w:hAnsi="Times New Roman" w:eastAsia="仿宋_GB2312"/>
          <w:color w:val="000000"/>
          <w:sz w:val="32"/>
          <w:szCs w:val="32"/>
        </w:rPr>
      </w:pPr>
      <w:r>
        <w:rPr>
          <w:rFonts w:ascii="Times New Roman" w:hAnsi="仿宋_GB2312" w:eastAsia="仿宋_GB2312"/>
          <w:color w:val="000000"/>
          <w:sz w:val="32"/>
          <w:szCs w:val="32"/>
        </w:rPr>
        <w:t>一是</w:t>
      </w:r>
      <w:r>
        <w:rPr>
          <w:rFonts w:ascii="Times New Roman" w:hAnsi="Times New Roman" w:eastAsia="仿宋_GB2312"/>
          <w:color w:val="000000"/>
          <w:sz w:val="32"/>
          <w:szCs w:val="32"/>
        </w:rPr>
        <w:t>2020</w:t>
      </w:r>
      <w:r>
        <w:rPr>
          <w:rFonts w:ascii="Times New Roman" w:hAnsi="仿宋_GB2312" w:eastAsia="仿宋_GB2312"/>
          <w:color w:val="000000"/>
          <w:sz w:val="32"/>
          <w:szCs w:val="32"/>
        </w:rPr>
        <w:t>年全面完成建档立卡贫困人口</w:t>
      </w:r>
      <w:r>
        <w:rPr>
          <w:rFonts w:ascii="Times New Roman" w:hAnsi="Times New Roman" w:eastAsia="仿宋_GB2312"/>
          <w:color w:val="000000"/>
          <w:sz w:val="32"/>
          <w:szCs w:val="32"/>
        </w:rPr>
        <w:t>18774</w:t>
      </w:r>
      <w:r>
        <w:rPr>
          <w:rFonts w:ascii="Times New Roman" w:hAnsi="仿宋_GB2312" w:eastAsia="仿宋_GB2312"/>
          <w:color w:val="000000"/>
          <w:sz w:val="32"/>
          <w:szCs w:val="32"/>
        </w:rPr>
        <w:t>人（含凉山自发搬迁贫困户</w:t>
      </w:r>
      <w:r>
        <w:rPr>
          <w:rFonts w:ascii="Times New Roman" w:hAnsi="Times New Roman" w:eastAsia="仿宋_GB2312"/>
          <w:color w:val="000000"/>
          <w:sz w:val="32"/>
          <w:szCs w:val="32"/>
        </w:rPr>
        <w:t>589</w:t>
      </w:r>
      <w:r>
        <w:rPr>
          <w:rFonts w:ascii="Times New Roman" w:hAnsi="仿宋_GB2312" w:eastAsia="仿宋_GB2312"/>
          <w:color w:val="000000"/>
          <w:sz w:val="32"/>
          <w:szCs w:val="32"/>
        </w:rPr>
        <w:t>户</w:t>
      </w:r>
      <w:r>
        <w:rPr>
          <w:rFonts w:ascii="Times New Roman" w:hAnsi="Times New Roman" w:eastAsia="仿宋_GB2312"/>
          <w:color w:val="000000"/>
          <w:sz w:val="32"/>
          <w:szCs w:val="32"/>
        </w:rPr>
        <w:t>2921</w:t>
      </w:r>
      <w:r>
        <w:rPr>
          <w:rFonts w:ascii="Times New Roman" w:hAnsi="仿宋_GB2312" w:eastAsia="仿宋_GB2312"/>
          <w:color w:val="000000"/>
          <w:sz w:val="32"/>
          <w:szCs w:val="32"/>
        </w:rPr>
        <w:t>人）和非建档立卡特殊困难户全额资助参保工作，参保率</w:t>
      </w:r>
      <w:r>
        <w:rPr>
          <w:rFonts w:ascii="Times New Roman" w:hAnsi="Times New Roman" w:eastAsia="仿宋_GB2312"/>
          <w:color w:val="000000"/>
          <w:sz w:val="32"/>
          <w:szCs w:val="32"/>
        </w:rPr>
        <w:t>100%</w:t>
      </w:r>
      <w:r>
        <w:rPr>
          <w:rFonts w:ascii="Times New Roman" w:hAnsi="仿宋_GB2312" w:eastAsia="仿宋_GB2312"/>
          <w:color w:val="000000"/>
          <w:sz w:val="32"/>
          <w:szCs w:val="32"/>
        </w:rPr>
        <w:t>。二是做好动态新增贫困人口资助缴费工作，县医疗保障局和县扶贫开发局建立数据共享和比对机制，做到</w:t>
      </w:r>
      <w:r>
        <w:rPr>
          <w:rFonts w:ascii="Times New Roman" w:hAnsi="Times New Roman" w:eastAsia="仿宋_GB2312"/>
          <w:color w:val="000000"/>
          <w:sz w:val="32"/>
          <w:szCs w:val="32"/>
        </w:rPr>
        <w:t>“</w:t>
      </w:r>
      <w:r>
        <w:rPr>
          <w:rFonts w:ascii="Times New Roman" w:hAnsi="仿宋_GB2312" w:eastAsia="仿宋_GB2312"/>
          <w:color w:val="000000"/>
          <w:sz w:val="32"/>
          <w:szCs w:val="32"/>
        </w:rPr>
        <w:t>日交换、周汇总</w:t>
      </w:r>
      <w:r>
        <w:rPr>
          <w:rFonts w:ascii="Times New Roman" w:hAnsi="Times New Roman" w:eastAsia="仿宋_GB2312"/>
          <w:color w:val="000000"/>
          <w:sz w:val="32"/>
          <w:szCs w:val="32"/>
        </w:rPr>
        <w:t>”</w:t>
      </w:r>
      <w:r>
        <w:rPr>
          <w:rFonts w:ascii="Times New Roman" w:hAnsi="仿宋_GB2312" w:eastAsia="仿宋_GB2312"/>
          <w:color w:val="000000"/>
          <w:sz w:val="32"/>
          <w:szCs w:val="32"/>
        </w:rPr>
        <w:t>。三是联合县卫健局制定《米易县非建档立卡特殊困难户医疗保障工作措</w:t>
      </w:r>
      <w:r>
        <w:rPr>
          <w:rFonts w:ascii="Times New Roman" w:hAnsi="仿宋_GB2312" w:eastAsia="仿宋_GB2312"/>
          <w:color w:val="000000"/>
          <w:spacing w:val="-20"/>
          <w:sz w:val="32"/>
          <w:szCs w:val="32"/>
        </w:rPr>
        <w:t>施》，将非建档立卡特殊困难户纳入资助参保和医疗救助范围。</w:t>
      </w:r>
    </w:p>
    <w:p w14:paraId="6924A9DE">
      <w:pPr>
        <w:pStyle w:val="46"/>
        <w:spacing w:line="560" w:lineRule="exact"/>
        <w:ind w:firstLine="643"/>
        <w:rPr>
          <w:rFonts w:ascii="Times New Roman" w:hAnsi="Times New Roman" w:eastAsia="仿宋_GB2312"/>
          <w:b/>
          <w:color w:val="000000"/>
          <w:sz w:val="32"/>
          <w:szCs w:val="32"/>
        </w:rPr>
      </w:pPr>
      <w:r>
        <w:rPr>
          <w:rFonts w:ascii="Times New Roman" w:hAnsi="仿宋_GB2312" w:eastAsia="仿宋_GB2312"/>
          <w:b/>
          <w:color w:val="000000"/>
          <w:sz w:val="32"/>
          <w:szCs w:val="32"/>
        </w:rPr>
        <w:t>（</w:t>
      </w:r>
      <w:r>
        <w:rPr>
          <w:rFonts w:ascii="Times New Roman" w:hAnsi="Times New Roman" w:eastAsia="仿宋_GB2312"/>
          <w:b/>
          <w:color w:val="000000"/>
          <w:sz w:val="32"/>
          <w:szCs w:val="32"/>
        </w:rPr>
        <w:t>2</w:t>
      </w:r>
      <w:r>
        <w:rPr>
          <w:rFonts w:ascii="Times New Roman" w:hAnsi="仿宋_GB2312" w:eastAsia="仿宋_GB2312"/>
          <w:b/>
          <w:color w:val="000000"/>
          <w:sz w:val="32"/>
          <w:szCs w:val="32"/>
        </w:rPr>
        <w:t>）确保贫困人口享受医保待遇</w:t>
      </w:r>
    </w:p>
    <w:p w14:paraId="1E36621A">
      <w:pPr>
        <w:pStyle w:val="46"/>
        <w:spacing w:line="560" w:lineRule="exact"/>
        <w:ind w:firstLine="640"/>
        <w:rPr>
          <w:rFonts w:ascii="Times New Roman" w:hAnsi="Times New Roman" w:eastAsia="仿宋_GB2312"/>
          <w:color w:val="000000"/>
          <w:sz w:val="32"/>
          <w:szCs w:val="32"/>
        </w:rPr>
      </w:pPr>
      <w:r>
        <w:rPr>
          <w:rFonts w:ascii="Times New Roman" w:hAnsi="仿宋_GB2312" w:eastAsia="仿宋_GB2312"/>
          <w:color w:val="000000"/>
          <w:sz w:val="32"/>
          <w:szCs w:val="32"/>
        </w:rPr>
        <w:t>全县定点医疗机构均实行了基本医疗、大病保险、补充保险及基本医疗倾斜支付、医疗救助的</w:t>
      </w:r>
      <w:r>
        <w:rPr>
          <w:rFonts w:ascii="Times New Roman" w:hAnsi="Times New Roman" w:eastAsia="仿宋_GB2312"/>
          <w:color w:val="000000"/>
          <w:sz w:val="32"/>
          <w:szCs w:val="32"/>
        </w:rPr>
        <w:t>“</w:t>
      </w:r>
      <w:r>
        <w:rPr>
          <w:rFonts w:ascii="Times New Roman" w:hAnsi="仿宋_GB2312" w:eastAsia="仿宋_GB2312"/>
          <w:color w:val="000000"/>
          <w:sz w:val="32"/>
          <w:szCs w:val="32"/>
        </w:rPr>
        <w:t>一单制结算</w:t>
      </w:r>
      <w:r>
        <w:rPr>
          <w:rFonts w:ascii="Times New Roman" w:hAnsi="Times New Roman" w:eastAsia="仿宋_GB2312"/>
          <w:color w:val="000000"/>
          <w:sz w:val="32"/>
          <w:szCs w:val="32"/>
        </w:rPr>
        <w:t>”</w:t>
      </w:r>
      <w:r>
        <w:rPr>
          <w:rFonts w:ascii="Times New Roman" w:hAnsi="仿宋_GB2312" w:eastAsia="仿宋_GB2312"/>
          <w:color w:val="000000"/>
          <w:sz w:val="32"/>
          <w:szCs w:val="32"/>
        </w:rPr>
        <w:t>，并实现与卫生扶贫救助基金</w:t>
      </w:r>
      <w:r>
        <w:rPr>
          <w:rFonts w:ascii="Times New Roman" w:hAnsi="Times New Roman" w:eastAsia="仿宋_GB2312"/>
          <w:color w:val="000000"/>
          <w:sz w:val="32"/>
          <w:szCs w:val="32"/>
        </w:rPr>
        <w:t>“</w:t>
      </w:r>
      <w:r>
        <w:rPr>
          <w:rFonts w:ascii="Times New Roman" w:hAnsi="仿宋_GB2312" w:eastAsia="仿宋_GB2312"/>
          <w:color w:val="000000"/>
          <w:sz w:val="32"/>
          <w:szCs w:val="32"/>
        </w:rPr>
        <w:t>一站式服务、一窗口办理</w:t>
      </w:r>
      <w:r>
        <w:rPr>
          <w:rFonts w:ascii="Times New Roman" w:hAnsi="Times New Roman" w:eastAsia="仿宋_GB2312"/>
          <w:color w:val="000000"/>
          <w:sz w:val="32"/>
          <w:szCs w:val="32"/>
        </w:rPr>
        <w:t>”</w:t>
      </w:r>
      <w:r>
        <w:rPr>
          <w:rFonts w:ascii="Times New Roman" w:hAnsi="仿宋_GB2312" w:eastAsia="仿宋_GB2312"/>
          <w:color w:val="000000"/>
          <w:sz w:val="32"/>
          <w:szCs w:val="32"/>
        </w:rPr>
        <w:t>，最大限度减轻困难群众垫付医疗费负担。</w:t>
      </w:r>
    </w:p>
    <w:p w14:paraId="65E43920">
      <w:pPr>
        <w:pStyle w:val="46"/>
        <w:spacing w:line="560" w:lineRule="exact"/>
        <w:ind w:firstLine="643"/>
        <w:rPr>
          <w:rFonts w:ascii="Times New Roman" w:hAnsi="Times New Roman" w:eastAsia="仿宋_GB2312"/>
          <w:b/>
          <w:color w:val="000000"/>
          <w:sz w:val="32"/>
          <w:szCs w:val="32"/>
        </w:rPr>
      </w:pPr>
      <w:r>
        <w:rPr>
          <w:rFonts w:ascii="Times New Roman" w:hAnsi="仿宋_GB2312" w:eastAsia="仿宋_GB2312"/>
          <w:b/>
          <w:color w:val="000000"/>
          <w:sz w:val="32"/>
          <w:szCs w:val="32"/>
        </w:rPr>
        <w:t>（</w:t>
      </w:r>
      <w:r>
        <w:rPr>
          <w:rFonts w:ascii="Times New Roman" w:hAnsi="Times New Roman" w:eastAsia="仿宋_GB2312"/>
          <w:b/>
          <w:color w:val="000000"/>
          <w:sz w:val="32"/>
          <w:szCs w:val="32"/>
        </w:rPr>
        <w:t>3</w:t>
      </w:r>
      <w:r>
        <w:rPr>
          <w:rFonts w:ascii="Times New Roman" w:hAnsi="仿宋_GB2312" w:eastAsia="仿宋_GB2312"/>
          <w:b/>
          <w:color w:val="000000"/>
          <w:sz w:val="32"/>
          <w:szCs w:val="32"/>
        </w:rPr>
        <w:t>）坚决落实医疗保障脱贫攻坚领域问题整改工作，确保整改措施有力有效、问题清零销号。</w:t>
      </w:r>
    </w:p>
    <w:p w14:paraId="014068F8">
      <w:pPr>
        <w:pStyle w:val="46"/>
        <w:spacing w:line="560" w:lineRule="exact"/>
        <w:ind w:firstLine="640"/>
        <w:rPr>
          <w:rFonts w:ascii="Times New Roman" w:hAnsi="Times New Roman" w:eastAsia="仿宋_GB2312"/>
          <w:color w:val="000000"/>
          <w:sz w:val="32"/>
          <w:szCs w:val="32"/>
        </w:rPr>
      </w:pPr>
      <w:r>
        <w:rPr>
          <w:rFonts w:ascii="Times New Roman" w:hAnsi="仿宋_GB2312" w:eastAsia="仿宋_GB2312"/>
          <w:color w:val="000000"/>
          <w:sz w:val="32"/>
          <w:szCs w:val="32"/>
        </w:rPr>
        <w:t>完成</w:t>
      </w:r>
      <w:r>
        <w:rPr>
          <w:rFonts w:ascii="Times New Roman" w:hAnsi="Times New Roman" w:eastAsia="仿宋_GB2312"/>
          <w:color w:val="000000"/>
          <w:sz w:val="32"/>
          <w:szCs w:val="32"/>
        </w:rPr>
        <w:t>2019</w:t>
      </w:r>
      <w:r>
        <w:rPr>
          <w:rFonts w:ascii="Times New Roman" w:hAnsi="仿宋_GB2312" w:eastAsia="仿宋_GB2312"/>
          <w:color w:val="000000"/>
          <w:sz w:val="32"/>
          <w:szCs w:val="32"/>
        </w:rPr>
        <w:t>年国家脱贫攻坚成效考核问题整改工作。通过开通</w:t>
      </w:r>
      <w:r>
        <w:rPr>
          <w:rFonts w:ascii="Times New Roman" w:hAnsi="Times New Roman" w:eastAsia="仿宋_GB2312"/>
          <w:color w:val="000000"/>
          <w:sz w:val="32"/>
          <w:szCs w:val="32"/>
        </w:rPr>
        <w:t>“</w:t>
      </w:r>
      <w:r>
        <w:rPr>
          <w:rFonts w:ascii="Times New Roman" w:hAnsi="仿宋_GB2312" w:eastAsia="仿宋_GB2312"/>
          <w:color w:val="000000"/>
          <w:sz w:val="32"/>
          <w:szCs w:val="32"/>
        </w:rPr>
        <w:t>绿色通道</w:t>
      </w:r>
      <w:r>
        <w:rPr>
          <w:rFonts w:ascii="Times New Roman" w:hAnsi="Times New Roman" w:eastAsia="仿宋_GB2312"/>
          <w:color w:val="000000"/>
          <w:sz w:val="32"/>
          <w:szCs w:val="32"/>
        </w:rPr>
        <w:t>”</w:t>
      </w:r>
      <w:r>
        <w:rPr>
          <w:rFonts w:ascii="Times New Roman" w:hAnsi="仿宋_GB2312" w:eastAsia="仿宋_GB2312"/>
          <w:color w:val="000000"/>
          <w:sz w:val="32"/>
          <w:szCs w:val="32"/>
        </w:rPr>
        <w:t>、实行</w:t>
      </w:r>
      <w:r>
        <w:rPr>
          <w:rFonts w:ascii="Times New Roman" w:hAnsi="Times New Roman" w:eastAsia="仿宋_GB2312"/>
          <w:color w:val="000000"/>
          <w:sz w:val="32"/>
          <w:szCs w:val="32"/>
        </w:rPr>
        <w:t>“</w:t>
      </w:r>
      <w:r>
        <w:rPr>
          <w:rFonts w:ascii="Times New Roman" w:hAnsi="仿宋_GB2312" w:eastAsia="仿宋_GB2312"/>
          <w:color w:val="000000"/>
          <w:sz w:val="32"/>
          <w:szCs w:val="32"/>
        </w:rPr>
        <w:t>容缺受理</w:t>
      </w:r>
      <w:r>
        <w:rPr>
          <w:rFonts w:ascii="Times New Roman" w:hAnsi="Times New Roman" w:eastAsia="仿宋_GB2312"/>
          <w:color w:val="000000"/>
          <w:sz w:val="32"/>
          <w:szCs w:val="32"/>
        </w:rPr>
        <w:t>”</w:t>
      </w:r>
      <w:r>
        <w:rPr>
          <w:rFonts w:ascii="Times New Roman" w:hAnsi="仿宋_GB2312" w:eastAsia="仿宋_GB2312"/>
          <w:color w:val="000000"/>
          <w:sz w:val="32"/>
          <w:szCs w:val="32"/>
        </w:rPr>
        <w:t>、加大宣传力度、制定慢病核查流程，按照</w:t>
      </w:r>
      <w:r>
        <w:rPr>
          <w:rFonts w:ascii="Times New Roman" w:hAnsi="Times New Roman" w:eastAsia="仿宋_GB2312"/>
          <w:color w:val="000000"/>
          <w:sz w:val="32"/>
          <w:szCs w:val="32"/>
        </w:rPr>
        <w:t>“</w:t>
      </w:r>
      <w:r>
        <w:rPr>
          <w:rFonts w:ascii="Times New Roman" w:hAnsi="仿宋_GB2312" w:eastAsia="仿宋_GB2312"/>
          <w:color w:val="000000"/>
          <w:sz w:val="32"/>
          <w:szCs w:val="32"/>
        </w:rPr>
        <w:t>应认尽认</w:t>
      </w:r>
      <w:r>
        <w:rPr>
          <w:rFonts w:ascii="Times New Roman" w:hAnsi="Times New Roman" w:eastAsia="仿宋_GB2312"/>
          <w:color w:val="000000"/>
          <w:sz w:val="32"/>
          <w:szCs w:val="32"/>
        </w:rPr>
        <w:t>”</w:t>
      </w:r>
      <w:r>
        <w:rPr>
          <w:rFonts w:ascii="Times New Roman" w:hAnsi="仿宋_GB2312" w:eastAsia="仿宋_GB2312"/>
          <w:color w:val="000000"/>
          <w:sz w:val="32"/>
          <w:szCs w:val="32"/>
        </w:rPr>
        <w:t>的原则，联合县卫健局、县医疗集团开展现场审核认定。截至</w:t>
      </w:r>
      <w:r>
        <w:rPr>
          <w:rFonts w:ascii="Times New Roman" w:hAnsi="Times New Roman" w:eastAsia="仿宋_GB2312"/>
          <w:color w:val="000000"/>
          <w:sz w:val="32"/>
          <w:szCs w:val="32"/>
        </w:rPr>
        <w:t>10</w:t>
      </w:r>
      <w:r>
        <w:rPr>
          <w:rFonts w:ascii="Times New Roman" w:hAnsi="仿宋_GB2312" w:eastAsia="仿宋_GB2312"/>
          <w:color w:val="000000"/>
          <w:sz w:val="32"/>
          <w:szCs w:val="32"/>
        </w:rPr>
        <w:t>月，全县符合条件的建档立卡贫困人口门特认定备案累计</w:t>
      </w:r>
      <w:r>
        <w:rPr>
          <w:rFonts w:ascii="Times New Roman" w:hAnsi="Times New Roman" w:eastAsia="仿宋_GB2312"/>
          <w:color w:val="000000"/>
          <w:sz w:val="32"/>
          <w:szCs w:val="32"/>
        </w:rPr>
        <w:t>2105</w:t>
      </w:r>
      <w:r>
        <w:rPr>
          <w:rFonts w:ascii="Times New Roman" w:hAnsi="仿宋_GB2312" w:eastAsia="仿宋_GB2312"/>
          <w:color w:val="000000"/>
          <w:sz w:val="32"/>
          <w:szCs w:val="32"/>
        </w:rPr>
        <w:t>人次，其中：一类</w:t>
      </w:r>
      <w:r>
        <w:rPr>
          <w:rFonts w:ascii="Times New Roman" w:hAnsi="Times New Roman" w:eastAsia="仿宋_GB2312"/>
          <w:color w:val="000000"/>
          <w:sz w:val="32"/>
          <w:szCs w:val="32"/>
        </w:rPr>
        <w:t>291</w:t>
      </w:r>
      <w:r>
        <w:rPr>
          <w:rFonts w:ascii="Times New Roman" w:hAnsi="仿宋_GB2312" w:eastAsia="仿宋_GB2312"/>
          <w:color w:val="000000"/>
          <w:sz w:val="32"/>
          <w:szCs w:val="32"/>
        </w:rPr>
        <w:t>人次，二类</w:t>
      </w:r>
      <w:r>
        <w:rPr>
          <w:rFonts w:ascii="Times New Roman" w:hAnsi="Times New Roman" w:eastAsia="仿宋_GB2312"/>
          <w:color w:val="000000"/>
          <w:sz w:val="32"/>
          <w:szCs w:val="32"/>
        </w:rPr>
        <w:t>352</w:t>
      </w:r>
      <w:r>
        <w:rPr>
          <w:rFonts w:ascii="Times New Roman" w:hAnsi="仿宋_GB2312" w:eastAsia="仿宋_GB2312"/>
          <w:color w:val="000000"/>
          <w:sz w:val="32"/>
          <w:szCs w:val="32"/>
        </w:rPr>
        <w:t>人次，三类</w:t>
      </w:r>
      <w:r>
        <w:rPr>
          <w:rFonts w:ascii="Times New Roman" w:hAnsi="Times New Roman" w:eastAsia="仿宋_GB2312"/>
          <w:color w:val="000000"/>
          <w:sz w:val="32"/>
          <w:szCs w:val="32"/>
        </w:rPr>
        <w:t>1416</w:t>
      </w:r>
      <w:r>
        <w:rPr>
          <w:rFonts w:ascii="Times New Roman" w:hAnsi="仿宋_GB2312" w:eastAsia="仿宋_GB2312"/>
          <w:color w:val="000000"/>
          <w:sz w:val="32"/>
          <w:szCs w:val="32"/>
        </w:rPr>
        <w:t>人次。非建档立卡特殊困难户门特认定备案累计</w:t>
      </w:r>
      <w:r>
        <w:rPr>
          <w:rFonts w:ascii="Times New Roman" w:hAnsi="Times New Roman" w:eastAsia="仿宋_GB2312"/>
          <w:color w:val="000000"/>
          <w:sz w:val="32"/>
          <w:szCs w:val="32"/>
        </w:rPr>
        <w:t>153</w:t>
      </w:r>
      <w:r>
        <w:rPr>
          <w:rFonts w:ascii="Times New Roman" w:hAnsi="仿宋_GB2312" w:eastAsia="仿宋_GB2312"/>
          <w:color w:val="000000"/>
          <w:sz w:val="32"/>
          <w:szCs w:val="32"/>
        </w:rPr>
        <w:t>人次，其中：一类</w:t>
      </w:r>
      <w:r>
        <w:rPr>
          <w:rFonts w:ascii="Times New Roman" w:hAnsi="Times New Roman" w:eastAsia="仿宋_GB2312"/>
          <w:color w:val="000000"/>
          <w:sz w:val="32"/>
          <w:szCs w:val="32"/>
        </w:rPr>
        <w:t>30</w:t>
      </w:r>
      <w:r>
        <w:rPr>
          <w:rFonts w:ascii="Times New Roman" w:hAnsi="仿宋_GB2312" w:eastAsia="仿宋_GB2312"/>
          <w:color w:val="000000"/>
          <w:sz w:val="32"/>
          <w:szCs w:val="32"/>
        </w:rPr>
        <w:t>人次，二类</w:t>
      </w:r>
      <w:r>
        <w:rPr>
          <w:rFonts w:ascii="Times New Roman" w:hAnsi="Times New Roman" w:eastAsia="仿宋_GB2312"/>
          <w:color w:val="000000"/>
          <w:sz w:val="32"/>
          <w:szCs w:val="32"/>
        </w:rPr>
        <w:t>33</w:t>
      </w:r>
      <w:r>
        <w:rPr>
          <w:rFonts w:ascii="Times New Roman" w:hAnsi="仿宋_GB2312" w:eastAsia="仿宋_GB2312"/>
          <w:color w:val="000000"/>
          <w:sz w:val="32"/>
          <w:szCs w:val="32"/>
        </w:rPr>
        <w:t>人次，三类</w:t>
      </w:r>
      <w:r>
        <w:rPr>
          <w:rFonts w:ascii="Times New Roman" w:hAnsi="Times New Roman" w:eastAsia="仿宋_GB2312"/>
          <w:color w:val="000000"/>
          <w:sz w:val="32"/>
          <w:szCs w:val="32"/>
        </w:rPr>
        <w:t>90</w:t>
      </w:r>
      <w:r>
        <w:rPr>
          <w:rFonts w:ascii="Times New Roman" w:hAnsi="仿宋_GB2312" w:eastAsia="仿宋_GB2312"/>
          <w:color w:val="000000"/>
          <w:sz w:val="32"/>
          <w:szCs w:val="32"/>
        </w:rPr>
        <w:t>人次。</w:t>
      </w:r>
    </w:p>
    <w:p w14:paraId="17F61934">
      <w:pPr>
        <w:pStyle w:val="46"/>
        <w:spacing w:line="560" w:lineRule="exact"/>
        <w:ind w:firstLine="640"/>
        <w:rPr>
          <w:rFonts w:ascii="Times New Roman" w:hAnsi="Times New Roman" w:eastAsia="仿宋_GB2312"/>
          <w:color w:val="000000"/>
          <w:sz w:val="32"/>
          <w:szCs w:val="32"/>
        </w:rPr>
      </w:pPr>
      <w:r>
        <w:rPr>
          <w:rFonts w:ascii="Times New Roman" w:hAnsi="仿宋_GB2312" w:eastAsia="仿宋_GB2312"/>
          <w:color w:val="000000"/>
          <w:sz w:val="32"/>
          <w:szCs w:val="32"/>
        </w:rPr>
        <w:t>完成</w:t>
      </w:r>
      <w:r>
        <w:rPr>
          <w:rFonts w:ascii="Times New Roman" w:hAnsi="Times New Roman" w:eastAsia="仿宋_GB2312"/>
          <w:color w:val="000000"/>
          <w:sz w:val="32"/>
          <w:szCs w:val="32"/>
        </w:rPr>
        <w:t>2019</w:t>
      </w:r>
      <w:r>
        <w:rPr>
          <w:rFonts w:ascii="Times New Roman" w:hAnsi="仿宋_GB2312" w:eastAsia="仿宋_GB2312"/>
          <w:color w:val="000000"/>
          <w:sz w:val="32"/>
          <w:szCs w:val="32"/>
        </w:rPr>
        <w:t>年脱贫攻坚成效省级交叉考核反馈问题整改工作。为确保动态调整新增贫困人口城乡居民基本医疗保险个人缴费部分实行财政全额代缴，积极与县扶贫开发局对接，及时交换动态调整新增贫困人口信息，及时参保，确保对其参加本年度的城乡居民基本医疗保险个人缴费部分实现财政全额代缴。</w:t>
      </w:r>
    </w:p>
    <w:p w14:paraId="319D3980">
      <w:pPr>
        <w:pStyle w:val="46"/>
        <w:spacing w:line="560" w:lineRule="exact"/>
        <w:ind w:firstLine="643"/>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(4) </w:t>
      </w:r>
      <w:r>
        <w:rPr>
          <w:rFonts w:ascii="Times New Roman" w:hAnsi="Times New Roman" w:eastAsia="仿宋_GB2312"/>
          <w:b/>
          <w:color w:val="000000"/>
          <w:spacing w:val="-20"/>
          <w:sz w:val="32"/>
          <w:szCs w:val="32"/>
        </w:rPr>
        <w:t>“</w:t>
      </w:r>
      <w:r>
        <w:rPr>
          <w:rFonts w:ascii="Times New Roman" w:hAnsi="仿宋_GB2312" w:eastAsia="仿宋_GB2312"/>
          <w:b/>
          <w:color w:val="000000"/>
          <w:spacing w:val="-20"/>
          <w:sz w:val="32"/>
          <w:szCs w:val="32"/>
        </w:rPr>
        <w:t>村医通</w:t>
      </w:r>
      <w:r>
        <w:rPr>
          <w:rFonts w:ascii="Times New Roman" w:hAnsi="Times New Roman" w:eastAsia="仿宋_GB2312"/>
          <w:b/>
          <w:color w:val="000000"/>
          <w:spacing w:val="-20"/>
          <w:sz w:val="32"/>
          <w:szCs w:val="32"/>
        </w:rPr>
        <w:t>”</w:t>
      </w:r>
      <w:r>
        <w:rPr>
          <w:rFonts w:ascii="Times New Roman" w:hAnsi="仿宋_GB2312" w:eastAsia="仿宋_GB2312"/>
          <w:b/>
          <w:color w:val="000000"/>
          <w:spacing w:val="-20"/>
          <w:sz w:val="32"/>
          <w:szCs w:val="32"/>
        </w:rPr>
        <w:t>医保系统打通医保联网即时结算</w:t>
      </w:r>
      <w:r>
        <w:rPr>
          <w:rFonts w:ascii="Times New Roman" w:hAnsi="Times New Roman" w:eastAsia="仿宋_GB2312"/>
          <w:b/>
          <w:color w:val="000000"/>
          <w:spacing w:val="-20"/>
          <w:sz w:val="32"/>
          <w:szCs w:val="32"/>
        </w:rPr>
        <w:t>“</w:t>
      </w:r>
      <w:r>
        <w:rPr>
          <w:rFonts w:ascii="Times New Roman" w:hAnsi="仿宋_GB2312" w:eastAsia="仿宋_GB2312"/>
          <w:b/>
          <w:color w:val="000000"/>
          <w:spacing w:val="-20"/>
          <w:sz w:val="32"/>
          <w:szCs w:val="32"/>
        </w:rPr>
        <w:t>最后一公里</w:t>
      </w:r>
      <w:r>
        <w:rPr>
          <w:rFonts w:ascii="Times New Roman" w:hAnsi="Times New Roman" w:eastAsia="仿宋_GB2312"/>
          <w:b/>
          <w:color w:val="000000"/>
          <w:spacing w:val="-20"/>
          <w:sz w:val="32"/>
          <w:szCs w:val="32"/>
        </w:rPr>
        <w:t>”</w:t>
      </w:r>
      <w:r>
        <w:rPr>
          <w:rFonts w:ascii="Times New Roman" w:hAnsi="仿宋_GB2312" w:eastAsia="仿宋_GB2312"/>
          <w:b/>
          <w:color w:val="000000"/>
          <w:spacing w:val="-20"/>
          <w:sz w:val="32"/>
          <w:szCs w:val="32"/>
        </w:rPr>
        <w:t>。</w:t>
      </w:r>
    </w:p>
    <w:p w14:paraId="27DE3ECD">
      <w:pPr>
        <w:pStyle w:val="46"/>
        <w:spacing w:line="560" w:lineRule="exact"/>
        <w:ind w:firstLine="640"/>
        <w:rPr>
          <w:rFonts w:ascii="Times New Roman" w:hAnsi="仿宋_GB2312" w:eastAsia="仿宋_GB2312"/>
          <w:color w:val="000000"/>
          <w:sz w:val="32"/>
          <w:szCs w:val="32"/>
        </w:rPr>
      </w:pPr>
      <w:r>
        <w:rPr>
          <w:rFonts w:ascii="Times New Roman" w:hAnsi="仿宋_GB2312" w:eastAsia="仿宋_GB2312"/>
          <w:color w:val="000000"/>
          <w:sz w:val="32"/>
          <w:szCs w:val="32"/>
        </w:rPr>
        <w:t>解决村卫生室使用</w:t>
      </w:r>
      <w:r>
        <w:rPr>
          <w:rFonts w:ascii="Times New Roman" w:hAnsi="Times New Roman" w:eastAsia="仿宋_GB2312"/>
          <w:color w:val="000000"/>
          <w:sz w:val="32"/>
          <w:szCs w:val="32"/>
        </w:rPr>
        <w:t>“</w:t>
      </w:r>
      <w:r>
        <w:rPr>
          <w:rFonts w:ascii="Times New Roman" w:hAnsi="仿宋_GB2312" w:eastAsia="仿宋_GB2312"/>
          <w:color w:val="000000"/>
          <w:sz w:val="32"/>
          <w:szCs w:val="32"/>
        </w:rPr>
        <w:t>村医通</w:t>
      </w:r>
      <w:r>
        <w:rPr>
          <w:rFonts w:ascii="Times New Roman" w:hAnsi="Times New Roman" w:eastAsia="仿宋_GB2312"/>
          <w:color w:val="000000"/>
          <w:sz w:val="32"/>
          <w:szCs w:val="32"/>
        </w:rPr>
        <w:t>”</w:t>
      </w:r>
      <w:r>
        <w:rPr>
          <w:rFonts w:ascii="Times New Roman" w:hAnsi="仿宋_GB2312" w:eastAsia="仿宋_GB2312"/>
          <w:color w:val="000000"/>
          <w:sz w:val="32"/>
          <w:szCs w:val="32"/>
        </w:rPr>
        <w:t>进行医保结算存在的网络使用、系统维护、刷卡机具购买经费等问题。全县</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8</w:t>
      </w:r>
      <w:r>
        <w:rPr>
          <w:rFonts w:ascii="Times New Roman" w:hAnsi="仿宋_GB2312" w:eastAsia="仿宋_GB2312"/>
          <w:color w:val="000000"/>
          <w:sz w:val="32"/>
          <w:szCs w:val="32"/>
        </w:rPr>
        <w:t>个贫困村的村卫生室已经实现了</w:t>
      </w:r>
      <w:r>
        <w:rPr>
          <w:rFonts w:ascii="Times New Roman" w:hAnsi="Times New Roman" w:eastAsia="仿宋_GB2312"/>
          <w:color w:val="000000"/>
          <w:sz w:val="32"/>
          <w:szCs w:val="32"/>
        </w:rPr>
        <w:t>“</w:t>
      </w:r>
      <w:r>
        <w:rPr>
          <w:rFonts w:ascii="Times New Roman" w:hAnsi="仿宋_GB2312" w:eastAsia="仿宋_GB2312"/>
          <w:color w:val="000000"/>
          <w:sz w:val="32"/>
          <w:szCs w:val="32"/>
        </w:rPr>
        <w:t>村医通</w:t>
      </w:r>
      <w:r>
        <w:rPr>
          <w:rFonts w:ascii="Times New Roman" w:hAnsi="Times New Roman" w:eastAsia="仿宋_GB2312"/>
          <w:color w:val="000000"/>
          <w:sz w:val="32"/>
          <w:szCs w:val="32"/>
        </w:rPr>
        <w:t>”</w:t>
      </w:r>
      <w:r>
        <w:rPr>
          <w:rFonts w:ascii="Times New Roman" w:hAnsi="仿宋_GB2312" w:eastAsia="仿宋_GB2312"/>
          <w:color w:val="000000"/>
          <w:sz w:val="32"/>
          <w:szCs w:val="32"/>
        </w:rPr>
        <w:t>医保系统的全覆盖，让农村参保群众</w:t>
      </w:r>
      <w:r>
        <w:rPr>
          <w:rFonts w:ascii="Times New Roman" w:hAnsi="Times New Roman" w:eastAsia="仿宋_GB2312"/>
          <w:color w:val="000000"/>
          <w:sz w:val="32"/>
          <w:szCs w:val="32"/>
        </w:rPr>
        <w:t>“</w:t>
      </w:r>
      <w:r>
        <w:rPr>
          <w:rFonts w:ascii="Times New Roman" w:hAnsi="仿宋_GB2312" w:eastAsia="仿宋_GB2312"/>
          <w:color w:val="000000"/>
          <w:sz w:val="32"/>
          <w:szCs w:val="32"/>
        </w:rPr>
        <w:t>足不出村</w:t>
      </w:r>
      <w:r>
        <w:rPr>
          <w:rFonts w:ascii="Times New Roman" w:hAnsi="Times New Roman" w:eastAsia="仿宋_GB2312"/>
          <w:color w:val="000000"/>
          <w:sz w:val="32"/>
          <w:szCs w:val="32"/>
        </w:rPr>
        <w:t>”</w:t>
      </w:r>
      <w:r>
        <w:rPr>
          <w:rFonts w:ascii="Times New Roman" w:hAnsi="仿宋_GB2312" w:eastAsia="仿宋_GB2312"/>
          <w:color w:val="000000"/>
          <w:sz w:val="32"/>
          <w:szCs w:val="32"/>
        </w:rPr>
        <w:t>就能享受医保即时结算服务。截至</w:t>
      </w:r>
      <w:r>
        <w:rPr>
          <w:rFonts w:ascii="Times New Roman" w:hAnsi="Times New Roman" w:eastAsia="仿宋_GB2312"/>
          <w:color w:val="000000"/>
          <w:sz w:val="32"/>
          <w:szCs w:val="32"/>
        </w:rPr>
        <w:t>10</w:t>
      </w:r>
      <w:r>
        <w:rPr>
          <w:rFonts w:ascii="Times New Roman" w:hAnsi="仿宋_GB2312" w:eastAsia="仿宋_GB2312"/>
          <w:color w:val="000000"/>
          <w:sz w:val="32"/>
          <w:szCs w:val="32"/>
        </w:rPr>
        <w:t>月，</w:t>
      </w:r>
      <w:r>
        <w:rPr>
          <w:rFonts w:ascii="Times New Roman" w:hAnsi="Times New Roman" w:eastAsia="仿宋_GB2312"/>
          <w:color w:val="000000"/>
          <w:sz w:val="32"/>
          <w:szCs w:val="32"/>
        </w:rPr>
        <w:t>“</w:t>
      </w:r>
      <w:r>
        <w:rPr>
          <w:rFonts w:ascii="Times New Roman" w:hAnsi="仿宋_GB2312" w:eastAsia="仿宋_GB2312"/>
          <w:color w:val="000000"/>
          <w:sz w:val="32"/>
          <w:szCs w:val="32"/>
        </w:rPr>
        <w:t>村医通</w:t>
      </w:r>
      <w:r>
        <w:rPr>
          <w:rFonts w:ascii="Times New Roman" w:hAnsi="Times New Roman" w:eastAsia="仿宋_GB2312"/>
          <w:color w:val="000000"/>
          <w:sz w:val="32"/>
          <w:szCs w:val="32"/>
        </w:rPr>
        <w:t>”</w:t>
      </w:r>
      <w:r>
        <w:rPr>
          <w:rFonts w:ascii="Times New Roman" w:hAnsi="仿宋_GB2312" w:eastAsia="仿宋_GB2312"/>
          <w:color w:val="000000"/>
          <w:sz w:val="32"/>
          <w:szCs w:val="32"/>
        </w:rPr>
        <w:t>医保系统结算</w:t>
      </w:r>
      <w:r>
        <w:rPr>
          <w:rFonts w:ascii="Times New Roman" w:hAnsi="Times New Roman" w:eastAsia="仿宋_GB2312"/>
          <w:color w:val="000000"/>
          <w:sz w:val="32"/>
          <w:szCs w:val="32"/>
        </w:rPr>
        <w:t>1596</w:t>
      </w:r>
      <w:r>
        <w:rPr>
          <w:rFonts w:ascii="Times New Roman" w:hAnsi="仿宋_GB2312" w:eastAsia="仿宋_GB2312"/>
          <w:color w:val="000000"/>
          <w:sz w:val="32"/>
          <w:szCs w:val="32"/>
        </w:rPr>
        <w:t>人次，医保报销</w:t>
      </w:r>
      <w:r>
        <w:rPr>
          <w:rFonts w:ascii="Times New Roman" w:hAnsi="Times New Roman" w:eastAsia="仿宋_GB2312"/>
          <w:color w:val="000000"/>
          <w:sz w:val="32"/>
          <w:szCs w:val="32"/>
        </w:rPr>
        <w:t>5.49</w:t>
      </w:r>
      <w:r>
        <w:rPr>
          <w:rFonts w:ascii="Times New Roman" w:hAnsi="仿宋_GB2312" w:eastAsia="仿宋_GB2312"/>
          <w:color w:val="000000"/>
          <w:sz w:val="32"/>
          <w:szCs w:val="32"/>
        </w:rPr>
        <w:t>万元。</w:t>
      </w:r>
    </w:p>
    <w:p w14:paraId="2C21EF8B">
      <w:pPr>
        <w:pStyle w:val="46"/>
        <w:spacing w:line="560" w:lineRule="exact"/>
        <w:ind w:firstLine="640"/>
        <w:rPr>
          <w:rFonts w:ascii="仿宋_GB2312" w:hAnsi="仿宋_GB2312" w:eastAsia="仿宋_GB2312"/>
          <w:color w:val="000000"/>
          <w:sz w:val="32"/>
          <w:szCs w:val="32"/>
        </w:rPr>
      </w:pPr>
      <w:r>
        <w:rPr>
          <w:rFonts w:hint="eastAsia" w:ascii="仿宋_GB2312" w:hAnsi="宋体" w:eastAsia="仿宋_GB2312" w:cs="宋体"/>
          <w:bCs/>
          <w:color w:val="000000"/>
          <w:kern w:val="0"/>
          <w:sz w:val="32"/>
          <w:szCs w:val="32"/>
        </w:rPr>
        <w:t>主要项目绩效完成情况参见下表：</w:t>
      </w:r>
    </w:p>
    <w:p w14:paraId="745E8C9A">
      <w:pPr>
        <w:pStyle w:val="46"/>
        <w:spacing w:line="560" w:lineRule="exact"/>
        <w:ind w:firstLine="640"/>
        <w:rPr>
          <w:rFonts w:ascii="Times New Roman" w:hAnsi="仿宋_GB2312" w:eastAsia="仿宋_GB2312"/>
          <w:color w:val="000000"/>
          <w:sz w:val="32"/>
          <w:szCs w:val="32"/>
        </w:rPr>
        <w:sectPr>
          <w:footerReference r:id="rId5" w:type="first"/>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pPr>
    </w:p>
    <w:p w14:paraId="0BED7417">
      <w:pPr>
        <w:pStyle w:val="46"/>
        <w:spacing w:line="560" w:lineRule="exact"/>
        <w:ind w:firstLine="0" w:firstLineChars="0"/>
        <w:jc w:val="center"/>
        <w:rPr>
          <w:rFonts w:ascii="仿宋_GB2312" w:hAnsi="仿宋_GB2312" w:eastAsia="仿宋_GB2312"/>
          <w:color w:val="000000"/>
          <w:sz w:val="32"/>
          <w:szCs w:val="32"/>
        </w:rPr>
      </w:pPr>
      <w:r>
        <w:rPr>
          <w:rFonts w:hint="eastAsia" w:ascii="仿宋_GB2312" w:hAnsi="宋体" w:eastAsia="仿宋_GB2312" w:cs="宋体"/>
          <w:b/>
          <w:bCs/>
          <w:color w:val="000000"/>
          <w:kern w:val="0"/>
          <w:sz w:val="32"/>
          <w:szCs w:val="32"/>
        </w:rPr>
        <w:t>项目支出绩效目标完成情况表</w:t>
      </w:r>
    </w:p>
    <w:tbl>
      <w:tblPr>
        <w:tblStyle w:val="14"/>
        <w:tblW w:w="15813" w:type="dxa"/>
        <w:tblInd w:w="-743" w:type="dxa"/>
        <w:tblLayout w:type="autofit"/>
        <w:tblCellMar>
          <w:top w:w="0" w:type="dxa"/>
          <w:left w:w="108" w:type="dxa"/>
          <w:bottom w:w="0" w:type="dxa"/>
          <w:right w:w="108" w:type="dxa"/>
        </w:tblCellMar>
      </w:tblPr>
      <w:tblGrid>
        <w:gridCol w:w="462"/>
        <w:gridCol w:w="1017"/>
        <w:gridCol w:w="1536"/>
        <w:gridCol w:w="2246"/>
        <w:gridCol w:w="1559"/>
        <w:gridCol w:w="1451"/>
        <w:gridCol w:w="1488"/>
        <w:gridCol w:w="1659"/>
        <w:gridCol w:w="3519"/>
        <w:gridCol w:w="876"/>
      </w:tblGrid>
      <w:tr w14:paraId="1073F263">
        <w:tblPrEx>
          <w:tblCellMar>
            <w:top w:w="0" w:type="dxa"/>
            <w:left w:w="108" w:type="dxa"/>
            <w:bottom w:w="0" w:type="dxa"/>
            <w:right w:w="108" w:type="dxa"/>
          </w:tblCellMar>
        </w:tblPrEx>
        <w:trPr>
          <w:trHeight w:val="300" w:hRule="atLeast"/>
        </w:trPr>
        <w:tc>
          <w:tcPr>
            <w:tcW w:w="462" w:type="dxa"/>
            <w:vMerge w:val="restart"/>
            <w:tcBorders>
              <w:top w:val="single" w:color="auto" w:sz="4" w:space="0"/>
              <w:left w:val="single" w:color="auto" w:sz="8" w:space="0"/>
              <w:bottom w:val="single" w:color="000000" w:sz="4" w:space="0"/>
              <w:right w:val="single" w:color="auto" w:sz="8" w:space="0"/>
            </w:tcBorders>
            <w:shd w:val="clear" w:color="auto" w:fill="auto"/>
            <w:vAlign w:val="center"/>
          </w:tcPr>
          <w:p w14:paraId="04BA2B5F">
            <w:pPr>
              <w:widowControl/>
              <w:jc w:val="center"/>
              <w:rPr>
                <w:color w:val="000000"/>
                <w:kern w:val="0"/>
                <w:sz w:val="18"/>
                <w:szCs w:val="18"/>
              </w:rPr>
            </w:pPr>
            <w:r>
              <w:rPr>
                <w:rFonts w:hAnsi="宋体"/>
                <w:color w:val="000000"/>
                <w:kern w:val="0"/>
                <w:sz w:val="18"/>
                <w:szCs w:val="18"/>
              </w:rPr>
              <w:t>序号</w:t>
            </w:r>
          </w:p>
        </w:tc>
        <w:tc>
          <w:tcPr>
            <w:tcW w:w="1017" w:type="dxa"/>
            <w:vMerge w:val="restart"/>
            <w:tcBorders>
              <w:top w:val="single" w:color="auto" w:sz="4" w:space="0"/>
              <w:left w:val="single" w:color="auto" w:sz="8" w:space="0"/>
              <w:bottom w:val="single" w:color="000000" w:sz="4" w:space="0"/>
              <w:right w:val="single" w:color="auto" w:sz="8" w:space="0"/>
            </w:tcBorders>
            <w:shd w:val="clear" w:color="auto" w:fill="auto"/>
            <w:vAlign w:val="center"/>
          </w:tcPr>
          <w:p w14:paraId="2C3F920E">
            <w:pPr>
              <w:widowControl/>
              <w:jc w:val="center"/>
              <w:rPr>
                <w:color w:val="000000"/>
                <w:kern w:val="0"/>
                <w:sz w:val="18"/>
                <w:szCs w:val="18"/>
              </w:rPr>
            </w:pPr>
            <w:r>
              <w:rPr>
                <w:rFonts w:hAnsi="宋体"/>
                <w:color w:val="000000"/>
                <w:kern w:val="0"/>
                <w:sz w:val="18"/>
                <w:szCs w:val="18"/>
              </w:rPr>
              <w:t>项目名称</w:t>
            </w:r>
          </w:p>
        </w:tc>
        <w:tc>
          <w:tcPr>
            <w:tcW w:w="1536" w:type="dxa"/>
            <w:vMerge w:val="restart"/>
            <w:tcBorders>
              <w:top w:val="single" w:color="auto" w:sz="4" w:space="0"/>
              <w:left w:val="single" w:color="auto" w:sz="8" w:space="0"/>
              <w:bottom w:val="single" w:color="000000" w:sz="4" w:space="0"/>
              <w:right w:val="single" w:color="auto" w:sz="8" w:space="0"/>
            </w:tcBorders>
            <w:shd w:val="clear" w:color="auto" w:fill="auto"/>
            <w:vAlign w:val="center"/>
          </w:tcPr>
          <w:p w14:paraId="14DF6E5A">
            <w:pPr>
              <w:widowControl/>
              <w:jc w:val="center"/>
              <w:rPr>
                <w:color w:val="000000"/>
                <w:kern w:val="0"/>
                <w:sz w:val="18"/>
                <w:szCs w:val="18"/>
              </w:rPr>
            </w:pPr>
            <w:r>
              <w:rPr>
                <w:rFonts w:hAnsi="宋体"/>
                <w:color w:val="000000"/>
                <w:kern w:val="0"/>
                <w:sz w:val="18"/>
                <w:szCs w:val="18"/>
              </w:rPr>
              <w:t>年度资金支出总额（元）</w:t>
            </w:r>
          </w:p>
        </w:tc>
        <w:tc>
          <w:tcPr>
            <w:tcW w:w="2246" w:type="dxa"/>
            <w:vMerge w:val="restart"/>
            <w:tcBorders>
              <w:top w:val="single" w:color="auto" w:sz="4" w:space="0"/>
              <w:left w:val="single" w:color="auto" w:sz="8" w:space="0"/>
              <w:bottom w:val="single" w:color="000000" w:sz="4" w:space="0"/>
              <w:right w:val="single" w:color="auto" w:sz="8" w:space="0"/>
            </w:tcBorders>
            <w:shd w:val="clear" w:color="auto" w:fill="auto"/>
            <w:vAlign w:val="center"/>
          </w:tcPr>
          <w:p w14:paraId="453887EB">
            <w:pPr>
              <w:widowControl/>
              <w:jc w:val="center"/>
              <w:rPr>
                <w:color w:val="000000"/>
                <w:kern w:val="0"/>
                <w:sz w:val="18"/>
                <w:szCs w:val="18"/>
              </w:rPr>
            </w:pPr>
            <w:r>
              <w:rPr>
                <w:rFonts w:hAnsi="宋体"/>
                <w:color w:val="000000"/>
                <w:kern w:val="0"/>
                <w:sz w:val="18"/>
                <w:szCs w:val="18"/>
              </w:rPr>
              <w:t>年度目标</w:t>
            </w:r>
          </w:p>
        </w:tc>
        <w:tc>
          <w:tcPr>
            <w:tcW w:w="10552" w:type="dxa"/>
            <w:gridSpan w:val="6"/>
            <w:tcBorders>
              <w:top w:val="single" w:color="auto" w:sz="4" w:space="0"/>
              <w:left w:val="nil"/>
              <w:bottom w:val="single" w:color="auto" w:sz="8" w:space="0"/>
              <w:right w:val="single" w:color="000000" w:sz="8" w:space="0"/>
            </w:tcBorders>
            <w:shd w:val="clear" w:color="auto" w:fill="auto"/>
            <w:vAlign w:val="center"/>
          </w:tcPr>
          <w:p w14:paraId="24220752">
            <w:pPr>
              <w:widowControl/>
              <w:jc w:val="center"/>
              <w:rPr>
                <w:color w:val="000000"/>
                <w:kern w:val="0"/>
                <w:sz w:val="18"/>
                <w:szCs w:val="18"/>
              </w:rPr>
            </w:pPr>
            <w:r>
              <w:rPr>
                <w:rFonts w:hAnsi="宋体"/>
                <w:color w:val="000000"/>
                <w:kern w:val="0"/>
                <w:sz w:val="18"/>
                <w:szCs w:val="18"/>
              </w:rPr>
              <w:t>绩效指标</w:t>
            </w:r>
          </w:p>
        </w:tc>
      </w:tr>
      <w:tr w14:paraId="035D2E89">
        <w:tblPrEx>
          <w:tblCellMar>
            <w:top w:w="0" w:type="dxa"/>
            <w:left w:w="108" w:type="dxa"/>
            <w:bottom w:w="0" w:type="dxa"/>
            <w:right w:w="108" w:type="dxa"/>
          </w:tblCellMar>
        </w:tblPrEx>
        <w:trPr>
          <w:trHeight w:val="600" w:hRule="atLeast"/>
        </w:trPr>
        <w:tc>
          <w:tcPr>
            <w:tcW w:w="462" w:type="dxa"/>
            <w:vMerge w:val="continue"/>
            <w:tcBorders>
              <w:top w:val="nil"/>
              <w:left w:val="single" w:color="auto" w:sz="8" w:space="0"/>
              <w:bottom w:val="single" w:color="000000" w:sz="4" w:space="0"/>
              <w:right w:val="single" w:color="auto" w:sz="8" w:space="0"/>
            </w:tcBorders>
            <w:vAlign w:val="center"/>
          </w:tcPr>
          <w:p w14:paraId="5066C909">
            <w:pPr>
              <w:widowControl/>
              <w:jc w:val="center"/>
              <w:rPr>
                <w:color w:val="000000"/>
                <w:kern w:val="0"/>
                <w:sz w:val="18"/>
                <w:szCs w:val="18"/>
              </w:rPr>
            </w:pPr>
          </w:p>
        </w:tc>
        <w:tc>
          <w:tcPr>
            <w:tcW w:w="1017" w:type="dxa"/>
            <w:vMerge w:val="continue"/>
            <w:tcBorders>
              <w:top w:val="nil"/>
              <w:left w:val="single" w:color="auto" w:sz="8" w:space="0"/>
              <w:bottom w:val="single" w:color="000000" w:sz="4" w:space="0"/>
              <w:right w:val="single" w:color="auto" w:sz="8" w:space="0"/>
            </w:tcBorders>
            <w:vAlign w:val="center"/>
          </w:tcPr>
          <w:p w14:paraId="3FF0FB8D">
            <w:pPr>
              <w:widowControl/>
              <w:jc w:val="center"/>
              <w:rPr>
                <w:color w:val="000000"/>
                <w:kern w:val="0"/>
                <w:sz w:val="18"/>
                <w:szCs w:val="18"/>
              </w:rPr>
            </w:pPr>
          </w:p>
        </w:tc>
        <w:tc>
          <w:tcPr>
            <w:tcW w:w="1536" w:type="dxa"/>
            <w:vMerge w:val="continue"/>
            <w:tcBorders>
              <w:top w:val="nil"/>
              <w:left w:val="single" w:color="auto" w:sz="8" w:space="0"/>
              <w:bottom w:val="single" w:color="000000" w:sz="4" w:space="0"/>
              <w:right w:val="single" w:color="auto" w:sz="8" w:space="0"/>
            </w:tcBorders>
            <w:vAlign w:val="center"/>
          </w:tcPr>
          <w:p w14:paraId="75DD4E72">
            <w:pPr>
              <w:widowControl/>
              <w:jc w:val="center"/>
              <w:rPr>
                <w:color w:val="000000"/>
                <w:kern w:val="0"/>
                <w:sz w:val="18"/>
                <w:szCs w:val="18"/>
              </w:rPr>
            </w:pPr>
          </w:p>
        </w:tc>
        <w:tc>
          <w:tcPr>
            <w:tcW w:w="2246" w:type="dxa"/>
            <w:vMerge w:val="continue"/>
            <w:tcBorders>
              <w:top w:val="nil"/>
              <w:left w:val="single" w:color="auto" w:sz="8" w:space="0"/>
              <w:bottom w:val="single" w:color="000000" w:sz="4" w:space="0"/>
              <w:right w:val="single" w:color="auto" w:sz="8" w:space="0"/>
            </w:tcBorders>
            <w:vAlign w:val="center"/>
          </w:tcPr>
          <w:p w14:paraId="713B5C54">
            <w:pPr>
              <w:widowControl/>
              <w:jc w:val="center"/>
              <w:rPr>
                <w:color w:val="000000"/>
                <w:kern w:val="0"/>
                <w:sz w:val="18"/>
                <w:szCs w:val="18"/>
              </w:rPr>
            </w:pPr>
          </w:p>
        </w:tc>
        <w:tc>
          <w:tcPr>
            <w:tcW w:w="1559" w:type="dxa"/>
            <w:tcBorders>
              <w:top w:val="nil"/>
              <w:left w:val="nil"/>
              <w:bottom w:val="nil"/>
              <w:right w:val="single" w:color="auto" w:sz="8" w:space="0"/>
            </w:tcBorders>
            <w:shd w:val="clear" w:color="auto" w:fill="auto"/>
            <w:vAlign w:val="center"/>
          </w:tcPr>
          <w:p w14:paraId="798D30AC">
            <w:pPr>
              <w:widowControl/>
              <w:jc w:val="center"/>
              <w:rPr>
                <w:color w:val="000000"/>
                <w:kern w:val="0"/>
                <w:sz w:val="18"/>
                <w:szCs w:val="18"/>
              </w:rPr>
            </w:pPr>
            <w:r>
              <w:rPr>
                <w:rFonts w:hAnsi="宋体"/>
                <w:color w:val="000000"/>
                <w:kern w:val="0"/>
                <w:sz w:val="18"/>
                <w:szCs w:val="18"/>
              </w:rPr>
              <w:t>数量指标</w:t>
            </w:r>
          </w:p>
        </w:tc>
        <w:tc>
          <w:tcPr>
            <w:tcW w:w="1451" w:type="dxa"/>
            <w:tcBorders>
              <w:top w:val="nil"/>
              <w:left w:val="nil"/>
              <w:bottom w:val="nil"/>
              <w:right w:val="single" w:color="auto" w:sz="8" w:space="0"/>
            </w:tcBorders>
            <w:shd w:val="clear" w:color="auto" w:fill="auto"/>
            <w:vAlign w:val="center"/>
          </w:tcPr>
          <w:p w14:paraId="2EE0ACC5">
            <w:pPr>
              <w:widowControl/>
              <w:jc w:val="center"/>
              <w:rPr>
                <w:color w:val="000000"/>
                <w:kern w:val="0"/>
                <w:sz w:val="18"/>
                <w:szCs w:val="18"/>
              </w:rPr>
            </w:pPr>
            <w:r>
              <w:rPr>
                <w:rFonts w:hAnsi="宋体"/>
                <w:color w:val="000000"/>
                <w:kern w:val="0"/>
                <w:sz w:val="18"/>
                <w:szCs w:val="18"/>
              </w:rPr>
              <w:t>质量指标</w:t>
            </w:r>
          </w:p>
        </w:tc>
        <w:tc>
          <w:tcPr>
            <w:tcW w:w="1488" w:type="dxa"/>
            <w:tcBorders>
              <w:top w:val="nil"/>
              <w:left w:val="nil"/>
              <w:bottom w:val="nil"/>
              <w:right w:val="single" w:color="auto" w:sz="8" w:space="0"/>
            </w:tcBorders>
            <w:shd w:val="clear" w:color="auto" w:fill="auto"/>
            <w:vAlign w:val="center"/>
          </w:tcPr>
          <w:p w14:paraId="1E37CA8C">
            <w:pPr>
              <w:widowControl/>
              <w:jc w:val="center"/>
              <w:rPr>
                <w:color w:val="000000"/>
                <w:kern w:val="0"/>
                <w:sz w:val="18"/>
                <w:szCs w:val="18"/>
              </w:rPr>
            </w:pPr>
            <w:r>
              <w:rPr>
                <w:rFonts w:hAnsi="宋体"/>
                <w:color w:val="000000"/>
                <w:kern w:val="0"/>
                <w:sz w:val="18"/>
                <w:szCs w:val="18"/>
              </w:rPr>
              <w:t>时效指标</w:t>
            </w:r>
          </w:p>
        </w:tc>
        <w:tc>
          <w:tcPr>
            <w:tcW w:w="1659" w:type="dxa"/>
            <w:tcBorders>
              <w:top w:val="nil"/>
              <w:left w:val="nil"/>
              <w:bottom w:val="nil"/>
              <w:right w:val="nil"/>
            </w:tcBorders>
            <w:shd w:val="clear" w:color="auto" w:fill="auto"/>
            <w:noWrap/>
            <w:vAlign w:val="center"/>
          </w:tcPr>
          <w:p w14:paraId="43E3A3AA">
            <w:pPr>
              <w:widowControl/>
              <w:jc w:val="center"/>
              <w:rPr>
                <w:color w:val="000000"/>
                <w:kern w:val="0"/>
                <w:sz w:val="18"/>
                <w:szCs w:val="18"/>
              </w:rPr>
            </w:pPr>
            <w:r>
              <w:rPr>
                <w:rFonts w:hAnsi="宋体"/>
                <w:color w:val="000000"/>
                <w:kern w:val="0"/>
                <w:sz w:val="18"/>
                <w:szCs w:val="18"/>
              </w:rPr>
              <w:t>社会效益指标</w:t>
            </w:r>
          </w:p>
        </w:tc>
        <w:tc>
          <w:tcPr>
            <w:tcW w:w="3519" w:type="dxa"/>
            <w:tcBorders>
              <w:top w:val="nil"/>
              <w:left w:val="single" w:color="auto" w:sz="8" w:space="0"/>
              <w:bottom w:val="nil"/>
              <w:right w:val="single" w:color="auto" w:sz="8" w:space="0"/>
            </w:tcBorders>
            <w:shd w:val="clear" w:color="auto" w:fill="auto"/>
            <w:vAlign w:val="center"/>
          </w:tcPr>
          <w:p w14:paraId="33985D5F">
            <w:pPr>
              <w:widowControl/>
              <w:jc w:val="center"/>
              <w:rPr>
                <w:color w:val="000000"/>
                <w:kern w:val="0"/>
                <w:sz w:val="18"/>
                <w:szCs w:val="18"/>
              </w:rPr>
            </w:pPr>
            <w:r>
              <w:rPr>
                <w:rFonts w:hAnsi="宋体"/>
                <w:color w:val="000000"/>
                <w:kern w:val="0"/>
                <w:sz w:val="18"/>
                <w:szCs w:val="18"/>
              </w:rPr>
              <w:t>完成情况</w:t>
            </w:r>
          </w:p>
        </w:tc>
        <w:tc>
          <w:tcPr>
            <w:tcW w:w="876" w:type="dxa"/>
            <w:tcBorders>
              <w:top w:val="nil"/>
              <w:left w:val="nil"/>
              <w:bottom w:val="nil"/>
              <w:right w:val="single" w:color="auto" w:sz="8" w:space="0"/>
            </w:tcBorders>
            <w:shd w:val="clear" w:color="auto" w:fill="auto"/>
            <w:vAlign w:val="center"/>
          </w:tcPr>
          <w:p w14:paraId="6B141FB9">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r>
      <w:tr w14:paraId="40F19984">
        <w:tblPrEx>
          <w:tblCellMar>
            <w:top w:w="0" w:type="dxa"/>
            <w:left w:w="108" w:type="dxa"/>
            <w:bottom w:w="0" w:type="dxa"/>
            <w:right w:w="108" w:type="dxa"/>
          </w:tblCellMar>
        </w:tblPrEx>
        <w:trPr>
          <w:trHeight w:val="2292" w:hRule="atLeast"/>
        </w:trPr>
        <w:tc>
          <w:tcPr>
            <w:tcW w:w="462" w:type="dxa"/>
            <w:tcBorders>
              <w:top w:val="nil"/>
              <w:left w:val="single" w:color="auto" w:sz="4" w:space="0"/>
              <w:bottom w:val="single" w:color="auto" w:sz="4" w:space="0"/>
              <w:right w:val="single" w:color="auto" w:sz="4" w:space="0"/>
            </w:tcBorders>
            <w:shd w:val="clear" w:color="auto" w:fill="auto"/>
            <w:vAlign w:val="center"/>
          </w:tcPr>
          <w:p w14:paraId="0BD6B21B">
            <w:pPr>
              <w:widowControl/>
              <w:jc w:val="center"/>
              <w:rPr>
                <w:color w:val="000000"/>
                <w:kern w:val="0"/>
                <w:sz w:val="18"/>
                <w:szCs w:val="18"/>
              </w:rPr>
            </w:pPr>
            <w:r>
              <w:rPr>
                <w:color w:val="000000"/>
                <w:kern w:val="0"/>
                <w:sz w:val="18"/>
                <w:szCs w:val="18"/>
              </w:rPr>
              <w:t>1</w:t>
            </w:r>
          </w:p>
        </w:tc>
        <w:tc>
          <w:tcPr>
            <w:tcW w:w="1017" w:type="dxa"/>
            <w:tcBorders>
              <w:top w:val="nil"/>
              <w:left w:val="nil"/>
              <w:bottom w:val="single" w:color="auto" w:sz="4" w:space="0"/>
              <w:right w:val="single" w:color="auto" w:sz="4" w:space="0"/>
            </w:tcBorders>
            <w:shd w:val="clear" w:color="auto" w:fill="auto"/>
            <w:vAlign w:val="center"/>
          </w:tcPr>
          <w:p w14:paraId="1190EC72">
            <w:pPr>
              <w:widowControl/>
              <w:jc w:val="center"/>
              <w:rPr>
                <w:color w:val="000000"/>
                <w:kern w:val="0"/>
                <w:sz w:val="18"/>
                <w:szCs w:val="18"/>
              </w:rPr>
            </w:pPr>
            <w:r>
              <w:rPr>
                <w:rFonts w:hAnsi="宋体"/>
                <w:color w:val="000000"/>
                <w:kern w:val="0"/>
                <w:sz w:val="18"/>
                <w:szCs w:val="18"/>
              </w:rPr>
              <w:t>医保专项工作经费</w:t>
            </w:r>
          </w:p>
        </w:tc>
        <w:tc>
          <w:tcPr>
            <w:tcW w:w="1536" w:type="dxa"/>
            <w:tcBorders>
              <w:top w:val="nil"/>
              <w:left w:val="nil"/>
              <w:bottom w:val="single" w:color="000000" w:sz="4" w:space="0"/>
              <w:right w:val="single" w:color="000000" w:sz="4" w:space="0"/>
            </w:tcBorders>
            <w:shd w:val="clear" w:color="auto" w:fill="auto"/>
            <w:noWrap/>
            <w:vAlign w:val="center"/>
          </w:tcPr>
          <w:p w14:paraId="5B76FBFB">
            <w:pPr>
              <w:widowControl/>
              <w:jc w:val="center"/>
              <w:rPr>
                <w:color w:val="000000"/>
                <w:kern w:val="0"/>
                <w:sz w:val="22"/>
              </w:rPr>
            </w:pPr>
            <w:r>
              <w:rPr>
                <w:color w:val="000000"/>
                <w:kern w:val="0"/>
                <w:sz w:val="22"/>
              </w:rPr>
              <w:t>109,987.00</w:t>
            </w:r>
          </w:p>
        </w:tc>
        <w:tc>
          <w:tcPr>
            <w:tcW w:w="2246" w:type="dxa"/>
            <w:tcBorders>
              <w:top w:val="nil"/>
              <w:left w:val="nil"/>
              <w:bottom w:val="single" w:color="auto" w:sz="4" w:space="0"/>
              <w:right w:val="single" w:color="auto" w:sz="4" w:space="0"/>
            </w:tcBorders>
            <w:shd w:val="clear" w:color="auto" w:fill="auto"/>
            <w:vAlign w:val="center"/>
          </w:tcPr>
          <w:p w14:paraId="06F7E569">
            <w:pPr>
              <w:widowControl/>
              <w:rPr>
                <w:color w:val="000000"/>
                <w:kern w:val="0"/>
                <w:sz w:val="18"/>
                <w:szCs w:val="18"/>
              </w:rPr>
            </w:pPr>
            <w:r>
              <w:rPr>
                <w:rFonts w:hAnsi="宋体"/>
                <w:color w:val="000000"/>
                <w:kern w:val="0"/>
                <w:sz w:val="18"/>
                <w:szCs w:val="18"/>
              </w:rPr>
              <w:t>做好医保征收、医保支付方式改革工作，重点推行按疾病诊断相关分组与点数法相结合付费方式改革。完成各项医疗保险待遇审核结算、工伤生育保险核定及待遇审核支付，定点药店刷卡审核结算，做好医保经办风险防控工作。</w:t>
            </w:r>
          </w:p>
        </w:tc>
        <w:tc>
          <w:tcPr>
            <w:tcW w:w="1559" w:type="dxa"/>
            <w:tcBorders>
              <w:top w:val="single" w:color="auto" w:sz="4" w:space="0"/>
              <w:left w:val="nil"/>
              <w:bottom w:val="single" w:color="auto" w:sz="4" w:space="0"/>
              <w:right w:val="nil"/>
            </w:tcBorders>
            <w:shd w:val="clear" w:color="auto" w:fill="auto"/>
            <w:vAlign w:val="center"/>
          </w:tcPr>
          <w:p w14:paraId="7F9E37EE">
            <w:pPr>
              <w:widowControl/>
              <w:rPr>
                <w:color w:val="000000"/>
                <w:kern w:val="0"/>
                <w:sz w:val="18"/>
                <w:szCs w:val="18"/>
              </w:rPr>
            </w:pPr>
            <w:r>
              <w:rPr>
                <w:rFonts w:hAnsi="宋体"/>
                <w:color w:val="000000"/>
                <w:kern w:val="0"/>
                <w:sz w:val="18"/>
                <w:szCs w:val="18"/>
              </w:rPr>
              <w:t>参保人数</w:t>
            </w:r>
            <w:r>
              <w:rPr>
                <w:color w:val="000000"/>
                <w:kern w:val="0"/>
                <w:sz w:val="18"/>
                <w:szCs w:val="18"/>
              </w:rPr>
              <w:t>:189627</w:t>
            </w:r>
          </w:p>
        </w:tc>
        <w:tc>
          <w:tcPr>
            <w:tcW w:w="1451" w:type="dxa"/>
            <w:tcBorders>
              <w:top w:val="single" w:color="auto" w:sz="4" w:space="0"/>
              <w:left w:val="single" w:color="auto" w:sz="4" w:space="0"/>
              <w:bottom w:val="single" w:color="auto" w:sz="4" w:space="0"/>
              <w:right w:val="nil"/>
            </w:tcBorders>
            <w:shd w:val="clear" w:color="auto" w:fill="auto"/>
            <w:vAlign w:val="center"/>
          </w:tcPr>
          <w:p w14:paraId="38057C31">
            <w:pPr>
              <w:widowControl/>
              <w:rPr>
                <w:color w:val="000000"/>
                <w:kern w:val="0"/>
                <w:sz w:val="18"/>
                <w:szCs w:val="18"/>
              </w:rPr>
            </w:pPr>
          </w:p>
        </w:tc>
        <w:tc>
          <w:tcPr>
            <w:tcW w:w="1488" w:type="dxa"/>
            <w:tcBorders>
              <w:top w:val="single" w:color="auto" w:sz="4" w:space="0"/>
              <w:left w:val="single" w:color="auto" w:sz="4" w:space="0"/>
              <w:bottom w:val="single" w:color="auto" w:sz="4" w:space="0"/>
              <w:right w:val="nil"/>
            </w:tcBorders>
            <w:shd w:val="clear" w:color="auto" w:fill="auto"/>
            <w:vAlign w:val="center"/>
          </w:tcPr>
          <w:p w14:paraId="6DB4F731">
            <w:pPr>
              <w:widowControl/>
              <w:rPr>
                <w:color w:val="000000"/>
                <w:kern w:val="0"/>
                <w:sz w:val="18"/>
                <w:szCs w:val="18"/>
              </w:rPr>
            </w:pPr>
            <w:r>
              <w:rPr>
                <w:rFonts w:hAnsi="宋体"/>
                <w:color w:val="000000"/>
                <w:kern w:val="0"/>
                <w:sz w:val="18"/>
                <w:szCs w:val="18"/>
              </w:rPr>
              <w:t>各项完成时间</w:t>
            </w:r>
            <w:r>
              <w:rPr>
                <w:color w:val="000000"/>
                <w:kern w:val="0"/>
                <w:sz w:val="18"/>
                <w:szCs w:val="18"/>
              </w:rPr>
              <w:t>:2020</w:t>
            </w:r>
            <w:r>
              <w:rPr>
                <w:rFonts w:hAnsi="宋体"/>
                <w:color w:val="000000"/>
                <w:kern w:val="0"/>
                <w:sz w:val="18"/>
                <w:szCs w:val="18"/>
              </w:rPr>
              <w:t>年</w:t>
            </w:r>
            <w:r>
              <w:rPr>
                <w:color w:val="000000"/>
                <w:kern w:val="0"/>
                <w:sz w:val="18"/>
                <w:szCs w:val="18"/>
              </w:rPr>
              <w:t>12</w:t>
            </w:r>
            <w:r>
              <w:rPr>
                <w:rFonts w:hAnsi="宋体"/>
                <w:color w:val="000000"/>
                <w:kern w:val="0"/>
                <w:sz w:val="18"/>
                <w:szCs w:val="18"/>
              </w:rPr>
              <w:t>月</w:t>
            </w:r>
            <w:r>
              <w:rPr>
                <w:color w:val="000000"/>
                <w:kern w:val="0"/>
                <w:sz w:val="18"/>
                <w:szCs w:val="18"/>
              </w:rPr>
              <w:t>31</w:t>
            </w:r>
            <w:r>
              <w:rPr>
                <w:rFonts w:hAnsi="宋体"/>
                <w:color w:val="000000"/>
                <w:kern w:val="0"/>
                <w:sz w:val="18"/>
                <w:szCs w:val="18"/>
              </w:rPr>
              <w:t>日</w:t>
            </w:r>
          </w:p>
        </w:tc>
        <w:tc>
          <w:tcPr>
            <w:tcW w:w="1659" w:type="dxa"/>
            <w:tcBorders>
              <w:top w:val="single" w:color="auto" w:sz="4" w:space="0"/>
              <w:left w:val="single" w:color="auto" w:sz="4" w:space="0"/>
              <w:bottom w:val="single" w:color="auto" w:sz="4" w:space="0"/>
              <w:right w:val="nil"/>
            </w:tcBorders>
            <w:shd w:val="clear" w:color="auto" w:fill="auto"/>
            <w:vAlign w:val="center"/>
          </w:tcPr>
          <w:p w14:paraId="2B44CD13">
            <w:pPr>
              <w:widowControl/>
              <w:rPr>
                <w:color w:val="000000"/>
                <w:kern w:val="0"/>
                <w:sz w:val="18"/>
                <w:szCs w:val="18"/>
              </w:rPr>
            </w:pPr>
            <w:r>
              <w:rPr>
                <w:rFonts w:hAnsi="宋体"/>
                <w:color w:val="000000"/>
                <w:kern w:val="0"/>
                <w:sz w:val="18"/>
                <w:szCs w:val="18"/>
              </w:rPr>
              <w:t>参保率</w:t>
            </w:r>
            <w:r>
              <w:rPr>
                <w:color w:val="000000"/>
                <w:kern w:val="0"/>
                <w:sz w:val="18"/>
                <w:szCs w:val="18"/>
              </w:rPr>
              <w:t>:≥98%</w:t>
            </w:r>
          </w:p>
        </w:tc>
        <w:tc>
          <w:tcPr>
            <w:tcW w:w="3519" w:type="dxa"/>
            <w:tcBorders>
              <w:top w:val="single" w:color="auto" w:sz="4" w:space="0"/>
              <w:left w:val="single" w:color="auto" w:sz="4" w:space="0"/>
              <w:bottom w:val="single" w:color="auto" w:sz="4" w:space="0"/>
              <w:right w:val="nil"/>
            </w:tcBorders>
            <w:shd w:val="clear" w:color="auto" w:fill="auto"/>
            <w:vAlign w:val="center"/>
          </w:tcPr>
          <w:p w14:paraId="236A583F">
            <w:pPr>
              <w:widowControl/>
              <w:rPr>
                <w:color w:val="000000"/>
                <w:kern w:val="0"/>
                <w:sz w:val="18"/>
                <w:szCs w:val="18"/>
              </w:rPr>
            </w:pPr>
            <w:r>
              <w:rPr>
                <w:color w:val="000000"/>
                <w:kern w:val="0"/>
                <w:sz w:val="18"/>
                <w:szCs w:val="18"/>
              </w:rPr>
              <w:t>1.</w:t>
            </w:r>
            <w:r>
              <w:rPr>
                <w:rFonts w:hAnsi="宋体"/>
                <w:color w:val="000000"/>
                <w:kern w:val="0"/>
                <w:sz w:val="18"/>
                <w:szCs w:val="18"/>
              </w:rPr>
              <w:t>职工医保参保单位</w:t>
            </w:r>
            <w:r>
              <w:rPr>
                <w:color w:val="000000"/>
                <w:kern w:val="0"/>
                <w:sz w:val="18"/>
                <w:szCs w:val="18"/>
              </w:rPr>
              <w:t>611</w:t>
            </w:r>
            <w:r>
              <w:rPr>
                <w:rFonts w:hAnsi="宋体"/>
                <w:color w:val="000000"/>
                <w:kern w:val="0"/>
                <w:sz w:val="18"/>
                <w:szCs w:val="18"/>
              </w:rPr>
              <w:t>家，其中机关事业单位</w:t>
            </w:r>
            <w:r>
              <w:rPr>
                <w:color w:val="000000"/>
                <w:kern w:val="0"/>
                <w:sz w:val="18"/>
                <w:szCs w:val="18"/>
              </w:rPr>
              <w:t>137</w:t>
            </w:r>
            <w:r>
              <w:rPr>
                <w:rFonts w:hAnsi="宋体"/>
                <w:color w:val="000000"/>
                <w:kern w:val="0"/>
                <w:sz w:val="18"/>
                <w:szCs w:val="18"/>
              </w:rPr>
              <w:t>家。缴费总人数</w:t>
            </w:r>
            <w:r>
              <w:rPr>
                <w:color w:val="000000"/>
                <w:kern w:val="0"/>
                <w:sz w:val="18"/>
                <w:szCs w:val="18"/>
              </w:rPr>
              <w:t>21768</w:t>
            </w:r>
            <w:r>
              <w:rPr>
                <w:rFonts w:hAnsi="宋体"/>
                <w:color w:val="000000"/>
                <w:kern w:val="0"/>
                <w:sz w:val="18"/>
                <w:szCs w:val="18"/>
              </w:rPr>
              <w:t>人。城乡居民参保</w:t>
            </w:r>
            <w:r>
              <w:rPr>
                <w:color w:val="000000"/>
                <w:kern w:val="0"/>
                <w:sz w:val="18"/>
                <w:szCs w:val="18"/>
              </w:rPr>
              <w:t>190015</w:t>
            </w:r>
            <w:r>
              <w:rPr>
                <w:rFonts w:hAnsi="宋体"/>
                <w:color w:val="000000"/>
                <w:kern w:val="0"/>
                <w:sz w:val="18"/>
                <w:szCs w:val="18"/>
              </w:rPr>
              <w:t>人。</w:t>
            </w:r>
            <w:r>
              <w:rPr>
                <w:color w:val="000000"/>
                <w:kern w:val="0"/>
                <w:sz w:val="18"/>
                <w:szCs w:val="18"/>
              </w:rPr>
              <w:br w:type="textWrapping"/>
            </w:r>
            <w:r>
              <w:rPr>
                <w:color w:val="000000"/>
                <w:kern w:val="0"/>
                <w:sz w:val="18"/>
                <w:szCs w:val="18"/>
              </w:rPr>
              <w:t>2.</w:t>
            </w:r>
            <w:r>
              <w:rPr>
                <w:rFonts w:hAnsi="宋体"/>
                <w:color w:val="000000"/>
                <w:kern w:val="0"/>
                <w:sz w:val="18"/>
                <w:szCs w:val="18"/>
              </w:rPr>
              <w:t>审核职工医疗待遇</w:t>
            </w:r>
            <w:r>
              <w:rPr>
                <w:color w:val="000000"/>
                <w:kern w:val="0"/>
                <w:sz w:val="18"/>
                <w:szCs w:val="18"/>
              </w:rPr>
              <w:t>182382</w:t>
            </w:r>
            <w:r>
              <w:rPr>
                <w:rFonts w:hAnsi="宋体"/>
                <w:color w:val="000000"/>
                <w:kern w:val="0"/>
                <w:sz w:val="18"/>
                <w:szCs w:val="18"/>
              </w:rPr>
              <w:t>人次，支付医保基金</w:t>
            </w:r>
            <w:r>
              <w:rPr>
                <w:color w:val="000000"/>
                <w:kern w:val="0"/>
                <w:sz w:val="18"/>
                <w:szCs w:val="18"/>
              </w:rPr>
              <w:t>3042.1</w:t>
            </w:r>
            <w:r>
              <w:rPr>
                <w:rFonts w:hAnsi="宋体"/>
                <w:color w:val="000000"/>
                <w:kern w:val="0"/>
                <w:sz w:val="18"/>
                <w:szCs w:val="18"/>
              </w:rPr>
              <w:t>万元。</w:t>
            </w:r>
            <w:r>
              <w:rPr>
                <w:color w:val="000000"/>
                <w:kern w:val="0"/>
                <w:sz w:val="18"/>
                <w:szCs w:val="18"/>
              </w:rPr>
              <w:br w:type="textWrapping"/>
            </w:r>
            <w:r>
              <w:rPr>
                <w:color w:val="000000"/>
                <w:kern w:val="0"/>
                <w:sz w:val="18"/>
                <w:szCs w:val="18"/>
              </w:rPr>
              <w:t>3.</w:t>
            </w:r>
            <w:r>
              <w:rPr>
                <w:rFonts w:hAnsi="宋体"/>
                <w:color w:val="000000"/>
                <w:kern w:val="0"/>
                <w:sz w:val="18"/>
                <w:szCs w:val="18"/>
              </w:rPr>
              <w:t>审核城乡居民住院待遇（含一类门特）</w:t>
            </w:r>
            <w:r>
              <w:rPr>
                <w:color w:val="000000"/>
                <w:kern w:val="0"/>
                <w:sz w:val="18"/>
                <w:szCs w:val="18"/>
              </w:rPr>
              <w:t>42921</w:t>
            </w:r>
            <w:r>
              <w:rPr>
                <w:rFonts w:hAnsi="宋体"/>
                <w:color w:val="000000"/>
                <w:kern w:val="0"/>
                <w:sz w:val="18"/>
                <w:szCs w:val="18"/>
              </w:rPr>
              <w:t>人次，医保基金报销</w:t>
            </w:r>
            <w:r>
              <w:rPr>
                <w:color w:val="000000"/>
                <w:kern w:val="0"/>
                <w:sz w:val="18"/>
                <w:szCs w:val="18"/>
              </w:rPr>
              <w:t>9652.77</w:t>
            </w:r>
            <w:r>
              <w:rPr>
                <w:rFonts w:hAnsi="宋体"/>
                <w:color w:val="000000"/>
                <w:kern w:val="0"/>
                <w:sz w:val="18"/>
                <w:szCs w:val="18"/>
              </w:rPr>
              <w:t>万元。</w:t>
            </w:r>
            <w:r>
              <w:rPr>
                <w:color w:val="000000"/>
                <w:kern w:val="0"/>
                <w:sz w:val="18"/>
                <w:szCs w:val="18"/>
              </w:rPr>
              <w:br w:type="textWrapping"/>
            </w:r>
            <w:r>
              <w:rPr>
                <w:color w:val="000000"/>
                <w:kern w:val="0"/>
                <w:sz w:val="18"/>
                <w:szCs w:val="18"/>
              </w:rPr>
              <w:t>4.</w:t>
            </w:r>
            <w:r>
              <w:rPr>
                <w:rFonts w:hAnsi="宋体"/>
                <w:color w:val="000000"/>
                <w:kern w:val="0"/>
                <w:sz w:val="18"/>
                <w:szCs w:val="18"/>
              </w:rPr>
              <w:t>异地就医联网结算（住院）</w:t>
            </w:r>
            <w:r>
              <w:rPr>
                <w:color w:val="000000"/>
                <w:kern w:val="0"/>
                <w:sz w:val="18"/>
                <w:szCs w:val="18"/>
              </w:rPr>
              <w:t>1114</w:t>
            </w:r>
            <w:r>
              <w:rPr>
                <w:rFonts w:hAnsi="宋体"/>
                <w:color w:val="000000"/>
                <w:kern w:val="0"/>
                <w:sz w:val="18"/>
                <w:szCs w:val="18"/>
              </w:rPr>
              <w:t>人次，医保结算金额</w:t>
            </w:r>
            <w:r>
              <w:rPr>
                <w:color w:val="000000"/>
                <w:kern w:val="0"/>
                <w:sz w:val="18"/>
                <w:szCs w:val="18"/>
              </w:rPr>
              <w:t xml:space="preserve"> 375.92</w:t>
            </w:r>
            <w:r>
              <w:rPr>
                <w:rFonts w:hAnsi="宋体"/>
                <w:color w:val="000000"/>
                <w:kern w:val="0"/>
                <w:sz w:val="18"/>
                <w:szCs w:val="18"/>
              </w:rPr>
              <w:t>万元。</w:t>
            </w:r>
            <w:r>
              <w:rPr>
                <w:color w:val="000000"/>
                <w:kern w:val="0"/>
                <w:sz w:val="18"/>
                <w:szCs w:val="18"/>
              </w:rPr>
              <w:br w:type="textWrapping"/>
            </w:r>
            <w:r>
              <w:rPr>
                <w:color w:val="000000"/>
                <w:kern w:val="0"/>
                <w:sz w:val="18"/>
                <w:szCs w:val="18"/>
              </w:rPr>
              <w:t>5.</w:t>
            </w:r>
            <w:r>
              <w:rPr>
                <w:rFonts w:hAnsi="宋体"/>
                <w:color w:val="000000"/>
                <w:kern w:val="0"/>
                <w:sz w:val="18"/>
                <w:szCs w:val="18"/>
              </w:rPr>
              <w:t>审核生育保险待遇</w:t>
            </w:r>
            <w:r>
              <w:rPr>
                <w:color w:val="000000"/>
                <w:kern w:val="0"/>
                <w:sz w:val="18"/>
                <w:szCs w:val="18"/>
              </w:rPr>
              <w:t xml:space="preserve"> 410</w:t>
            </w:r>
            <w:r>
              <w:rPr>
                <w:rFonts w:hAnsi="宋体"/>
                <w:color w:val="000000"/>
                <w:kern w:val="0"/>
                <w:sz w:val="18"/>
                <w:szCs w:val="18"/>
              </w:rPr>
              <w:t>人次，支付生育保险基金</w:t>
            </w:r>
            <w:r>
              <w:rPr>
                <w:color w:val="000000"/>
                <w:kern w:val="0"/>
                <w:sz w:val="18"/>
                <w:szCs w:val="18"/>
              </w:rPr>
              <w:t xml:space="preserve"> 385.35</w:t>
            </w:r>
            <w:r>
              <w:rPr>
                <w:rFonts w:hAnsi="宋体"/>
                <w:color w:val="000000"/>
                <w:kern w:val="0"/>
                <w:sz w:val="18"/>
                <w:szCs w:val="18"/>
              </w:rPr>
              <w:t>万元。</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396A4B5">
            <w:pPr>
              <w:widowControl/>
              <w:jc w:val="left"/>
              <w:rPr>
                <w:rFonts w:ascii="宋体" w:hAnsi="宋体" w:cs="宋体"/>
                <w:color w:val="000000"/>
                <w:kern w:val="0"/>
                <w:sz w:val="18"/>
                <w:szCs w:val="18"/>
              </w:rPr>
            </w:pPr>
            <w:r>
              <w:rPr>
                <w:rFonts w:hint="eastAsia" w:ascii="宋体" w:hAnsi="宋体" w:cs="宋体"/>
                <w:color w:val="000000"/>
                <w:kern w:val="0"/>
                <w:sz w:val="18"/>
                <w:szCs w:val="18"/>
              </w:rPr>
              <w:t>参保人员满意95%及以上。</w:t>
            </w:r>
          </w:p>
        </w:tc>
      </w:tr>
      <w:tr w14:paraId="2082A660">
        <w:tblPrEx>
          <w:tblCellMar>
            <w:top w:w="0" w:type="dxa"/>
            <w:left w:w="108" w:type="dxa"/>
            <w:bottom w:w="0" w:type="dxa"/>
            <w:right w:w="108" w:type="dxa"/>
          </w:tblCellMar>
        </w:tblPrEx>
        <w:trPr>
          <w:trHeight w:val="996" w:hRule="atLeast"/>
        </w:trPr>
        <w:tc>
          <w:tcPr>
            <w:tcW w:w="462" w:type="dxa"/>
            <w:tcBorders>
              <w:top w:val="nil"/>
              <w:left w:val="single" w:color="auto" w:sz="4" w:space="0"/>
              <w:bottom w:val="single" w:color="auto" w:sz="4" w:space="0"/>
              <w:right w:val="single" w:color="auto" w:sz="4" w:space="0"/>
            </w:tcBorders>
            <w:shd w:val="clear" w:color="auto" w:fill="auto"/>
            <w:vAlign w:val="center"/>
          </w:tcPr>
          <w:p w14:paraId="21469421">
            <w:pPr>
              <w:widowControl/>
              <w:jc w:val="center"/>
              <w:rPr>
                <w:color w:val="000000"/>
                <w:kern w:val="0"/>
                <w:sz w:val="18"/>
                <w:szCs w:val="18"/>
              </w:rPr>
            </w:pPr>
            <w:r>
              <w:rPr>
                <w:color w:val="000000"/>
                <w:kern w:val="0"/>
                <w:sz w:val="18"/>
                <w:szCs w:val="18"/>
              </w:rPr>
              <w:t>2</w:t>
            </w:r>
          </w:p>
        </w:tc>
        <w:tc>
          <w:tcPr>
            <w:tcW w:w="1017" w:type="dxa"/>
            <w:tcBorders>
              <w:top w:val="nil"/>
              <w:left w:val="nil"/>
              <w:bottom w:val="single" w:color="auto" w:sz="4" w:space="0"/>
              <w:right w:val="single" w:color="auto" w:sz="4" w:space="0"/>
            </w:tcBorders>
            <w:shd w:val="clear" w:color="auto" w:fill="auto"/>
            <w:vAlign w:val="center"/>
          </w:tcPr>
          <w:p w14:paraId="6EB7E6B5">
            <w:pPr>
              <w:widowControl/>
              <w:jc w:val="center"/>
              <w:rPr>
                <w:color w:val="000000"/>
                <w:kern w:val="0"/>
                <w:sz w:val="18"/>
                <w:szCs w:val="18"/>
              </w:rPr>
            </w:pPr>
            <w:r>
              <w:rPr>
                <w:rFonts w:hAnsi="宋体"/>
                <w:color w:val="000000"/>
                <w:kern w:val="0"/>
                <w:sz w:val="18"/>
                <w:szCs w:val="18"/>
              </w:rPr>
              <w:t>办公室物业管理费</w:t>
            </w:r>
          </w:p>
        </w:tc>
        <w:tc>
          <w:tcPr>
            <w:tcW w:w="1536" w:type="dxa"/>
            <w:tcBorders>
              <w:top w:val="nil"/>
              <w:left w:val="nil"/>
              <w:bottom w:val="single" w:color="auto" w:sz="4" w:space="0"/>
              <w:right w:val="single" w:color="auto" w:sz="4" w:space="0"/>
            </w:tcBorders>
            <w:shd w:val="clear" w:color="auto" w:fill="auto"/>
            <w:noWrap/>
            <w:vAlign w:val="center"/>
          </w:tcPr>
          <w:p w14:paraId="5265D64F">
            <w:pPr>
              <w:widowControl/>
              <w:jc w:val="center"/>
              <w:rPr>
                <w:color w:val="000000"/>
                <w:kern w:val="0"/>
                <w:sz w:val="18"/>
                <w:szCs w:val="18"/>
              </w:rPr>
            </w:pPr>
            <w:r>
              <w:rPr>
                <w:color w:val="000000"/>
                <w:kern w:val="0"/>
                <w:sz w:val="18"/>
                <w:szCs w:val="18"/>
              </w:rPr>
              <w:t>65,033</w:t>
            </w:r>
          </w:p>
        </w:tc>
        <w:tc>
          <w:tcPr>
            <w:tcW w:w="2246" w:type="dxa"/>
            <w:tcBorders>
              <w:top w:val="nil"/>
              <w:left w:val="nil"/>
              <w:bottom w:val="single" w:color="auto" w:sz="4" w:space="0"/>
              <w:right w:val="single" w:color="auto" w:sz="4" w:space="0"/>
            </w:tcBorders>
            <w:shd w:val="clear" w:color="auto" w:fill="auto"/>
            <w:vAlign w:val="center"/>
          </w:tcPr>
          <w:p w14:paraId="790F3957">
            <w:pPr>
              <w:widowControl/>
              <w:rPr>
                <w:color w:val="000000"/>
                <w:kern w:val="0"/>
                <w:sz w:val="18"/>
                <w:szCs w:val="18"/>
              </w:rPr>
            </w:pPr>
            <w:r>
              <w:rPr>
                <w:rFonts w:hAnsi="宋体"/>
                <w:color w:val="000000"/>
                <w:kern w:val="0"/>
                <w:sz w:val="18"/>
                <w:szCs w:val="18"/>
              </w:rPr>
              <w:t>为办事群众及工作人员提供办事区域安全保卫、绿化、环卫、车辆管理等。</w:t>
            </w:r>
          </w:p>
        </w:tc>
        <w:tc>
          <w:tcPr>
            <w:tcW w:w="1559" w:type="dxa"/>
            <w:tcBorders>
              <w:top w:val="nil"/>
              <w:left w:val="nil"/>
              <w:bottom w:val="single" w:color="auto" w:sz="4" w:space="0"/>
              <w:right w:val="nil"/>
            </w:tcBorders>
            <w:shd w:val="clear" w:color="auto" w:fill="auto"/>
            <w:vAlign w:val="center"/>
          </w:tcPr>
          <w:p w14:paraId="0613C01C">
            <w:pPr>
              <w:widowControl/>
              <w:rPr>
                <w:color w:val="000000"/>
                <w:kern w:val="0"/>
                <w:sz w:val="18"/>
                <w:szCs w:val="18"/>
              </w:rPr>
            </w:pPr>
            <w:r>
              <w:rPr>
                <w:rFonts w:hAnsi="宋体"/>
                <w:color w:val="000000"/>
                <w:kern w:val="0"/>
                <w:sz w:val="18"/>
                <w:szCs w:val="18"/>
              </w:rPr>
              <w:t>美化办公区域环境</w:t>
            </w:r>
            <w:r>
              <w:rPr>
                <w:color w:val="000000"/>
                <w:kern w:val="0"/>
                <w:sz w:val="18"/>
                <w:szCs w:val="18"/>
              </w:rPr>
              <w:t>:1268.2</w:t>
            </w:r>
            <w:r>
              <w:rPr>
                <w:rFonts w:hAnsi="宋体"/>
                <w:color w:val="000000"/>
                <w:kern w:val="0"/>
                <w:sz w:val="18"/>
                <w:szCs w:val="18"/>
              </w:rPr>
              <w:t>平方米</w:t>
            </w:r>
          </w:p>
        </w:tc>
        <w:tc>
          <w:tcPr>
            <w:tcW w:w="1451" w:type="dxa"/>
            <w:tcBorders>
              <w:top w:val="nil"/>
              <w:left w:val="single" w:color="auto" w:sz="4" w:space="0"/>
              <w:bottom w:val="single" w:color="auto" w:sz="4" w:space="0"/>
              <w:right w:val="nil"/>
            </w:tcBorders>
            <w:shd w:val="clear" w:color="auto" w:fill="auto"/>
            <w:vAlign w:val="center"/>
          </w:tcPr>
          <w:p w14:paraId="7CA2930C">
            <w:pPr>
              <w:widowControl/>
              <w:rPr>
                <w:color w:val="000000"/>
                <w:kern w:val="0"/>
                <w:sz w:val="18"/>
                <w:szCs w:val="18"/>
              </w:rPr>
            </w:pPr>
            <w:r>
              <w:rPr>
                <w:rFonts w:hAnsi="宋体"/>
                <w:color w:val="000000"/>
                <w:kern w:val="0"/>
                <w:sz w:val="18"/>
                <w:szCs w:val="18"/>
              </w:rPr>
              <w:t>保持办公区域内无杂物、污渍</w:t>
            </w:r>
            <w:r>
              <w:rPr>
                <w:color w:val="000000"/>
                <w:kern w:val="0"/>
                <w:sz w:val="18"/>
                <w:szCs w:val="18"/>
              </w:rPr>
              <w:t>:</w:t>
            </w:r>
            <w:r>
              <w:rPr>
                <w:rFonts w:hAnsi="宋体"/>
                <w:color w:val="000000"/>
                <w:kern w:val="0"/>
                <w:sz w:val="18"/>
                <w:szCs w:val="18"/>
              </w:rPr>
              <w:t>每周一次、每天随时清洁、擦拭</w:t>
            </w:r>
          </w:p>
        </w:tc>
        <w:tc>
          <w:tcPr>
            <w:tcW w:w="1488" w:type="dxa"/>
            <w:tcBorders>
              <w:top w:val="nil"/>
              <w:left w:val="single" w:color="auto" w:sz="4" w:space="0"/>
              <w:bottom w:val="single" w:color="auto" w:sz="4" w:space="0"/>
              <w:right w:val="nil"/>
            </w:tcBorders>
            <w:shd w:val="clear" w:color="auto" w:fill="auto"/>
            <w:vAlign w:val="center"/>
          </w:tcPr>
          <w:p w14:paraId="016AB9B2">
            <w:pPr>
              <w:widowControl/>
              <w:rPr>
                <w:color w:val="000000"/>
                <w:kern w:val="0"/>
                <w:sz w:val="18"/>
                <w:szCs w:val="18"/>
              </w:rPr>
            </w:pPr>
            <w:r>
              <w:rPr>
                <w:rFonts w:hAnsi="宋体"/>
                <w:color w:val="000000"/>
                <w:kern w:val="0"/>
                <w:sz w:val="18"/>
                <w:szCs w:val="18"/>
              </w:rPr>
              <w:t>合同每年一签</w:t>
            </w:r>
            <w:r>
              <w:rPr>
                <w:color w:val="000000"/>
                <w:kern w:val="0"/>
                <w:sz w:val="18"/>
                <w:szCs w:val="18"/>
              </w:rPr>
              <w:t>:2020</w:t>
            </w:r>
            <w:r>
              <w:rPr>
                <w:rFonts w:hAnsi="宋体"/>
                <w:color w:val="000000"/>
                <w:kern w:val="0"/>
                <w:sz w:val="18"/>
                <w:szCs w:val="18"/>
              </w:rPr>
              <w:t>年</w:t>
            </w:r>
            <w:r>
              <w:rPr>
                <w:color w:val="000000"/>
                <w:kern w:val="0"/>
                <w:sz w:val="18"/>
                <w:szCs w:val="18"/>
              </w:rPr>
              <w:t>1</w:t>
            </w:r>
            <w:r>
              <w:rPr>
                <w:rFonts w:hAnsi="宋体"/>
                <w:color w:val="000000"/>
                <w:kern w:val="0"/>
                <w:sz w:val="18"/>
                <w:szCs w:val="18"/>
              </w:rPr>
              <w:t>月</w:t>
            </w:r>
            <w:r>
              <w:rPr>
                <w:color w:val="000000"/>
                <w:kern w:val="0"/>
                <w:sz w:val="18"/>
                <w:szCs w:val="18"/>
              </w:rPr>
              <w:t>1</w:t>
            </w:r>
            <w:r>
              <w:rPr>
                <w:rFonts w:hAnsi="宋体"/>
                <w:color w:val="000000"/>
                <w:kern w:val="0"/>
                <w:sz w:val="18"/>
                <w:szCs w:val="18"/>
              </w:rPr>
              <w:t>日</w:t>
            </w:r>
            <w:r>
              <w:rPr>
                <w:color w:val="000000"/>
                <w:kern w:val="0"/>
                <w:sz w:val="18"/>
                <w:szCs w:val="18"/>
              </w:rPr>
              <w:t>-2020</w:t>
            </w:r>
            <w:r>
              <w:rPr>
                <w:rFonts w:hAnsi="宋体"/>
                <w:color w:val="000000"/>
                <w:kern w:val="0"/>
                <w:sz w:val="18"/>
                <w:szCs w:val="18"/>
              </w:rPr>
              <w:t>年</w:t>
            </w:r>
            <w:r>
              <w:rPr>
                <w:color w:val="000000"/>
                <w:kern w:val="0"/>
                <w:sz w:val="18"/>
                <w:szCs w:val="18"/>
              </w:rPr>
              <w:t>12</w:t>
            </w:r>
            <w:r>
              <w:rPr>
                <w:rFonts w:hAnsi="宋体"/>
                <w:color w:val="000000"/>
                <w:kern w:val="0"/>
                <w:sz w:val="18"/>
                <w:szCs w:val="18"/>
              </w:rPr>
              <w:t>月</w:t>
            </w:r>
            <w:r>
              <w:rPr>
                <w:color w:val="000000"/>
                <w:kern w:val="0"/>
                <w:sz w:val="18"/>
                <w:szCs w:val="18"/>
              </w:rPr>
              <w:t>31</w:t>
            </w:r>
            <w:r>
              <w:rPr>
                <w:rFonts w:hAnsi="宋体"/>
                <w:color w:val="000000"/>
                <w:kern w:val="0"/>
                <w:sz w:val="18"/>
                <w:szCs w:val="18"/>
              </w:rPr>
              <w:t>日</w:t>
            </w:r>
          </w:p>
        </w:tc>
        <w:tc>
          <w:tcPr>
            <w:tcW w:w="1659" w:type="dxa"/>
            <w:tcBorders>
              <w:top w:val="nil"/>
              <w:left w:val="single" w:color="auto" w:sz="4" w:space="0"/>
              <w:bottom w:val="single" w:color="auto" w:sz="4" w:space="0"/>
              <w:right w:val="nil"/>
            </w:tcBorders>
            <w:shd w:val="clear" w:color="auto" w:fill="auto"/>
            <w:vAlign w:val="center"/>
          </w:tcPr>
          <w:p w14:paraId="46B936B0">
            <w:pPr>
              <w:widowControl/>
              <w:rPr>
                <w:color w:val="000000"/>
                <w:kern w:val="0"/>
                <w:sz w:val="18"/>
                <w:szCs w:val="18"/>
              </w:rPr>
            </w:pPr>
          </w:p>
        </w:tc>
        <w:tc>
          <w:tcPr>
            <w:tcW w:w="3519" w:type="dxa"/>
            <w:tcBorders>
              <w:top w:val="nil"/>
              <w:left w:val="single" w:color="auto" w:sz="4" w:space="0"/>
              <w:bottom w:val="single" w:color="auto" w:sz="4" w:space="0"/>
              <w:right w:val="single" w:color="auto" w:sz="4" w:space="0"/>
            </w:tcBorders>
            <w:shd w:val="clear" w:color="auto" w:fill="auto"/>
            <w:vAlign w:val="center"/>
          </w:tcPr>
          <w:p w14:paraId="2514218C">
            <w:pPr>
              <w:widowControl/>
              <w:rPr>
                <w:color w:val="000000"/>
                <w:kern w:val="0"/>
                <w:sz w:val="18"/>
                <w:szCs w:val="18"/>
              </w:rPr>
            </w:pPr>
            <w:r>
              <w:rPr>
                <w:rFonts w:hAnsi="宋体"/>
                <w:color w:val="000000"/>
                <w:kern w:val="0"/>
                <w:sz w:val="18"/>
                <w:szCs w:val="18"/>
              </w:rPr>
              <w:t>每天区域内清洁度≧</w:t>
            </w:r>
            <w:r>
              <w:rPr>
                <w:color w:val="000000"/>
                <w:kern w:val="0"/>
                <w:sz w:val="18"/>
                <w:szCs w:val="18"/>
              </w:rPr>
              <w:t xml:space="preserve">95% </w:t>
            </w:r>
            <w:r>
              <w:rPr>
                <w:rFonts w:hAnsi="宋体"/>
                <w:color w:val="000000"/>
                <w:kern w:val="0"/>
                <w:sz w:val="18"/>
                <w:szCs w:val="18"/>
              </w:rPr>
              <w:t>，使办公区域保持整洁有序。</w:t>
            </w:r>
          </w:p>
        </w:tc>
        <w:tc>
          <w:tcPr>
            <w:tcW w:w="876" w:type="dxa"/>
            <w:tcBorders>
              <w:top w:val="nil"/>
              <w:left w:val="nil"/>
              <w:bottom w:val="single" w:color="auto" w:sz="4" w:space="0"/>
              <w:right w:val="single" w:color="auto" w:sz="4" w:space="0"/>
            </w:tcBorders>
            <w:shd w:val="clear" w:color="auto" w:fill="auto"/>
            <w:vAlign w:val="center"/>
          </w:tcPr>
          <w:p w14:paraId="24CE8D1C">
            <w:pPr>
              <w:widowControl/>
              <w:jc w:val="left"/>
              <w:rPr>
                <w:rFonts w:ascii="宋体" w:hAnsi="宋体" w:cs="宋体"/>
                <w:color w:val="000000"/>
                <w:kern w:val="0"/>
                <w:sz w:val="18"/>
                <w:szCs w:val="18"/>
              </w:rPr>
            </w:pPr>
            <w:r>
              <w:rPr>
                <w:rFonts w:hint="eastAsia" w:ascii="宋体" w:hAnsi="宋体" w:cs="宋体"/>
                <w:color w:val="000000"/>
                <w:kern w:val="0"/>
                <w:sz w:val="18"/>
                <w:szCs w:val="18"/>
              </w:rPr>
              <w:t>服务本区域内工作人员满意度95%及以上。</w:t>
            </w:r>
          </w:p>
        </w:tc>
      </w:tr>
      <w:tr w14:paraId="2CF1B85B">
        <w:tblPrEx>
          <w:tblCellMar>
            <w:top w:w="0" w:type="dxa"/>
            <w:left w:w="108" w:type="dxa"/>
            <w:bottom w:w="0" w:type="dxa"/>
            <w:right w:w="108" w:type="dxa"/>
          </w:tblCellMar>
        </w:tblPrEx>
        <w:trPr>
          <w:trHeight w:val="1212" w:hRule="atLeast"/>
        </w:trPr>
        <w:tc>
          <w:tcPr>
            <w:tcW w:w="462" w:type="dxa"/>
            <w:tcBorders>
              <w:top w:val="nil"/>
              <w:left w:val="single" w:color="auto" w:sz="4" w:space="0"/>
              <w:bottom w:val="single" w:color="auto" w:sz="4" w:space="0"/>
              <w:right w:val="single" w:color="auto" w:sz="4" w:space="0"/>
            </w:tcBorders>
            <w:shd w:val="clear" w:color="auto" w:fill="auto"/>
            <w:vAlign w:val="center"/>
          </w:tcPr>
          <w:p w14:paraId="7F839538">
            <w:pPr>
              <w:widowControl/>
              <w:jc w:val="center"/>
              <w:rPr>
                <w:color w:val="000000"/>
                <w:kern w:val="0"/>
                <w:sz w:val="18"/>
                <w:szCs w:val="18"/>
              </w:rPr>
            </w:pPr>
            <w:r>
              <w:rPr>
                <w:color w:val="000000"/>
                <w:kern w:val="0"/>
                <w:sz w:val="18"/>
                <w:szCs w:val="18"/>
              </w:rPr>
              <w:t>3</w:t>
            </w:r>
          </w:p>
        </w:tc>
        <w:tc>
          <w:tcPr>
            <w:tcW w:w="1017" w:type="dxa"/>
            <w:tcBorders>
              <w:top w:val="nil"/>
              <w:left w:val="nil"/>
              <w:bottom w:val="single" w:color="auto" w:sz="4" w:space="0"/>
              <w:right w:val="single" w:color="auto" w:sz="4" w:space="0"/>
            </w:tcBorders>
            <w:shd w:val="clear" w:color="auto" w:fill="auto"/>
            <w:vAlign w:val="center"/>
          </w:tcPr>
          <w:p w14:paraId="5110E575">
            <w:pPr>
              <w:widowControl/>
              <w:jc w:val="center"/>
              <w:rPr>
                <w:color w:val="000000"/>
                <w:kern w:val="0"/>
                <w:sz w:val="18"/>
                <w:szCs w:val="18"/>
              </w:rPr>
            </w:pPr>
            <w:r>
              <w:rPr>
                <w:color w:val="000000"/>
                <w:kern w:val="0"/>
                <w:sz w:val="18"/>
                <w:szCs w:val="18"/>
              </w:rPr>
              <w:t>“</w:t>
            </w:r>
            <w:r>
              <w:rPr>
                <w:rFonts w:hAnsi="宋体"/>
                <w:color w:val="000000"/>
                <w:kern w:val="0"/>
                <w:sz w:val="18"/>
                <w:szCs w:val="18"/>
              </w:rPr>
              <w:t>村医通</w:t>
            </w:r>
            <w:r>
              <w:rPr>
                <w:color w:val="000000"/>
                <w:kern w:val="0"/>
                <w:sz w:val="18"/>
                <w:szCs w:val="18"/>
              </w:rPr>
              <w:t>”</w:t>
            </w:r>
            <w:r>
              <w:rPr>
                <w:rFonts w:hAnsi="宋体"/>
                <w:color w:val="000000"/>
                <w:kern w:val="0"/>
                <w:sz w:val="18"/>
                <w:szCs w:val="18"/>
              </w:rPr>
              <w:t>专项工作经费</w:t>
            </w:r>
          </w:p>
        </w:tc>
        <w:tc>
          <w:tcPr>
            <w:tcW w:w="1536" w:type="dxa"/>
            <w:tcBorders>
              <w:top w:val="nil"/>
              <w:left w:val="nil"/>
              <w:bottom w:val="single" w:color="000000" w:sz="4" w:space="0"/>
              <w:right w:val="single" w:color="000000" w:sz="4" w:space="0"/>
            </w:tcBorders>
            <w:shd w:val="clear" w:color="auto" w:fill="auto"/>
            <w:noWrap/>
            <w:vAlign w:val="center"/>
          </w:tcPr>
          <w:p w14:paraId="67CB7C46">
            <w:pPr>
              <w:widowControl/>
              <w:jc w:val="center"/>
              <w:rPr>
                <w:color w:val="000000"/>
                <w:kern w:val="0"/>
                <w:sz w:val="22"/>
              </w:rPr>
            </w:pPr>
            <w:r>
              <w:rPr>
                <w:color w:val="000000"/>
                <w:kern w:val="0"/>
                <w:sz w:val="22"/>
              </w:rPr>
              <w:t>12,286.49</w:t>
            </w:r>
          </w:p>
        </w:tc>
        <w:tc>
          <w:tcPr>
            <w:tcW w:w="2246" w:type="dxa"/>
            <w:tcBorders>
              <w:top w:val="nil"/>
              <w:left w:val="nil"/>
              <w:bottom w:val="single" w:color="auto" w:sz="4" w:space="0"/>
              <w:right w:val="single" w:color="auto" w:sz="4" w:space="0"/>
            </w:tcBorders>
            <w:shd w:val="clear" w:color="auto" w:fill="auto"/>
            <w:vAlign w:val="center"/>
          </w:tcPr>
          <w:p w14:paraId="0E30DDD2">
            <w:pPr>
              <w:widowControl/>
              <w:rPr>
                <w:color w:val="000000"/>
                <w:kern w:val="0"/>
                <w:sz w:val="18"/>
                <w:szCs w:val="18"/>
              </w:rPr>
            </w:pPr>
            <w:r>
              <w:rPr>
                <w:rFonts w:hAnsi="宋体"/>
                <w:color w:val="000000"/>
                <w:kern w:val="0"/>
                <w:sz w:val="18"/>
                <w:szCs w:val="18"/>
              </w:rPr>
              <w:t>保障村卫生室医保就医结算业务能够正常办理，切实解决偏远地区老百姓普通门诊医疗费用报销问题</w:t>
            </w:r>
          </w:p>
        </w:tc>
        <w:tc>
          <w:tcPr>
            <w:tcW w:w="1559" w:type="dxa"/>
            <w:tcBorders>
              <w:top w:val="nil"/>
              <w:left w:val="nil"/>
              <w:bottom w:val="single" w:color="auto" w:sz="4" w:space="0"/>
              <w:right w:val="nil"/>
            </w:tcBorders>
            <w:shd w:val="clear" w:color="auto" w:fill="auto"/>
            <w:vAlign w:val="center"/>
          </w:tcPr>
          <w:p w14:paraId="1794BDEF">
            <w:pPr>
              <w:widowControl/>
              <w:rPr>
                <w:color w:val="000000"/>
                <w:kern w:val="0"/>
                <w:sz w:val="18"/>
                <w:szCs w:val="18"/>
              </w:rPr>
            </w:pPr>
            <w:r>
              <w:rPr>
                <w:rFonts w:hAnsi="宋体"/>
                <w:color w:val="000000"/>
                <w:kern w:val="0"/>
                <w:sz w:val="18"/>
                <w:szCs w:val="18"/>
              </w:rPr>
              <w:t>全县所有村卫生室开通金保</w:t>
            </w:r>
            <w:r>
              <w:rPr>
                <w:rFonts w:hint="eastAsia" w:hAnsi="宋体"/>
                <w:color w:val="000000"/>
                <w:kern w:val="0"/>
                <w:sz w:val="18"/>
                <w:szCs w:val="18"/>
              </w:rPr>
              <w:t>系统</w:t>
            </w:r>
            <w:r>
              <w:rPr>
                <w:color w:val="000000"/>
                <w:kern w:val="0"/>
                <w:sz w:val="18"/>
                <w:szCs w:val="18"/>
              </w:rPr>
              <w:t>:87</w:t>
            </w:r>
            <w:r>
              <w:rPr>
                <w:rFonts w:hAnsi="宋体"/>
                <w:color w:val="000000"/>
                <w:kern w:val="0"/>
                <w:sz w:val="18"/>
                <w:szCs w:val="18"/>
              </w:rPr>
              <w:t>个村卫生室</w:t>
            </w:r>
          </w:p>
        </w:tc>
        <w:tc>
          <w:tcPr>
            <w:tcW w:w="1451" w:type="dxa"/>
            <w:tcBorders>
              <w:top w:val="nil"/>
              <w:left w:val="single" w:color="auto" w:sz="4" w:space="0"/>
              <w:bottom w:val="single" w:color="auto" w:sz="4" w:space="0"/>
              <w:right w:val="nil"/>
            </w:tcBorders>
            <w:shd w:val="clear" w:color="auto" w:fill="auto"/>
            <w:vAlign w:val="center"/>
          </w:tcPr>
          <w:p w14:paraId="13F1299F">
            <w:pPr>
              <w:widowControl/>
              <w:rPr>
                <w:color w:val="000000"/>
                <w:kern w:val="0"/>
                <w:sz w:val="18"/>
                <w:szCs w:val="18"/>
              </w:rPr>
            </w:pPr>
            <w:r>
              <w:rPr>
                <w:rFonts w:hAnsi="宋体"/>
                <w:color w:val="000000"/>
                <w:kern w:val="0"/>
                <w:sz w:val="18"/>
                <w:szCs w:val="18"/>
              </w:rPr>
              <w:t>村卫生室金保网开通率</w:t>
            </w:r>
            <w:r>
              <w:rPr>
                <w:color w:val="000000"/>
                <w:kern w:val="0"/>
                <w:sz w:val="18"/>
                <w:szCs w:val="18"/>
              </w:rPr>
              <w:t>:≥95</w:t>
            </w:r>
          </w:p>
        </w:tc>
        <w:tc>
          <w:tcPr>
            <w:tcW w:w="1488" w:type="dxa"/>
            <w:tcBorders>
              <w:top w:val="nil"/>
              <w:left w:val="single" w:color="auto" w:sz="4" w:space="0"/>
              <w:bottom w:val="single" w:color="auto" w:sz="4" w:space="0"/>
              <w:right w:val="nil"/>
            </w:tcBorders>
            <w:shd w:val="clear" w:color="auto" w:fill="auto"/>
            <w:vAlign w:val="center"/>
          </w:tcPr>
          <w:p w14:paraId="19E2C8EB">
            <w:pPr>
              <w:widowControl/>
              <w:rPr>
                <w:color w:val="000000"/>
                <w:kern w:val="0"/>
                <w:sz w:val="18"/>
                <w:szCs w:val="18"/>
              </w:rPr>
            </w:pPr>
            <w:r>
              <w:rPr>
                <w:color w:val="000000"/>
                <w:kern w:val="0"/>
                <w:sz w:val="18"/>
                <w:szCs w:val="18"/>
              </w:rPr>
              <w:t>2020</w:t>
            </w:r>
            <w:r>
              <w:rPr>
                <w:rFonts w:hAnsi="宋体"/>
                <w:color w:val="000000"/>
                <w:kern w:val="0"/>
                <w:sz w:val="18"/>
                <w:szCs w:val="18"/>
              </w:rPr>
              <w:t>年</w:t>
            </w:r>
            <w:r>
              <w:rPr>
                <w:color w:val="000000"/>
                <w:kern w:val="0"/>
                <w:sz w:val="18"/>
                <w:szCs w:val="18"/>
              </w:rPr>
              <w:t>6</w:t>
            </w:r>
            <w:r>
              <w:rPr>
                <w:rFonts w:hAnsi="宋体"/>
                <w:color w:val="000000"/>
                <w:kern w:val="0"/>
                <w:sz w:val="18"/>
                <w:szCs w:val="18"/>
              </w:rPr>
              <w:t>月前完成</w:t>
            </w:r>
            <w:r>
              <w:rPr>
                <w:color w:val="000000"/>
                <w:kern w:val="0"/>
                <w:sz w:val="18"/>
                <w:szCs w:val="18"/>
              </w:rPr>
              <w:t>:87</w:t>
            </w:r>
            <w:r>
              <w:rPr>
                <w:rFonts w:hAnsi="宋体"/>
                <w:color w:val="000000"/>
                <w:kern w:val="0"/>
                <w:sz w:val="18"/>
                <w:szCs w:val="18"/>
              </w:rPr>
              <w:t>个村卫生室</w:t>
            </w:r>
          </w:p>
        </w:tc>
        <w:tc>
          <w:tcPr>
            <w:tcW w:w="1659" w:type="dxa"/>
            <w:tcBorders>
              <w:top w:val="nil"/>
              <w:left w:val="single" w:color="auto" w:sz="4" w:space="0"/>
              <w:bottom w:val="single" w:color="auto" w:sz="4" w:space="0"/>
              <w:right w:val="nil"/>
            </w:tcBorders>
            <w:shd w:val="clear" w:color="auto" w:fill="auto"/>
            <w:vAlign w:val="center"/>
          </w:tcPr>
          <w:p w14:paraId="47B6CCA3">
            <w:pPr>
              <w:widowControl/>
              <w:rPr>
                <w:color w:val="000000"/>
                <w:kern w:val="0"/>
                <w:sz w:val="18"/>
                <w:szCs w:val="18"/>
              </w:rPr>
            </w:pPr>
            <w:r>
              <w:rPr>
                <w:rFonts w:hAnsi="宋体"/>
                <w:color w:val="000000"/>
                <w:kern w:val="0"/>
                <w:sz w:val="18"/>
                <w:szCs w:val="18"/>
              </w:rPr>
              <w:t>村级就医结算率</w:t>
            </w:r>
            <w:r>
              <w:rPr>
                <w:color w:val="000000"/>
                <w:kern w:val="0"/>
                <w:sz w:val="18"/>
                <w:szCs w:val="18"/>
              </w:rPr>
              <w:t>:90</w:t>
            </w:r>
            <w:r>
              <w:rPr>
                <w:rFonts w:hAnsi="宋体"/>
                <w:color w:val="000000"/>
                <w:kern w:val="0"/>
                <w:sz w:val="18"/>
                <w:szCs w:val="18"/>
              </w:rPr>
              <w:t>及以上</w:t>
            </w:r>
          </w:p>
        </w:tc>
        <w:tc>
          <w:tcPr>
            <w:tcW w:w="3519" w:type="dxa"/>
            <w:tcBorders>
              <w:top w:val="nil"/>
              <w:left w:val="single" w:color="auto" w:sz="4" w:space="0"/>
              <w:bottom w:val="single" w:color="auto" w:sz="4" w:space="0"/>
              <w:right w:val="single" w:color="auto" w:sz="4" w:space="0"/>
            </w:tcBorders>
            <w:shd w:val="clear" w:color="auto" w:fill="auto"/>
            <w:vAlign w:val="center"/>
          </w:tcPr>
          <w:p w14:paraId="42B579A3">
            <w:pPr>
              <w:widowControl/>
              <w:rPr>
                <w:color w:val="000000"/>
                <w:kern w:val="0"/>
                <w:sz w:val="18"/>
                <w:szCs w:val="18"/>
              </w:rPr>
            </w:pPr>
            <w:r>
              <w:rPr>
                <w:rFonts w:hAnsi="宋体"/>
                <w:color w:val="000000"/>
                <w:kern w:val="0"/>
                <w:sz w:val="18"/>
                <w:szCs w:val="18"/>
              </w:rPr>
              <w:t>全面完成</w:t>
            </w:r>
            <w:r>
              <w:rPr>
                <w:color w:val="000000"/>
                <w:kern w:val="0"/>
                <w:sz w:val="18"/>
                <w:szCs w:val="18"/>
              </w:rPr>
              <w:t>2</w:t>
            </w:r>
            <w:r>
              <w:rPr>
                <w:rFonts w:hint="eastAsia"/>
                <w:color w:val="000000"/>
                <w:kern w:val="0"/>
                <w:sz w:val="18"/>
                <w:szCs w:val="18"/>
              </w:rPr>
              <w:t>8</w:t>
            </w:r>
            <w:r>
              <w:rPr>
                <w:rFonts w:hAnsi="宋体"/>
                <w:color w:val="000000"/>
                <w:kern w:val="0"/>
                <w:sz w:val="18"/>
                <w:szCs w:val="18"/>
              </w:rPr>
              <w:t>个贫困村</w:t>
            </w:r>
            <w:r>
              <w:rPr>
                <w:color w:val="000000"/>
                <w:kern w:val="0"/>
                <w:sz w:val="18"/>
                <w:szCs w:val="18"/>
              </w:rPr>
              <w:t>“</w:t>
            </w:r>
            <w:r>
              <w:rPr>
                <w:rFonts w:hAnsi="宋体"/>
                <w:color w:val="000000"/>
                <w:kern w:val="0"/>
                <w:sz w:val="18"/>
                <w:szCs w:val="18"/>
              </w:rPr>
              <w:t>村医通</w:t>
            </w:r>
            <w:r>
              <w:rPr>
                <w:color w:val="000000"/>
                <w:kern w:val="0"/>
                <w:sz w:val="18"/>
                <w:szCs w:val="18"/>
              </w:rPr>
              <w:t>”</w:t>
            </w:r>
            <w:r>
              <w:rPr>
                <w:rFonts w:hAnsi="宋体"/>
                <w:color w:val="000000"/>
                <w:kern w:val="0"/>
                <w:sz w:val="18"/>
                <w:szCs w:val="18"/>
              </w:rPr>
              <w:t>医保即时结算系统的安装工作，让贫困人口足不出村即在</w:t>
            </w:r>
            <w:r>
              <w:rPr>
                <w:color w:val="000000"/>
                <w:kern w:val="0"/>
                <w:sz w:val="18"/>
                <w:szCs w:val="18"/>
              </w:rPr>
              <w:t>“</w:t>
            </w:r>
            <w:r>
              <w:rPr>
                <w:rFonts w:hAnsi="宋体"/>
                <w:color w:val="000000"/>
                <w:kern w:val="0"/>
                <w:sz w:val="18"/>
                <w:szCs w:val="18"/>
              </w:rPr>
              <w:t>家门口</w:t>
            </w:r>
            <w:r>
              <w:rPr>
                <w:color w:val="000000"/>
                <w:kern w:val="0"/>
                <w:sz w:val="18"/>
                <w:szCs w:val="18"/>
              </w:rPr>
              <w:t>”</w:t>
            </w:r>
            <w:r>
              <w:rPr>
                <w:rFonts w:hAnsi="宋体"/>
                <w:color w:val="000000"/>
                <w:kern w:val="0"/>
                <w:sz w:val="18"/>
                <w:szCs w:val="18"/>
              </w:rPr>
              <w:t>就能享受到医保报销政策。</w:t>
            </w:r>
            <w:r>
              <w:rPr>
                <w:color w:val="000000"/>
                <w:kern w:val="0"/>
                <w:sz w:val="18"/>
                <w:szCs w:val="18"/>
              </w:rPr>
              <w:t>2020</w:t>
            </w:r>
            <w:r>
              <w:rPr>
                <w:rFonts w:hAnsi="宋体"/>
                <w:color w:val="000000"/>
                <w:kern w:val="0"/>
                <w:sz w:val="18"/>
                <w:szCs w:val="18"/>
              </w:rPr>
              <w:t>年，</w:t>
            </w:r>
            <w:r>
              <w:rPr>
                <w:color w:val="000000"/>
                <w:kern w:val="0"/>
                <w:sz w:val="18"/>
                <w:szCs w:val="18"/>
              </w:rPr>
              <w:t>“</w:t>
            </w:r>
            <w:r>
              <w:rPr>
                <w:rFonts w:hAnsi="宋体"/>
                <w:color w:val="000000"/>
                <w:kern w:val="0"/>
                <w:sz w:val="18"/>
                <w:szCs w:val="18"/>
              </w:rPr>
              <w:t>村医通</w:t>
            </w:r>
            <w:r>
              <w:rPr>
                <w:color w:val="000000"/>
                <w:kern w:val="0"/>
                <w:sz w:val="18"/>
                <w:szCs w:val="18"/>
              </w:rPr>
              <w:t>”</w:t>
            </w:r>
            <w:r>
              <w:rPr>
                <w:rFonts w:hAnsi="宋体"/>
                <w:color w:val="000000"/>
                <w:kern w:val="0"/>
                <w:sz w:val="18"/>
                <w:szCs w:val="18"/>
              </w:rPr>
              <w:t>结算</w:t>
            </w:r>
            <w:r>
              <w:rPr>
                <w:color w:val="000000"/>
                <w:kern w:val="0"/>
                <w:sz w:val="18"/>
                <w:szCs w:val="18"/>
              </w:rPr>
              <w:t>1454</w:t>
            </w:r>
            <w:r>
              <w:rPr>
                <w:rFonts w:hAnsi="宋体"/>
                <w:color w:val="000000"/>
                <w:kern w:val="0"/>
                <w:sz w:val="18"/>
                <w:szCs w:val="18"/>
              </w:rPr>
              <w:t>人次，基本医疗保险报销</w:t>
            </w:r>
            <w:r>
              <w:rPr>
                <w:color w:val="000000"/>
                <w:kern w:val="0"/>
                <w:sz w:val="18"/>
                <w:szCs w:val="18"/>
              </w:rPr>
              <w:t>5</w:t>
            </w:r>
            <w:r>
              <w:rPr>
                <w:rFonts w:hAnsi="宋体"/>
                <w:color w:val="000000"/>
                <w:kern w:val="0"/>
                <w:sz w:val="18"/>
                <w:szCs w:val="18"/>
              </w:rPr>
              <w:t>万元。</w:t>
            </w:r>
          </w:p>
        </w:tc>
        <w:tc>
          <w:tcPr>
            <w:tcW w:w="876" w:type="dxa"/>
            <w:tcBorders>
              <w:top w:val="nil"/>
              <w:left w:val="nil"/>
              <w:bottom w:val="single" w:color="auto" w:sz="4" w:space="0"/>
              <w:right w:val="single" w:color="auto" w:sz="4" w:space="0"/>
            </w:tcBorders>
            <w:shd w:val="clear" w:color="auto" w:fill="auto"/>
            <w:vAlign w:val="center"/>
          </w:tcPr>
          <w:p w14:paraId="02B0CC80">
            <w:pPr>
              <w:widowControl/>
              <w:jc w:val="left"/>
              <w:rPr>
                <w:rFonts w:ascii="宋体" w:hAnsi="宋体" w:cs="宋体"/>
                <w:color w:val="000000"/>
                <w:kern w:val="0"/>
                <w:sz w:val="18"/>
                <w:szCs w:val="18"/>
              </w:rPr>
            </w:pPr>
            <w:r>
              <w:rPr>
                <w:rFonts w:hint="eastAsia" w:ascii="宋体" w:hAnsi="宋体" w:cs="宋体"/>
                <w:color w:val="000000"/>
                <w:kern w:val="0"/>
                <w:sz w:val="18"/>
                <w:szCs w:val="18"/>
              </w:rPr>
              <w:t>群众满意度90%及以上。</w:t>
            </w:r>
          </w:p>
        </w:tc>
      </w:tr>
      <w:tr w14:paraId="7F1D98DE">
        <w:tblPrEx>
          <w:tblCellMar>
            <w:top w:w="0" w:type="dxa"/>
            <w:left w:w="108" w:type="dxa"/>
            <w:bottom w:w="0" w:type="dxa"/>
            <w:right w:w="108" w:type="dxa"/>
          </w:tblCellMar>
        </w:tblPrEx>
        <w:trPr>
          <w:trHeight w:val="1416" w:hRule="atLeast"/>
        </w:trPr>
        <w:tc>
          <w:tcPr>
            <w:tcW w:w="462" w:type="dxa"/>
            <w:tcBorders>
              <w:top w:val="nil"/>
              <w:left w:val="single" w:color="auto" w:sz="4" w:space="0"/>
              <w:bottom w:val="single" w:color="auto" w:sz="4" w:space="0"/>
              <w:right w:val="single" w:color="auto" w:sz="4" w:space="0"/>
            </w:tcBorders>
            <w:shd w:val="clear" w:color="auto" w:fill="auto"/>
            <w:vAlign w:val="center"/>
          </w:tcPr>
          <w:p w14:paraId="12CC53E8">
            <w:pPr>
              <w:widowControl/>
              <w:jc w:val="center"/>
              <w:rPr>
                <w:color w:val="000000"/>
                <w:kern w:val="0"/>
                <w:sz w:val="18"/>
                <w:szCs w:val="18"/>
              </w:rPr>
            </w:pPr>
            <w:r>
              <w:rPr>
                <w:color w:val="000000"/>
                <w:kern w:val="0"/>
                <w:sz w:val="18"/>
                <w:szCs w:val="18"/>
              </w:rPr>
              <w:t>4</w:t>
            </w:r>
          </w:p>
        </w:tc>
        <w:tc>
          <w:tcPr>
            <w:tcW w:w="1017" w:type="dxa"/>
            <w:tcBorders>
              <w:top w:val="nil"/>
              <w:left w:val="nil"/>
              <w:bottom w:val="single" w:color="auto" w:sz="4" w:space="0"/>
              <w:right w:val="single" w:color="auto" w:sz="4" w:space="0"/>
            </w:tcBorders>
            <w:shd w:val="clear" w:color="auto" w:fill="auto"/>
            <w:vAlign w:val="center"/>
          </w:tcPr>
          <w:p w14:paraId="7FF3C891">
            <w:pPr>
              <w:widowControl/>
              <w:jc w:val="center"/>
              <w:rPr>
                <w:color w:val="000000"/>
                <w:kern w:val="0"/>
                <w:sz w:val="18"/>
                <w:szCs w:val="18"/>
              </w:rPr>
            </w:pPr>
            <w:r>
              <w:rPr>
                <w:rFonts w:hAnsi="宋体"/>
                <w:color w:val="000000"/>
                <w:kern w:val="0"/>
                <w:sz w:val="18"/>
                <w:szCs w:val="18"/>
              </w:rPr>
              <w:t>离休干部、二等乙级伤残军人和伤残人民警察、建国初期参加革命工作人员医疗费用</w:t>
            </w:r>
          </w:p>
        </w:tc>
        <w:tc>
          <w:tcPr>
            <w:tcW w:w="1536" w:type="dxa"/>
            <w:tcBorders>
              <w:top w:val="nil"/>
              <w:left w:val="nil"/>
              <w:bottom w:val="single" w:color="000000" w:sz="4" w:space="0"/>
              <w:right w:val="single" w:color="000000" w:sz="4" w:space="0"/>
            </w:tcBorders>
            <w:shd w:val="clear" w:color="auto" w:fill="auto"/>
            <w:noWrap/>
            <w:vAlign w:val="center"/>
          </w:tcPr>
          <w:p w14:paraId="6254E27C">
            <w:pPr>
              <w:widowControl/>
              <w:jc w:val="center"/>
              <w:rPr>
                <w:color w:val="000000"/>
                <w:kern w:val="0"/>
                <w:sz w:val="22"/>
              </w:rPr>
            </w:pPr>
            <w:r>
              <w:rPr>
                <w:color w:val="000000"/>
                <w:kern w:val="0"/>
                <w:sz w:val="22"/>
              </w:rPr>
              <w:t>1,261,333.13</w:t>
            </w:r>
          </w:p>
        </w:tc>
        <w:tc>
          <w:tcPr>
            <w:tcW w:w="2246" w:type="dxa"/>
            <w:tcBorders>
              <w:top w:val="nil"/>
              <w:left w:val="nil"/>
              <w:bottom w:val="single" w:color="auto" w:sz="4" w:space="0"/>
              <w:right w:val="single" w:color="auto" w:sz="4" w:space="0"/>
            </w:tcBorders>
            <w:shd w:val="clear" w:color="auto" w:fill="auto"/>
            <w:vAlign w:val="center"/>
          </w:tcPr>
          <w:p w14:paraId="403D09DE">
            <w:pPr>
              <w:widowControl/>
              <w:rPr>
                <w:color w:val="000000"/>
                <w:kern w:val="0"/>
                <w:sz w:val="18"/>
                <w:szCs w:val="18"/>
              </w:rPr>
            </w:pPr>
            <w:r>
              <w:rPr>
                <w:rFonts w:hAnsi="宋体"/>
                <w:color w:val="000000"/>
                <w:kern w:val="0"/>
                <w:sz w:val="18"/>
                <w:szCs w:val="18"/>
              </w:rPr>
              <w:t>确保全县离休干部</w:t>
            </w:r>
            <w:r>
              <w:rPr>
                <w:color w:val="000000"/>
                <w:kern w:val="0"/>
                <w:sz w:val="18"/>
                <w:szCs w:val="18"/>
              </w:rPr>
              <w:t>18</w:t>
            </w:r>
            <w:r>
              <w:rPr>
                <w:rFonts w:hAnsi="宋体"/>
                <w:color w:val="000000"/>
                <w:kern w:val="0"/>
                <w:sz w:val="18"/>
                <w:szCs w:val="18"/>
              </w:rPr>
              <w:t>人，二等乙级伤残人员</w:t>
            </w:r>
            <w:r>
              <w:rPr>
                <w:color w:val="000000"/>
                <w:kern w:val="0"/>
                <w:sz w:val="18"/>
                <w:szCs w:val="18"/>
              </w:rPr>
              <w:t>21</w:t>
            </w:r>
            <w:r>
              <w:rPr>
                <w:rFonts w:hAnsi="宋体"/>
                <w:color w:val="000000"/>
                <w:kern w:val="0"/>
                <w:sz w:val="18"/>
                <w:szCs w:val="18"/>
              </w:rPr>
              <w:t>人，建国初期参加革命工作人员</w:t>
            </w:r>
            <w:r>
              <w:rPr>
                <w:color w:val="000000"/>
                <w:kern w:val="0"/>
                <w:sz w:val="18"/>
                <w:szCs w:val="18"/>
              </w:rPr>
              <w:t>7</w:t>
            </w:r>
            <w:r>
              <w:rPr>
                <w:rFonts w:hAnsi="宋体"/>
                <w:color w:val="000000"/>
                <w:kern w:val="0"/>
                <w:sz w:val="18"/>
                <w:szCs w:val="18"/>
              </w:rPr>
              <w:t>人医疗费用足额安排拨付</w:t>
            </w:r>
          </w:p>
        </w:tc>
        <w:tc>
          <w:tcPr>
            <w:tcW w:w="1559" w:type="dxa"/>
            <w:tcBorders>
              <w:top w:val="nil"/>
              <w:left w:val="nil"/>
              <w:bottom w:val="single" w:color="auto" w:sz="4" w:space="0"/>
              <w:right w:val="nil"/>
            </w:tcBorders>
            <w:shd w:val="clear" w:color="auto" w:fill="auto"/>
            <w:vAlign w:val="center"/>
          </w:tcPr>
          <w:p w14:paraId="0F5665D6">
            <w:pPr>
              <w:widowControl/>
              <w:rPr>
                <w:color w:val="000000"/>
                <w:kern w:val="0"/>
                <w:sz w:val="18"/>
                <w:szCs w:val="18"/>
              </w:rPr>
            </w:pPr>
            <w:r>
              <w:rPr>
                <w:rFonts w:hAnsi="宋体"/>
                <w:color w:val="000000"/>
                <w:kern w:val="0"/>
                <w:sz w:val="18"/>
                <w:szCs w:val="18"/>
              </w:rPr>
              <w:t>离休干部</w:t>
            </w:r>
            <w:r>
              <w:rPr>
                <w:color w:val="000000"/>
                <w:kern w:val="0"/>
                <w:sz w:val="18"/>
                <w:szCs w:val="18"/>
              </w:rPr>
              <w:t>18</w:t>
            </w:r>
            <w:r>
              <w:rPr>
                <w:rFonts w:hAnsi="宋体"/>
                <w:color w:val="000000"/>
                <w:kern w:val="0"/>
                <w:sz w:val="18"/>
                <w:szCs w:val="18"/>
              </w:rPr>
              <w:t>人，二等乙级伤残人员</w:t>
            </w:r>
            <w:r>
              <w:rPr>
                <w:color w:val="000000"/>
                <w:kern w:val="0"/>
                <w:sz w:val="18"/>
                <w:szCs w:val="18"/>
              </w:rPr>
              <w:t>21</w:t>
            </w:r>
            <w:r>
              <w:rPr>
                <w:rFonts w:hAnsi="宋体"/>
                <w:color w:val="000000"/>
                <w:kern w:val="0"/>
                <w:sz w:val="18"/>
                <w:szCs w:val="18"/>
              </w:rPr>
              <w:t>人，建国初期参加革命工作人员</w:t>
            </w:r>
            <w:r>
              <w:rPr>
                <w:color w:val="000000"/>
                <w:kern w:val="0"/>
                <w:sz w:val="18"/>
                <w:szCs w:val="18"/>
              </w:rPr>
              <w:t>7</w:t>
            </w:r>
            <w:r>
              <w:rPr>
                <w:rFonts w:hAnsi="宋体"/>
                <w:color w:val="000000"/>
                <w:kern w:val="0"/>
                <w:sz w:val="18"/>
                <w:szCs w:val="18"/>
              </w:rPr>
              <w:t>人</w:t>
            </w:r>
          </w:p>
        </w:tc>
        <w:tc>
          <w:tcPr>
            <w:tcW w:w="1451" w:type="dxa"/>
            <w:tcBorders>
              <w:top w:val="nil"/>
              <w:left w:val="single" w:color="auto" w:sz="4" w:space="0"/>
              <w:bottom w:val="single" w:color="auto" w:sz="4" w:space="0"/>
              <w:right w:val="nil"/>
            </w:tcBorders>
            <w:shd w:val="clear" w:color="auto" w:fill="auto"/>
            <w:vAlign w:val="center"/>
          </w:tcPr>
          <w:p w14:paraId="4CD90E6C">
            <w:pPr>
              <w:widowControl/>
              <w:rPr>
                <w:color w:val="000000"/>
                <w:kern w:val="0"/>
                <w:sz w:val="18"/>
                <w:szCs w:val="18"/>
              </w:rPr>
            </w:pPr>
            <w:r>
              <w:rPr>
                <w:rFonts w:hAnsi="宋体"/>
                <w:color w:val="000000"/>
                <w:kern w:val="0"/>
                <w:sz w:val="18"/>
                <w:szCs w:val="18"/>
              </w:rPr>
              <w:t>离休干部、二乙伤残人员及建国初期参加工作人员的医疗费用足额拨付</w:t>
            </w:r>
            <w:r>
              <w:rPr>
                <w:color w:val="000000"/>
                <w:kern w:val="0"/>
                <w:sz w:val="18"/>
                <w:szCs w:val="18"/>
              </w:rPr>
              <w:t>:</w:t>
            </w:r>
            <w:r>
              <w:rPr>
                <w:rFonts w:hAnsi="宋体"/>
                <w:color w:val="000000"/>
                <w:kern w:val="0"/>
                <w:sz w:val="18"/>
                <w:szCs w:val="18"/>
              </w:rPr>
              <w:t>保障足额拨付。</w:t>
            </w:r>
          </w:p>
        </w:tc>
        <w:tc>
          <w:tcPr>
            <w:tcW w:w="1488" w:type="dxa"/>
            <w:tcBorders>
              <w:top w:val="nil"/>
              <w:left w:val="single" w:color="auto" w:sz="4" w:space="0"/>
              <w:bottom w:val="single" w:color="auto" w:sz="4" w:space="0"/>
              <w:right w:val="nil"/>
            </w:tcBorders>
            <w:shd w:val="clear" w:color="auto" w:fill="auto"/>
            <w:vAlign w:val="center"/>
          </w:tcPr>
          <w:p w14:paraId="3974E3E7">
            <w:pPr>
              <w:widowControl/>
              <w:rPr>
                <w:color w:val="000000"/>
                <w:kern w:val="0"/>
                <w:sz w:val="18"/>
                <w:szCs w:val="18"/>
              </w:rPr>
            </w:pPr>
            <w:r>
              <w:rPr>
                <w:rFonts w:hAnsi="宋体"/>
                <w:color w:val="000000"/>
                <w:kern w:val="0"/>
                <w:sz w:val="18"/>
                <w:szCs w:val="18"/>
              </w:rPr>
              <w:t>离休干部、二乙伤残人员所产生的医疗费用及时足额拨付</w:t>
            </w:r>
            <w:r>
              <w:rPr>
                <w:color w:val="000000"/>
                <w:kern w:val="0"/>
                <w:sz w:val="18"/>
                <w:szCs w:val="18"/>
              </w:rPr>
              <w:t>:2020</w:t>
            </w:r>
            <w:r>
              <w:rPr>
                <w:rFonts w:hAnsi="宋体"/>
                <w:color w:val="000000"/>
                <w:kern w:val="0"/>
                <w:sz w:val="18"/>
                <w:szCs w:val="18"/>
              </w:rPr>
              <w:t>年</w:t>
            </w:r>
            <w:r>
              <w:rPr>
                <w:color w:val="000000"/>
                <w:kern w:val="0"/>
                <w:sz w:val="18"/>
                <w:szCs w:val="18"/>
              </w:rPr>
              <w:t>1</w:t>
            </w:r>
            <w:r>
              <w:rPr>
                <w:rFonts w:hAnsi="宋体"/>
                <w:color w:val="000000"/>
                <w:kern w:val="0"/>
                <w:sz w:val="18"/>
                <w:szCs w:val="18"/>
              </w:rPr>
              <w:t>月</w:t>
            </w:r>
            <w:r>
              <w:rPr>
                <w:color w:val="000000"/>
                <w:kern w:val="0"/>
                <w:sz w:val="18"/>
                <w:szCs w:val="18"/>
              </w:rPr>
              <w:t>1</w:t>
            </w:r>
            <w:r>
              <w:rPr>
                <w:rFonts w:hAnsi="宋体"/>
                <w:color w:val="000000"/>
                <w:kern w:val="0"/>
                <w:sz w:val="18"/>
                <w:szCs w:val="18"/>
              </w:rPr>
              <w:t>日</w:t>
            </w:r>
            <w:r>
              <w:rPr>
                <w:color w:val="000000"/>
                <w:kern w:val="0"/>
                <w:sz w:val="18"/>
                <w:szCs w:val="18"/>
              </w:rPr>
              <w:t>-2020</w:t>
            </w:r>
            <w:r>
              <w:rPr>
                <w:rFonts w:hAnsi="宋体"/>
                <w:color w:val="000000"/>
                <w:kern w:val="0"/>
                <w:sz w:val="18"/>
                <w:szCs w:val="18"/>
              </w:rPr>
              <w:t>年</w:t>
            </w:r>
            <w:r>
              <w:rPr>
                <w:color w:val="000000"/>
                <w:kern w:val="0"/>
                <w:sz w:val="18"/>
                <w:szCs w:val="18"/>
              </w:rPr>
              <w:t>12</w:t>
            </w:r>
            <w:r>
              <w:rPr>
                <w:rFonts w:hAnsi="宋体"/>
                <w:color w:val="000000"/>
                <w:kern w:val="0"/>
                <w:sz w:val="18"/>
                <w:szCs w:val="18"/>
              </w:rPr>
              <w:t>月</w:t>
            </w:r>
            <w:r>
              <w:rPr>
                <w:color w:val="000000"/>
                <w:kern w:val="0"/>
                <w:sz w:val="18"/>
                <w:szCs w:val="18"/>
              </w:rPr>
              <w:t>31</w:t>
            </w:r>
            <w:r>
              <w:rPr>
                <w:rFonts w:hAnsi="宋体"/>
                <w:color w:val="000000"/>
                <w:kern w:val="0"/>
                <w:sz w:val="18"/>
                <w:szCs w:val="18"/>
              </w:rPr>
              <w:t>日</w:t>
            </w:r>
          </w:p>
        </w:tc>
        <w:tc>
          <w:tcPr>
            <w:tcW w:w="1659" w:type="dxa"/>
            <w:tcBorders>
              <w:top w:val="nil"/>
              <w:left w:val="single" w:color="auto" w:sz="4" w:space="0"/>
              <w:bottom w:val="single" w:color="auto" w:sz="4" w:space="0"/>
              <w:right w:val="nil"/>
            </w:tcBorders>
            <w:shd w:val="clear" w:color="auto" w:fill="auto"/>
            <w:vAlign w:val="center"/>
          </w:tcPr>
          <w:p w14:paraId="6ED11707">
            <w:pPr>
              <w:widowControl/>
              <w:rPr>
                <w:color w:val="000000"/>
                <w:kern w:val="0"/>
                <w:sz w:val="18"/>
                <w:szCs w:val="18"/>
              </w:rPr>
            </w:pPr>
            <w:r>
              <w:rPr>
                <w:rFonts w:hAnsi="宋体"/>
                <w:color w:val="000000"/>
                <w:kern w:val="0"/>
                <w:sz w:val="18"/>
                <w:szCs w:val="18"/>
              </w:rPr>
              <w:t>保障离休干部、二乙伤残人员、建国初期参加革命人员的医疗需求</w:t>
            </w:r>
            <w:r>
              <w:rPr>
                <w:color w:val="000000"/>
                <w:kern w:val="0"/>
                <w:sz w:val="18"/>
                <w:szCs w:val="18"/>
              </w:rPr>
              <w:t>:≥90%</w:t>
            </w:r>
          </w:p>
        </w:tc>
        <w:tc>
          <w:tcPr>
            <w:tcW w:w="3519" w:type="dxa"/>
            <w:tcBorders>
              <w:top w:val="nil"/>
              <w:left w:val="single" w:color="auto" w:sz="4" w:space="0"/>
              <w:bottom w:val="single" w:color="auto" w:sz="4" w:space="0"/>
              <w:right w:val="single" w:color="auto" w:sz="4" w:space="0"/>
            </w:tcBorders>
            <w:shd w:val="clear" w:color="auto" w:fill="auto"/>
            <w:vAlign w:val="center"/>
          </w:tcPr>
          <w:p w14:paraId="778ECBAA">
            <w:pPr>
              <w:widowControl/>
              <w:rPr>
                <w:color w:val="000000"/>
                <w:kern w:val="0"/>
                <w:sz w:val="18"/>
                <w:szCs w:val="18"/>
              </w:rPr>
            </w:pPr>
            <w:r>
              <w:rPr>
                <w:rFonts w:hAnsi="宋体"/>
                <w:color w:val="000000"/>
                <w:kern w:val="0"/>
                <w:sz w:val="18"/>
                <w:szCs w:val="18"/>
              </w:rPr>
              <w:t>离休，二乙，建国初期特殊人员门诊报销</w:t>
            </w:r>
            <w:r>
              <w:rPr>
                <w:color w:val="000000"/>
                <w:kern w:val="0"/>
                <w:sz w:val="18"/>
                <w:szCs w:val="18"/>
              </w:rPr>
              <w:t>588</w:t>
            </w:r>
            <w:r>
              <w:rPr>
                <w:rFonts w:hAnsi="宋体"/>
                <w:color w:val="000000"/>
                <w:kern w:val="0"/>
                <w:sz w:val="18"/>
                <w:szCs w:val="18"/>
              </w:rPr>
              <w:t>人次，住院报销</w:t>
            </w:r>
            <w:r>
              <w:rPr>
                <w:color w:val="000000"/>
                <w:kern w:val="0"/>
                <w:sz w:val="18"/>
                <w:szCs w:val="18"/>
              </w:rPr>
              <w:t>104</w:t>
            </w:r>
            <w:r>
              <w:rPr>
                <w:rFonts w:hAnsi="宋体"/>
                <w:color w:val="000000"/>
                <w:kern w:val="0"/>
                <w:sz w:val="18"/>
                <w:szCs w:val="18"/>
              </w:rPr>
              <w:t>人次。</w:t>
            </w:r>
          </w:p>
        </w:tc>
        <w:tc>
          <w:tcPr>
            <w:tcW w:w="876" w:type="dxa"/>
            <w:tcBorders>
              <w:top w:val="nil"/>
              <w:left w:val="nil"/>
              <w:bottom w:val="single" w:color="auto" w:sz="4" w:space="0"/>
              <w:right w:val="single" w:color="auto" w:sz="4" w:space="0"/>
            </w:tcBorders>
            <w:shd w:val="clear" w:color="auto" w:fill="auto"/>
            <w:vAlign w:val="center"/>
          </w:tcPr>
          <w:p w14:paraId="35937446">
            <w:pPr>
              <w:widowControl/>
              <w:jc w:val="left"/>
              <w:rPr>
                <w:rFonts w:ascii="宋体" w:hAnsi="宋体" w:cs="宋体"/>
                <w:color w:val="000000"/>
                <w:kern w:val="0"/>
                <w:sz w:val="18"/>
                <w:szCs w:val="18"/>
              </w:rPr>
            </w:pPr>
            <w:r>
              <w:rPr>
                <w:rFonts w:hint="eastAsia" w:ascii="宋体" w:hAnsi="宋体" w:cs="宋体"/>
                <w:color w:val="000000"/>
                <w:kern w:val="0"/>
                <w:sz w:val="18"/>
                <w:szCs w:val="18"/>
              </w:rPr>
              <w:t>离休干部、二乙伤残人员满意度95%及以上</w:t>
            </w:r>
          </w:p>
        </w:tc>
      </w:tr>
      <w:tr w14:paraId="22B09A6D">
        <w:tblPrEx>
          <w:tblCellMar>
            <w:top w:w="0" w:type="dxa"/>
            <w:left w:w="108" w:type="dxa"/>
            <w:bottom w:w="0" w:type="dxa"/>
            <w:right w:w="108" w:type="dxa"/>
          </w:tblCellMar>
        </w:tblPrEx>
        <w:trPr>
          <w:trHeight w:val="1572" w:hRule="atLeast"/>
        </w:trPr>
        <w:tc>
          <w:tcPr>
            <w:tcW w:w="462" w:type="dxa"/>
            <w:tcBorders>
              <w:top w:val="nil"/>
              <w:left w:val="single" w:color="auto" w:sz="4" w:space="0"/>
              <w:bottom w:val="single" w:color="auto" w:sz="4" w:space="0"/>
              <w:right w:val="single" w:color="auto" w:sz="4" w:space="0"/>
            </w:tcBorders>
            <w:shd w:val="clear" w:color="auto" w:fill="auto"/>
            <w:vAlign w:val="center"/>
          </w:tcPr>
          <w:p w14:paraId="6E8AE4D4">
            <w:pPr>
              <w:widowControl/>
              <w:jc w:val="center"/>
              <w:rPr>
                <w:color w:val="000000"/>
                <w:kern w:val="0"/>
                <w:sz w:val="18"/>
                <w:szCs w:val="18"/>
              </w:rPr>
            </w:pPr>
            <w:r>
              <w:rPr>
                <w:color w:val="000000"/>
                <w:kern w:val="0"/>
                <w:sz w:val="18"/>
                <w:szCs w:val="18"/>
              </w:rPr>
              <w:t>5</w:t>
            </w:r>
          </w:p>
        </w:tc>
        <w:tc>
          <w:tcPr>
            <w:tcW w:w="1017" w:type="dxa"/>
            <w:tcBorders>
              <w:top w:val="nil"/>
              <w:left w:val="nil"/>
              <w:bottom w:val="single" w:color="auto" w:sz="4" w:space="0"/>
              <w:right w:val="single" w:color="auto" w:sz="4" w:space="0"/>
            </w:tcBorders>
            <w:shd w:val="clear" w:color="auto" w:fill="auto"/>
            <w:vAlign w:val="center"/>
          </w:tcPr>
          <w:p w14:paraId="323DB39A">
            <w:pPr>
              <w:widowControl/>
              <w:jc w:val="center"/>
              <w:rPr>
                <w:color w:val="000000"/>
                <w:kern w:val="0"/>
                <w:sz w:val="18"/>
                <w:szCs w:val="18"/>
              </w:rPr>
            </w:pPr>
            <w:r>
              <w:rPr>
                <w:rFonts w:hAnsi="宋体"/>
                <w:color w:val="000000"/>
                <w:kern w:val="0"/>
                <w:sz w:val="18"/>
                <w:szCs w:val="18"/>
              </w:rPr>
              <w:t>财政代缴建档立卡贫困人口城乡居民医疗保险个人缴费</w:t>
            </w:r>
          </w:p>
        </w:tc>
        <w:tc>
          <w:tcPr>
            <w:tcW w:w="1536" w:type="dxa"/>
            <w:tcBorders>
              <w:top w:val="nil"/>
              <w:left w:val="nil"/>
              <w:bottom w:val="single" w:color="000000" w:sz="4" w:space="0"/>
              <w:right w:val="single" w:color="000000" w:sz="4" w:space="0"/>
            </w:tcBorders>
            <w:shd w:val="clear" w:color="auto" w:fill="auto"/>
            <w:noWrap/>
            <w:vAlign w:val="center"/>
          </w:tcPr>
          <w:p w14:paraId="4BCCE136">
            <w:pPr>
              <w:widowControl/>
              <w:jc w:val="center"/>
              <w:rPr>
                <w:color w:val="000000"/>
                <w:kern w:val="0"/>
                <w:sz w:val="22"/>
              </w:rPr>
            </w:pPr>
            <w:r>
              <w:rPr>
                <w:color w:val="000000"/>
                <w:kern w:val="0"/>
                <w:sz w:val="22"/>
              </w:rPr>
              <w:t>5,709,660.00</w:t>
            </w:r>
          </w:p>
        </w:tc>
        <w:tc>
          <w:tcPr>
            <w:tcW w:w="2246" w:type="dxa"/>
            <w:tcBorders>
              <w:top w:val="nil"/>
              <w:left w:val="nil"/>
              <w:bottom w:val="single" w:color="auto" w:sz="4" w:space="0"/>
              <w:right w:val="single" w:color="auto" w:sz="4" w:space="0"/>
            </w:tcBorders>
            <w:shd w:val="clear" w:color="auto" w:fill="auto"/>
            <w:vAlign w:val="center"/>
          </w:tcPr>
          <w:p w14:paraId="4EF3514F">
            <w:pPr>
              <w:widowControl/>
              <w:rPr>
                <w:color w:val="000000"/>
                <w:kern w:val="0"/>
                <w:sz w:val="18"/>
                <w:szCs w:val="18"/>
              </w:rPr>
            </w:pPr>
            <w:r>
              <w:rPr>
                <w:rFonts w:hAnsi="宋体"/>
                <w:color w:val="000000"/>
                <w:kern w:val="0"/>
                <w:sz w:val="18"/>
                <w:szCs w:val="18"/>
              </w:rPr>
              <w:t>保障建档立卡贫困人口基本医疗保险，确保建档立卡贫困人员持续参保，进一步减轻建档立卡贫困人口医疗费用负担，防止因病致贫、因病返贫，助力脱贫攻坚。</w:t>
            </w:r>
          </w:p>
        </w:tc>
        <w:tc>
          <w:tcPr>
            <w:tcW w:w="1559" w:type="dxa"/>
            <w:tcBorders>
              <w:top w:val="nil"/>
              <w:left w:val="nil"/>
              <w:bottom w:val="single" w:color="auto" w:sz="4" w:space="0"/>
              <w:right w:val="single" w:color="auto" w:sz="4" w:space="0"/>
            </w:tcBorders>
            <w:shd w:val="clear" w:color="auto" w:fill="auto"/>
            <w:vAlign w:val="center"/>
          </w:tcPr>
          <w:p w14:paraId="4D11C6F3">
            <w:pPr>
              <w:widowControl/>
              <w:rPr>
                <w:color w:val="000000"/>
                <w:kern w:val="0"/>
                <w:sz w:val="18"/>
                <w:szCs w:val="18"/>
              </w:rPr>
            </w:pPr>
            <w:r>
              <w:rPr>
                <w:rFonts w:hAnsi="宋体"/>
                <w:color w:val="000000"/>
                <w:kern w:val="0"/>
                <w:sz w:val="18"/>
                <w:szCs w:val="18"/>
              </w:rPr>
              <w:t>代缴建档立卡贫困人口基本医疗保险个人缴费人数</w:t>
            </w:r>
            <w:r>
              <w:rPr>
                <w:color w:val="000000"/>
                <w:kern w:val="0"/>
                <w:sz w:val="18"/>
                <w:szCs w:val="18"/>
              </w:rPr>
              <w:t>≥18067</w:t>
            </w:r>
            <w:r>
              <w:rPr>
                <w:rFonts w:hAnsi="宋体"/>
                <w:color w:val="000000"/>
                <w:kern w:val="0"/>
                <w:sz w:val="18"/>
                <w:szCs w:val="18"/>
              </w:rPr>
              <w:t>人</w:t>
            </w:r>
          </w:p>
        </w:tc>
        <w:tc>
          <w:tcPr>
            <w:tcW w:w="1451" w:type="dxa"/>
            <w:tcBorders>
              <w:top w:val="nil"/>
              <w:left w:val="nil"/>
              <w:bottom w:val="single" w:color="auto" w:sz="4" w:space="0"/>
              <w:right w:val="single" w:color="auto" w:sz="4" w:space="0"/>
            </w:tcBorders>
            <w:shd w:val="clear" w:color="auto" w:fill="auto"/>
            <w:vAlign w:val="center"/>
          </w:tcPr>
          <w:p w14:paraId="10034DF8">
            <w:pPr>
              <w:widowControl/>
              <w:rPr>
                <w:color w:val="000000"/>
                <w:kern w:val="0"/>
                <w:sz w:val="18"/>
                <w:szCs w:val="18"/>
              </w:rPr>
            </w:pPr>
            <w:r>
              <w:rPr>
                <w:rFonts w:hAnsi="宋体"/>
                <w:color w:val="000000"/>
                <w:kern w:val="0"/>
                <w:sz w:val="18"/>
                <w:szCs w:val="18"/>
              </w:rPr>
              <w:t>建档立卡贫困户参保率</w:t>
            </w:r>
            <w:r>
              <w:rPr>
                <w:color w:val="000000"/>
                <w:kern w:val="0"/>
                <w:sz w:val="18"/>
                <w:szCs w:val="18"/>
              </w:rPr>
              <w:t>100%</w:t>
            </w:r>
            <w:r>
              <w:rPr>
                <w:rFonts w:hAnsi="宋体"/>
                <w:color w:val="000000"/>
                <w:kern w:val="0"/>
                <w:sz w:val="18"/>
                <w:szCs w:val="18"/>
              </w:rPr>
              <w:t>、在县域内的住院政策范围内报销比例</w:t>
            </w:r>
            <w:r>
              <w:rPr>
                <w:color w:val="000000"/>
                <w:kern w:val="0"/>
                <w:sz w:val="18"/>
                <w:szCs w:val="18"/>
              </w:rPr>
              <w:t>100%</w:t>
            </w:r>
          </w:p>
        </w:tc>
        <w:tc>
          <w:tcPr>
            <w:tcW w:w="1488" w:type="dxa"/>
            <w:tcBorders>
              <w:top w:val="nil"/>
              <w:left w:val="nil"/>
              <w:bottom w:val="single" w:color="auto" w:sz="4" w:space="0"/>
              <w:right w:val="single" w:color="auto" w:sz="4" w:space="0"/>
            </w:tcBorders>
            <w:shd w:val="clear" w:color="auto" w:fill="auto"/>
            <w:vAlign w:val="center"/>
          </w:tcPr>
          <w:p w14:paraId="3CA0E669">
            <w:pPr>
              <w:widowControl/>
              <w:rPr>
                <w:color w:val="000000"/>
                <w:kern w:val="0"/>
                <w:sz w:val="18"/>
                <w:szCs w:val="18"/>
              </w:rPr>
            </w:pPr>
            <w:r>
              <w:rPr>
                <w:rFonts w:hAnsi="宋体"/>
                <w:color w:val="000000"/>
                <w:kern w:val="0"/>
                <w:sz w:val="18"/>
                <w:szCs w:val="18"/>
              </w:rPr>
              <w:t>县域内三重保障（基本医疗、大病保险、兜底保障）</w:t>
            </w:r>
            <w:r>
              <w:rPr>
                <w:color w:val="000000"/>
                <w:kern w:val="0"/>
                <w:sz w:val="18"/>
                <w:szCs w:val="18"/>
              </w:rPr>
              <w:t>“</w:t>
            </w:r>
            <w:r>
              <w:rPr>
                <w:rFonts w:hAnsi="宋体"/>
                <w:color w:val="000000"/>
                <w:kern w:val="0"/>
                <w:sz w:val="18"/>
                <w:szCs w:val="18"/>
              </w:rPr>
              <w:t>一站式</w:t>
            </w:r>
            <w:r>
              <w:rPr>
                <w:color w:val="000000"/>
                <w:kern w:val="0"/>
                <w:sz w:val="18"/>
                <w:szCs w:val="18"/>
              </w:rPr>
              <w:t>”</w:t>
            </w:r>
            <w:r>
              <w:rPr>
                <w:rFonts w:hAnsi="宋体"/>
                <w:color w:val="000000"/>
                <w:kern w:val="0"/>
                <w:sz w:val="18"/>
                <w:szCs w:val="18"/>
              </w:rPr>
              <w:t>结算率</w:t>
            </w:r>
            <w:r>
              <w:rPr>
                <w:color w:val="000000"/>
                <w:kern w:val="0"/>
                <w:sz w:val="18"/>
                <w:szCs w:val="18"/>
              </w:rPr>
              <w:t>100%</w:t>
            </w:r>
          </w:p>
        </w:tc>
        <w:tc>
          <w:tcPr>
            <w:tcW w:w="1659" w:type="dxa"/>
            <w:tcBorders>
              <w:top w:val="nil"/>
              <w:left w:val="nil"/>
              <w:bottom w:val="single" w:color="auto" w:sz="4" w:space="0"/>
              <w:right w:val="single" w:color="auto" w:sz="4" w:space="0"/>
            </w:tcBorders>
            <w:shd w:val="clear" w:color="auto" w:fill="auto"/>
            <w:vAlign w:val="center"/>
          </w:tcPr>
          <w:p w14:paraId="4065344E">
            <w:pPr>
              <w:widowControl/>
              <w:rPr>
                <w:color w:val="000000"/>
                <w:kern w:val="0"/>
                <w:sz w:val="18"/>
                <w:szCs w:val="18"/>
              </w:rPr>
            </w:pPr>
            <w:r>
              <w:rPr>
                <w:color w:val="000000"/>
                <w:kern w:val="0"/>
                <w:sz w:val="18"/>
                <w:szCs w:val="18"/>
              </w:rPr>
              <w:t>1.</w:t>
            </w:r>
            <w:r>
              <w:rPr>
                <w:rFonts w:hAnsi="宋体"/>
                <w:color w:val="000000"/>
                <w:kern w:val="0"/>
                <w:sz w:val="18"/>
                <w:szCs w:val="18"/>
              </w:rPr>
              <w:t>建档立卡贫困户健康扶贫政策知晓率</w:t>
            </w:r>
            <w:r>
              <w:rPr>
                <w:color w:val="000000"/>
                <w:kern w:val="0"/>
                <w:sz w:val="18"/>
                <w:szCs w:val="18"/>
              </w:rPr>
              <w:t>≥95%</w:t>
            </w:r>
            <w:r>
              <w:rPr>
                <w:color w:val="000000"/>
                <w:kern w:val="0"/>
                <w:sz w:val="18"/>
                <w:szCs w:val="18"/>
              </w:rPr>
              <w:br w:type="textWrapping"/>
            </w:r>
            <w:r>
              <w:rPr>
                <w:color w:val="000000"/>
                <w:kern w:val="0"/>
                <w:sz w:val="18"/>
                <w:szCs w:val="18"/>
              </w:rPr>
              <w:t>2.</w:t>
            </w:r>
            <w:r>
              <w:rPr>
                <w:rFonts w:hAnsi="宋体"/>
                <w:color w:val="000000"/>
                <w:kern w:val="0"/>
                <w:sz w:val="18"/>
                <w:szCs w:val="18"/>
              </w:rPr>
              <w:t>代缴建档立卡贫困人口门诊享受人次</w:t>
            </w:r>
            <w:r>
              <w:rPr>
                <w:color w:val="000000"/>
                <w:kern w:val="0"/>
                <w:sz w:val="18"/>
                <w:szCs w:val="18"/>
              </w:rPr>
              <w:t>≥15000</w:t>
            </w:r>
            <w:r>
              <w:rPr>
                <w:rFonts w:hAnsi="宋体"/>
                <w:color w:val="000000"/>
                <w:kern w:val="0"/>
                <w:sz w:val="18"/>
                <w:szCs w:val="18"/>
              </w:rPr>
              <w:t>人次</w:t>
            </w:r>
            <w:r>
              <w:rPr>
                <w:color w:val="000000"/>
                <w:kern w:val="0"/>
                <w:sz w:val="18"/>
                <w:szCs w:val="18"/>
              </w:rPr>
              <w:br w:type="textWrapping"/>
            </w:r>
            <w:r>
              <w:rPr>
                <w:color w:val="000000"/>
                <w:kern w:val="0"/>
                <w:sz w:val="18"/>
                <w:szCs w:val="18"/>
              </w:rPr>
              <w:t>3.</w:t>
            </w:r>
            <w:r>
              <w:rPr>
                <w:rFonts w:hAnsi="宋体"/>
                <w:color w:val="000000"/>
                <w:kern w:val="0"/>
                <w:sz w:val="18"/>
                <w:szCs w:val="18"/>
              </w:rPr>
              <w:t>代缴建档立卡贫困人口住院享受人次</w:t>
            </w:r>
            <w:r>
              <w:rPr>
                <w:color w:val="000000"/>
                <w:kern w:val="0"/>
                <w:sz w:val="18"/>
                <w:szCs w:val="18"/>
              </w:rPr>
              <w:t>≥4800</w:t>
            </w:r>
            <w:r>
              <w:rPr>
                <w:rFonts w:hAnsi="宋体"/>
                <w:color w:val="000000"/>
                <w:kern w:val="0"/>
                <w:sz w:val="18"/>
                <w:szCs w:val="18"/>
              </w:rPr>
              <w:t>人次</w:t>
            </w:r>
          </w:p>
        </w:tc>
        <w:tc>
          <w:tcPr>
            <w:tcW w:w="3519" w:type="dxa"/>
            <w:tcBorders>
              <w:top w:val="nil"/>
              <w:left w:val="nil"/>
              <w:bottom w:val="single" w:color="auto" w:sz="4" w:space="0"/>
              <w:right w:val="single" w:color="auto" w:sz="4" w:space="0"/>
            </w:tcBorders>
            <w:shd w:val="clear" w:color="auto" w:fill="auto"/>
            <w:vAlign w:val="center"/>
          </w:tcPr>
          <w:p w14:paraId="3233CA94">
            <w:pPr>
              <w:widowControl/>
              <w:rPr>
                <w:color w:val="000000"/>
                <w:kern w:val="0"/>
                <w:sz w:val="18"/>
                <w:szCs w:val="18"/>
              </w:rPr>
            </w:pPr>
            <w:r>
              <w:rPr>
                <w:color w:val="000000"/>
                <w:kern w:val="0"/>
                <w:sz w:val="18"/>
                <w:szCs w:val="18"/>
              </w:rPr>
              <w:t>1.2020</w:t>
            </w:r>
            <w:r>
              <w:rPr>
                <w:rFonts w:hAnsi="宋体"/>
                <w:color w:val="000000"/>
                <w:kern w:val="0"/>
                <w:sz w:val="18"/>
                <w:szCs w:val="18"/>
              </w:rPr>
              <w:t>年，全额资助建档立卡贫困户</w:t>
            </w:r>
            <w:r>
              <w:rPr>
                <w:color w:val="000000"/>
                <w:kern w:val="0"/>
                <w:sz w:val="18"/>
                <w:szCs w:val="18"/>
              </w:rPr>
              <w:t>4412</w:t>
            </w:r>
            <w:r>
              <w:rPr>
                <w:rFonts w:hAnsi="宋体"/>
                <w:color w:val="000000"/>
                <w:kern w:val="0"/>
                <w:sz w:val="18"/>
                <w:szCs w:val="18"/>
              </w:rPr>
              <w:t>户，</w:t>
            </w:r>
            <w:r>
              <w:rPr>
                <w:color w:val="000000"/>
                <w:kern w:val="0"/>
                <w:sz w:val="18"/>
                <w:szCs w:val="18"/>
              </w:rPr>
              <w:t>18712</w:t>
            </w:r>
            <w:r>
              <w:rPr>
                <w:rFonts w:hAnsi="宋体"/>
                <w:color w:val="000000"/>
                <w:kern w:val="0"/>
                <w:sz w:val="18"/>
                <w:szCs w:val="18"/>
              </w:rPr>
              <w:t>人参保，建档立卡贫困户参保率为</w:t>
            </w:r>
            <w:r>
              <w:rPr>
                <w:color w:val="000000"/>
                <w:kern w:val="0"/>
                <w:sz w:val="18"/>
                <w:szCs w:val="18"/>
              </w:rPr>
              <w:t>100%</w:t>
            </w:r>
            <w:r>
              <w:rPr>
                <w:rFonts w:hAnsi="宋体"/>
                <w:color w:val="000000"/>
                <w:kern w:val="0"/>
                <w:sz w:val="18"/>
                <w:szCs w:val="18"/>
              </w:rPr>
              <w:t>。</w:t>
            </w:r>
            <w:r>
              <w:rPr>
                <w:color w:val="000000"/>
                <w:kern w:val="0"/>
                <w:sz w:val="18"/>
                <w:szCs w:val="18"/>
              </w:rPr>
              <w:br w:type="textWrapping"/>
            </w:r>
            <w:r>
              <w:rPr>
                <w:color w:val="000000"/>
                <w:kern w:val="0"/>
                <w:sz w:val="18"/>
                <w:szCs w:val="18"/>
              </w:rPr>
              <w:t>2.</w:t>
            </w:r>
            <w:r>
              <w:rPr>
                <w:rFonts w:hAnsi="宋体"/>
                <w:color w:val="000000"/>
                <w:kern w:val="0"/>
                <w:sz w:val="18"/>
                <w:szCs w:val="18"/>
              </w:rPr>
              <w:t>审核建档立卡贫困人员县域内医疗机构住院（含一类门特）待遇</w:t>
            </w:r>
            <w:r>
              <w:rPr>
                <w:color w:val="000000"/>
                <w:kern w:val="0"/>
                <w:sz w:val="18"/>
                <w:szCs w:val="18"/>
              </w:rPr>
              <w:t>6654</w:t>
            </w:r>
            <w:r>
              <w:rPr>
                <w:rFonts w:hAnsi="宋体"/>
                <w:color w:val="000000"/>
                <w:kern w:val="0"/>
                <w:sz w:val="18"/>
                <w:szCs w:val="18"/>
              </w:rPr>
              <w:t>人次；普通门诊（县域内医疗机构）待遇</w:t>
            </w:r>
            <w:r>
              <w:rPr>
                <w:color w:val="000000"/>
                <w:kern w:val="0"/>
                <w:sz w:val="18"/>
                <w:szCs w:val="18"/>
              </w:rPr>
              <w:t>23848</w:t>
            </w:r>
            <w:r>
              <w:rPr>
                <w:rFonts w:hAnsi="宋体"/>
                <w:color w:val="000000"/>
                <w:kern w:val="0"/>
                <w:sz w:val="18"/>
                <w:szCs w:val="18"/>
              </w:rPr>
              <w:t>人次，</w:t>
            </w:r>
            <w:r>
              <w:rPr>
                <w:color w:val="000000"/>
                <w:kern w:val="0"/>
                <w:sz w:val="18"/>
                <w:szCs w:val="18"/>
              </w:rPr>
              <w:t>“</w:t>
            </w:r>
            <w:r>
              <w:rPr>
                <w:rFonts w:hAnsi="宋体"/>
                <w:color w:val="000000"/>
                <w:kern w:val="0"/>
                <w:sz w:val="18"/>
                <w:szCs w:val="18"/>
              </w:rPr>
              <w:t>一站式</w:t>
            </w:r>
            <w:r>
              <w:rPr>
                <w:color w:val="000000"/>
                <w:kern w:val="0"/>
                <w:sz w:val="18"/>
                <w:szCs w:val="18"/>
              </w:rPr>
              <w:t>”</w:t>
            </w:r>
            <w:r>
              <w:rPr>
                <w:rFonts w:hAnsi="宋体"/>
                <w:color w:val="000000"/>
                <w:kern w:val="0"/>
                <w:sz w:val="18"/>
                <w:szCs w:val="18"/>
              </w:rPr>
              <w:t>结算率</w:t>
            </w:r>
            <w:r>
              <w:rPr>
                <w:color w:val="000000"/>
                <w:kern w:val="0"/>
                <w:sz w:val="18"/>
                <w:szCs w:val="18"/>
              </w:rPr>
              <w:t>100%</w:t>
            </w:r>
            <w:r>
              <w:rPr>
                <w:rFonts w:hAnsi="宋体"/>
                <w:color w:val="000000"/>
                <w:kern w:val="0"/>
                <w:sz w:val="18"/>
                <w:szCs w:val="18"/>
              </w:rPr>
              <w:t>。</w:t>
            </w:r>
          </w:p>
        </w:tc>
        <w:tc>
          <w:tcPr>
            <w:tcW w:w="876" w:type="dxa"/>
            <w:tcBorders>
              <w:top w:val="nil"/>
              <w:left w:val="nil"/>
              <w:bottom w:val="single" w:color="auto" w:sz="4" w:space="0"/>
              <w:right w:val="single" w:color="auto" w:sz="4" w:space="0"/>
            </w:tcBorders>
            <w:shd w:val="clear" w:color="auto" w:fill="auto"/>
            <w:vAlign w:val="center"/>
          </w:tcPr>
          <w:p w14:paraId="00495C05">
            <w:pPr>
              <w:widowControl/>
              <w:jc w:val="left"/>
              <w:rPr>
                <w:rFonts w:ascii="宋体" w:hAnsi="宋体" w:cs="宋体"/>
                <w:color w:val="000000"/>
                <w:kern w:val="0"/>
                <w:sz w:val="18"/>
                <w:szCs w:val="18"/>
              </w:rPr>
            </w:pPr>
            <w:r>
              <w:rPr>
                <w:rFonts w:hint="eastAsia" w:ascii="宋体" w:hAnsi="宋体" w:cs="宋体"/>
                <w:color w:val="000000"/>
                <w:kern w:val="0"/>
                <w:sz w:val="18"/>
                <w:szCs w:val="18"/>
              </w:rPr>
              <w:t>参保受益建档立卡贫困人口满意度≥95%</w:t>
            </w:r>
          </w:p>
        </w:tc>
      </w:tr>
      <w:tr w14:paraId="4C4DB81B">
        <w:tblPrEx>
          <w:tblCellMar>
            <w:top w:w="0" w:type="dxa"/>
            <w:left w:w="108" w:type="dxa"/>
            <w:bottom w:w="0" w:type="dxa"/>
            <w:right w:w="108" w:type="dxa"/>
          </w:tblCellMar>
        </w:tblPrEx>
        <w:trPr>
          <w:trHeight w:val="1404" w:hRule="atLeast"/>
        </w:trPr>
        <w:tc>
          <w:tcPr>
            <w:tcW w:w="462" w:type="dxa"/>
            <w:tcBorders>
              <w:top w:val="nil"/>
              <w:left w:val="single" w:color="auto" w:sz="4" w:space="0"/>
              <w:bottom w:val="single" w:color="auto" w:sz="4" w:space="0"/>
              <w:right w:val="single" w:color="auto" w:sz="4" w:space="0"/>
            </w:tcBorders>
            <w:shd w:val="clear" w:color="auto" w:fill="auto"/>
            <w:vAlign w:val="center"/>
          </w:tcPr>
          <w:p w14:paraId="30935A41">
            <w:pPr>
              <w:widowControl/>
              <w:jc w:val="center"/>
              <w:rPr>
                <w:color w:val="000000"/>
                <w:kern w:val="0"/>
                <w:sz w:val="18"/>
                <w:szCs w:val="18"/>
              </w:rPr>
            </w:pPr>
            <w:r>
              <w:rPr>
                <w:color w:val="000000"/>
                <w:kern w:val="0"/>
                <w:sz w:val="18"/>
                <w:szCs w:val="18"/>
              </w:rPr>
              <w:t>6</w:t>
            </w:r>
          </w:p>
        </w:tc>
        <w:tc>
          <w:tcPr>
            <w:tcW w:w="1017" w:type="dxa"/>
            <w:tcBorders>
              <w:top w:val="nil"/>
              <w:left w:val="nil"/>
              <w:bottom w:val="single" w:color="auto" w:sz="4" w:space="0"/>
              <w:right w:val="single" w:color="auto" w:sz="4" w:space="0"/>
            </w:tcBorders>
            <w:shd w:val="clear" w:color="auto" w:fill="auto"/>
            <w:vAlign w:val="center"/>
          </w:tcPr>
          <w:p w14:paraId="47A0B07D">
            <w:pPr>
              <w:widowControl/>
              <w:jc w:val="center"/>
              <w:rPr>
                <w:color w:val="000000"/>
                <w:kern w:val="0"/>
                <w:sz w:val="18"/>
                <w:szCs w:val="18"/>
              </w:rPr>
            </w:pPr>
            <w:r>
              <w:rPr>
                <w:rFonts w:hAnsi="宋体"/>
                <w:color w:val="000000"/>
                <w:kern w:val="0"/>
                <w:sz w:val="18"/>
                <w:szCs w:val="18"/>
              </w:rPr>
              <w:t>城乡医疗救助补助资金</w:t>
            </w:r>
          </w:p>
        </w:tc>
        <w:tc>
          <w:tcPr>
            <w:tcW w:w="1536" w:type="dxa"/>
            <w:tcBorders>
              <w:top w:val="nil"/>
              <w:left w:val="nil"/>
              <w:bottom w:val="single" w:color="auto" w:sz="4" w:space="0"/>
              <w:right w:val="single" w:color="auto" w:sz="4" w:space="0"/>
            </w:tcBorders>
            <w:shd w:val="clear" w:color="auto" w:fill="auto"/>
            <w:vAlign w:val="center"/>
          </w:tcPr>
          <w:p w14:paraId="4DE448DB">
            <w:pPr>
              <w:widowControl/>
              <w:jc w:val="center"/>
              <w:rPr>
                <w:color w:val="000000"/>
                <w:kern w:val="0"/>
                <w:sz w:val="18"/>
                <w:szCs w:val="18"/>
              </w:rPr>
            </w:pPr>
            <w:r>
              <w:rPr>
                <w:color w:val="000000"/>
                <w:kern w:val="0"/>
                <w:sz w:val="18"/>
                <w:szCs w:val="18"/>
              </w:rPr>
              <w:t>9544989.4</w:t>
            </w:r>
          </w:p>
        </w:tc>
        <w:tc>
          <w:tcPr>
            <w:tcW w:w="2246" w:type="dxa"/>
            <w:tcBorders>
              <w:top w:val="nil"/>
              <w:left w:val="nil"/>
              <w:bottom w:val="single" w:color="auto" w:sz="4" w:space="0"/>
              <w:right w:val="single" w:color="auto" w:sz="4" w:space="0"/>
            </w:tcBorders>
            <w:shd w:val="clear" w:color="auto" w:fill="auto"/>
            <w:vAlign w:val="center"/>
          </w:tcPr>
          <w:p w14:paraId="70F018AA">
            <w:pPr>
              <w:widowControl/>
              <w:rPr>
                <w:color w:val="000000"/>
                <w:kern w:val="0"/>
                <w:sz w:val="18"/>
                <w:szCs w:val="18"/>
              </w:rPr>
            </w:pPr>
            <w:r>
              <w:rPr>
                <w:rFonts w:hAnsi="宋体"/>
                <w:color w:val="000000"/>
                <w:kern w:val="0"/>
                <w:sz w:val="18"/>
                <w:szCs w:val="18"/>
              </w:rPr>
              <w:t>持续做好困难群众参保资助工作；重点救助对象自付医疗费用按规定年度限额内住院救助比例达到</w:t>
            </w:r>
            <w:r>
              <w:rPr>
                <w:color w:val="000000"/>
                <w:kern w:val="0"/>
                <w:sz w:val="18"/>
                <w:szCs w:val="18"/>
              </w:rPr>
              <w:t>70%</w:t>
            </w:r>
            <w:r>
              <w:rPr>
                <w:rFonts w:hAnsi="宋体"/>
                <w:color w:val="000000"/>
                <w:kern w:val="0"/>
                <w:sz w:val="18"/>
                <w:szCs w:val="18"/>
              </w:rPr>
              <w:t>；年度救助对象人次符合客观需要；</w:t>
            </w:r>
          </w:p>
        </w:tc>
        <w:tc>
          <w:tcPr>
            <w:tcW w:w="1559" w:type="dxa"/>
            <w:tcBorders>
              <w:top w:val="nil"/>
              <w:left w:val="nil"/>
              <w:bottom w:val="single" w:color="auto" w:sz="4" w:space="0"/>
              <w:right w:val="single" w:color="auto" w:sz="4" w:space="0"/>
            </w:tcBorders>
            <w:shd w:val="clear" w:color="auto" w:fill="auto"/>
            <w:vAlign w:val="center"/>
          </w:tcPr>
          <w:p w14:paraId="575C8C77">
            <w:pPr>
              <w:widowControl/>
              <w:rPr>
                <w:color w:val="000000"/>
                <w:kern w:val="0"/>
                <w:sz w:val="18"/>
                <w:szCs w:val="18"/>
              </w:rPr>
            </w:pPr>
            <w:r>
              <w:rPr>
                <w:color w:val="000000"/>
                <w:kern w:val="0"/>
                <w:sz w:val="18"/>
                <w:szCs w:val="18"/>
              </w:rPr>
              <w:t>1.</w:t>
            </w:r>
            <w:r>
              <w:rPr>
                <w:rFonts w:hAnsi="宋体"/>
                <w:color w:val="000000"/>
                <w:kern w:val="0"/>
                <w:sz w:val="18"/>
                <w:szCs w:val="18"/>
              </w:rPr>
              <w:t>资助参保人次数</w:t>
            </w:r>
            <w:r>
              <w:rPr>
                <w:color w:val="000000"/>
                <w:kern w:val="0"/>
                <w:sz w:val="18"/>
                <w:szCs w:val="18"/>
              </w:rPr>
              <w:t>≥3800</w:t>
            </w:r>
            <w:r>
              <w:rPr>
                <w:rFonts w:hAnsi="宋体"/>
                <w:color w:val="000000"/>
                <w:kern w:val="0"/>
                <w:sz w:val="18"/>
                <w:szCs w:val="18"/>
              </w:rPr>
              <w:t>人</w:t>
            </w:r>
            <w:r>
              <w:rPr>
                <w:color w:val="000000"/>
                <w:kern w:val="0"/>
                <w:sz w:val="18"/>
                <w:szCs w:val="18"/>
              </w:rPr>
              <w:br w:type="textWrapping"/>
            </w:r>
            <w:r>
              <w:rPr>
                <w:color w:val="000000"/>
                <w:kern w:val="0"/>
                <w:sz w:val="18"/>
                <w:szCs w:val="18"/>
              </w:rPr>
              <w:t>2.</w:t>
            </w:r>
            <w:r>
              <w:rPr>
                <w:rFonts w:hAnsi="宋体"/>
                <w:color w:val="000000"/>
                <w:kern w:val="0"/>
                <w:sz w:val="18"/>
                <w:szCs w:val="18"/>
              </w:rPr>
              <w:t>住院救助人次数</w:t>
            </w:r>
            <w:r>
              <w:rPr>
                <w:color w:val="000000"/>
                <w:kern w:val="0"/>
                <w:sz w:val="18"/>
                <w:szCs w:val="18"/>
              </w:rPr>
              <w:t>≥6000</w:t>
            </w:r>
          </w:p>
        </w:tc>
        <w:tc>
          <w:tcPr>
            <w:tcW w:w="1451" w:type="dxa"/>
            <w:tcBorders>
              <w:top w:val="nil"/>
              <w:left w:val="nil"/>
              <w:bottom w:val="single" w:color="auto" w:sz="4" w:space="0"/>
              <w:right w:val="single" w:color="auto" w:sz="4" w:space="0"/>
            </w:tcBorders>
            <w:shd w:val="clear" w:color="auto" w:fill="auto"/>
            <w:vAlign w:val="center"/>
          </w:tcPr>
          <w:p w14:paraId="10436C05">
            <w:pPr>
              <w:widowControl/>
              <w:rPr>
                <w:color w:val="000000"/>
                <w:kern w:val="0"/>
                <w:sz w:val="18"/>
                <w:szCs w:val="18"/>
              </w:rPr>
            </w:pPr>
            <w:r>
              <w:rPr>
                <w:rFonts w:hAnsi="宋体"/>
                <w:color w:val="000000"/>
                <w:kern w:val="0"/>
                <w:sz w:val="18"/>
                <w:szCs w:val="18"/>
              </w:rPr>
              <w:t>政策范围内的住院医疗费用救助比例</w:t>
            </w:r>
            <w:r>
              <w:rPr>
                <w:color w:val="000000"/>
                <w:kern w:val="0"/>
                <w:sz w:val="18"/>
                <w:szCs w:val="18"/>
              </w:rPr>
              <w:t>≥70%</w:t>
            </w:r>
          </w:p>
        </w:tc>
        <w:tc>
          <w:tcPr>
            <w:tcW w:w="1488" w:type="dxa"/>
            <w:tcBorders>
              <w:top w:val="nil"/>
              <w:left w:val="nil"/>
              <w:bottom w:val="single" w:color="auto" w:sz="4" w:space="0"/>
              <w:right w:val="single" w:color="auto" w:sz="4" w:space="0"/>
            </w:tcBorders>
            <w:shd w:val="clear" w:color="auto" w:fill="auto"/>
            <w:vAlign w:val="center"/>
          </w:tcPr>
          <w:p w14:paraId="501D7DE9">
            <w:pPr>
              <w:widowControl/>
              <w:rPr>
                <w:color w:val="000000"/>
                <w:kern w:val="0"/>
                <w:sz w:val="18"/>
                <w:szCs w:val="18"/>
              </w:rPr>
            </w:pPr>
            <w:r>
              <w:rPr>
                <w:color w:val="000000"/>
                <w:kern w:val="0"/>
                <w:sz w:val="18"/>
                <w:szCs w:val="18"/>
              </w:rPr>
              <w:t>“</w:t>
            </w:r>
            <w:r>
              <w:rPr>
                <w:rFonts w:hAnsi="宋体"/>
                <w:color w:val="000000"/>
                <w:kern w:val="0"/>
                <w:sz w:val="18"/>
                <w:szCs w:val="18"/>
              </w:rPr>
              <w:t>一站式</w:t>
            </w:r>
            <w:r>
              <w:rPr>
                <w:color w:val="000000"/>
                <w:kern w:val="0"/>
                <w:sz w:val="18"/>
                <w:szCs w:val="18"/>
              </w:rPr>
              <w:t>”</w:t>
            </w:r>
            <w:r>
              <w:rPr>
                <w:rFonts w:hAnsi="宋体"/>
                <w:color w:val="000000"/>
                <w:kern w:val="0"/>
                <w:sz w:val="18"/>
                <w:szCs w:val="18"/>
              </w:rPr>
              <w:t>结算率</w:t>
            </w:r>
            <w:r>
              <w:rPr>
                <w:color w:val="000000"/>
                <w:kern w:val="0"/>
                <w:sz w:val="18"/>
                <w:szCs w:val="18"/>
              </w:rPr>
              <w:t>100%</w:t>
            </w:r>
          </w:p>
        </w:tc>
        <w:tc>
          <w:tcPr>
            <w:tcW w:w="1659" w:type="dxa"/>
            <w:tcBorders>
              <w:top w:val="nil"/>
              <w:left w:val="nil"/>
              <w:bottom w:val="single" w:color="auto" w:sz="4" w:space="0"/>
              <w:right w:val="single" w:color="auto" w:sz="4" w:space="0"/>
            </w:tcBorders>
            <w:shd w:val="clear" w:color="auto" w:fill="auto"/>
            <w:vAlign w:val="center"/>
          </w:tcPr>
          <w:p w14:paraId="1E1C40A1">
            <w:pPr>
              <w:widowControl/>
              <w:rPr>
                <w:color w:val="000000"/>
                <w:kern w:val="0"/>
                <w:sz w:val="18"/>
                <w:szCs w:val="18"/>
              </w:rPr>
            </w:pPr>
            <w:r>
              <w:rPr>
                <w:rFonts w:hAnsi="宋体"/>
                <w:color w:val="000000"/>
                <w:kern w:val="0"/>
                <w:sz w:val="18"/>
                <w:szCs w:val="18"/>
              </w:rPr>
              <w:t>医疗救助对象覆盖范围</w:t>
            </w:r>
            <w:r>
              <w:rPr>
                <w:color w:val="000000"/>
                <w:kern w:val="0"/>
                <w:sz w:val="18"/>
                <w:szCs w:val="18"/>
              </w:rPr>
              <w:t>100%</w:t>
            </w:r>
          </w:p>
        </w:tc>
        <w:tc>
          <w:tcPr>
            <w:tcW w:w="3519" w:type="dxa"/>
            <w:tcBorders>
              <w:top w:val="nil"/>
              <w:left w:val="nil"/>
              <w:bottom w:val="single" w:color="auto" w:sz="4" w:space="0"/>
              <w:right w:val="single" w:color="auto" w:sz="4" w:space="0"/>
            </w:tcBorders>
            <w:shd w:val="clear" w:color="auto" w:fill="auto"/>
            <w:vAlign w:val="center"/>
          </w:tcPr>
          <w:p w14:paraId="437915D5">
            <w:pPr>
              <w:widowControl/>
              <w:rPr>
                <w:color w:val="000000"/>
                <w:kern w:val="0"/>
                <w:sz w:val="18"/>
                <w:szCs w:val="18"/>
              </w:rPr>
            </w:pPr>
            <w:r>
              <w:rPr>
                <w:color w:val="000000"/>
                <w:kern w:val="0"/>
                <w:sz w:val="18"/>
                <w:szCs w:val="18"/>
              </w:rPr>
              <w:t>1.</w:t>
            </w:r>
            <w:r>
              <w:rPr>
                <w:rFonts w:hAnsi="宋体"/>
                <w:color w:val="000000"/>
                <w:kern w:val="0"/>
                <w:sz w:val="18"/>
                <w:szCs w:val="18"/>
              </w:rPr>
              <w:t>全额资助民政特殊困难居民参保人员共</w:t>
            </w:r>
            <w:r>
              <w:rPr>
                <w:color w:val="000000"/>
                <w:kern w:val="0"/>
                <w:sz w:val="18"/>
                <w:szCs w:val="18"/>
              </w:rPr>
              <w:t>4020</w:t>
            </w:r>
            <w:r>
              <w:rPr>
                <w:rFonts w:hAnsi="宋体"/>
                <w:color w:val="000000"/>
                <w:kern w:val="0"/>
                <w:sz w:val="18"/>
                <w:szCs w:val="18"/>
              </w:rPr>
              <w:t>人。</w:t>
            </w:r>
            <w:r>
              <w:rPr>
                <w:color w:val="000000"/>
                <w:kern w:val="0"/>
                <w:sz w:val="18"/>
                <w:szCs w:val="18"/>
              </w:rPr>
              <w:br w:type="textWrapping"/>
            </w:r>
            <w:r>
              <w:rPr>
                <w:color w:val="000000"/>
                <w:kern w:val="0"/>
                <w:sz w:val="18"/>
                <w:szCs w:val="18"/>
              </w:rPr>
              <w:t>2.2020</w:t>
            </w:r>
            <w:r>
              <w:rPr>
                <w:rFonts w:hAnsi="宋体"/>
                <w:color w:val="000000"/>
                <w:kern w:val="0"/>
                <w:sz w:val="18"/>
                <w:szCs w:val="18"/>
              </w:rPr>
              <w:t>年，一单制结算医疗救助</w:t>
            </w:r>
            <w:r>
              <w:rPr>
                <w:color w:val="000000"/>
                <w:kern w:val="0"/>
                <w:sz w:val="18"/>
                <w:szCs w:val="18"/>
              </w:rPr>
              <w:t>8025</w:t>
            </w:r>
            <w:r>
              <w:rPr>
                <w:rFonts w:hAnsi="宋体"/>
                <w:color w:val="000000"/>
                <w:kern w:val="0"/>
                <w:sz w:val="18"/>
                <w:szCs w:val="18"/>
              </w:rPr>
              <w:t>人次，救助金额</w:t>
            </w:r>
            <w:r>
              <w:rPr>
                <w:color w:val="000000"/>
                <w:kern w:val="0"/>
                <w:sz w:val="18"/>
                <w:szCs w:val="18"/>
              </w:rPr>
              <w:t>470.67</w:t>
            </w:r>
            <w:r>
              <w:rPr>
                <w:rFonts w:hAnsi="宋体"/>
                <w:color w:val="000000"/>
                <w:kern w:val="0"/>
                <w:sz w:val="18"/>
                <w:szCs w:val="18"/>
              </w:rPr>
              <w:t>万元。</w:t>
            </w:r>
          </w:p>
        </w:tc>
        <w:tc>
          <w:tcPr>
            <w:tcW w:w="876" w:type="dxa"/>
            <w:tcBorders>
              <w:top w:val="nil"/>
              <w:left w:val="nil"/>
              <w:bottom w:val="single" w:color="auto" w:sz="4" w:space="0"/>
              <w:right w:val="single" w:color="auto" w:sz="4" w:space="0"/>
            </w:tcBorders>
            <w:shd w:val="clear" w:color="auto" w:fill="auto"/>
            <w:vAlign w:val="center"/>
          </w:tcPr>
          <w:p w14:paraId="14781270">
            <w:pPr>
              <w:widowControl/>
              <w:jc w:val="left"/>
              <w:rPr>
                <w:rFonts w:ascii="宋体" w:hAnsi="宋体" w:cs="宋体"/>
                <w:color w:val="000000"/>
                <w:kern w:val="0"/>
                <w:sz w:val="18"/>
                <w:szCs w:val="18"/>
              </w:rPr>
            </w:pPr>
            <w:r>
              <w:rPr>
                <w:rFonts w:hint="eastAsia" w:ascii="宋体" w:hAnsi="宋体" w:cs="宋体"/>
                <w:color w:val="000000"/>
                <w:kern w:val="0"/>
                <w:sz w:val="18"/>
                <w:szCs w:val="18"/>
              </w:rPr>
              <w:t>救助对象满意度≥95%</w:t>
            </w:r>
          </w:p>
        </w:tc>
      </w:tr>
    </w:tbl>
    <w:p w14:paraId="4CFCFE64">
      <w:pPr>
        <w:pStyle w:val="46"/>
        <w:spacing w:line="560" w:lineRule="exact"/>
        <w:ind w:firstLine="640"/>
        <w:rPr>
          <w:rFonts w:ascii="Times New Roman" w:hAnsi="仿宋_GB2312" w:eastAsia="仿宋_GB2312"/>
          <w:color w:val="000000"/>
          <w:sz w:val="32"/>
          <w:szCs w:val="32"/>
        </w:rPr>
      </w:pPr>
    </w:p>
    <w:p w14:paraId="48CFA084">
      <w:pPr>
        <w:pStyle w:val="46"/>
        <w:spacing w:line="560" w:lineRule="exact"/>
        <w:ind w:firstLine="640"/>
        <w:rPr>
          <w:rFonts w:ascii="Times New Roman" w:hAnsi="仿宋_GB2312" w:eastAsia="仿宋_GB2312"/>
          <w:color w:val="000000"/>
          <w:sz w:val="32"/>
          <w:szCs w:val="32"/>
        </w:rPr>
      </w:pPr>
    </w:p>
    <w:p w14:paraId="312F8D16">
      <w:pPr>
        <w:pStyle w:val="46"/>
        <w:spacing w:line="560" w:lineRule="exact"/>
        <w:ind w:firstLine="640"/>
        <w:rPr>
          <w:rFonts w:ascii="Times New Roman" w:hAnsi="仿宋_GB2312" w:eastAsia="仿宋_GB2312"/>
          <w:color w:val="000000"/>
          <w:sz w:val="32"/>
          <w:szCs w:val="32"/>
        </w:rPr>
        <w:sectPr>
          <w:pgSz w:w="16838" w:h="11906" w:orient="landscape"/>
          <w:pgMar w:top="1797" w:right="1440" w:bottom="1797" w:left="1440" w:header="851" w:footer="992" w:gutter="0"/>
          <w:pgNumType w:fmt="numberInDash"/>
          <w:cols w:space="425" w:num="1"/>
          <w:docGrid w:linePitch="312" w:charSpace="0"/>
        </w:sectPr>
      </w:pPr>
    </w:p>
    <w:p w14:paraId="6C24474D">
      <w:pPr>
        <w:spacing w:line="560" w:lineRule="exact"/>
        <w:ind w:firstLine="140" w:firstLineChars="44"/>
        <w:rPr>
          <w:rFonts w:eastAsia="黑体"/>
          <w:color w:val="000000"/>
          <w:kern w:val="0"/>
          <w:sz w:val="32"/>
          <w:szCs w:val="32"/>
          <w:shd w:val="clear" w:color="auto" w:fill="FFFFFF"/>
        </w:rPr>
      </w:pPr>
      <w:r>
        <w:rPr>
          <w:rStyle w:val="40"/>
          <w:rFonts w:hint="default"/>
        </w:rPr>
        <w:t>四</w:t>
      </w:r>
      <w:r>
        <w:rPr>
          <w:rFonts w:eastAsia="黑体"/>
          <w:color w:val="000000"/>
          <w:kern w:val="0"/>
          <w:sz w:val="32"/>
          <w:szCs w:val="32"/>
          <w:shd w:val="clear" w:color="auto" w:fill="FFFFFF"/>
        </w:rPr>
        <w:t>、评价结论及建议</w:t>
      </w:r>
    </w:p>
    <w:p w14:paraId="3A1ABC89">
      <w:pPr>
        <w:spacing w:line="560" w:lineRule="exact"/>
        <w:ind w:firstLine="643" w:firstLineChars="200"/>
        <w:rPr>
          <w:rFonts w:eastAsia="楷体"/>
          <w:b/>
          <w:bCs/>
          <w:color w:val="000000"/>
          <w:sz w:val="32"/>
          <w:szCs w:val="32"/>
          <w:lang w:val="zh-CN"/>
        </w:rPr>
      </w:pPr>
      <w:r>
        <w:rPr>
          <w:rFonts w:hAnsi="楷体" w:eastAsia="楷体"/>
          <w:b/>
          <w:bCs/>
          <w:color w:val="000000"/>
          <w:sz w:val="32"/>
          <w:szCs w:val="32"/>
          <w:lang w:val="zh-CN"/>
        </w:rPr>
        <w:t>（一）评价结论</w:t>
      </w:r>
    </w:p>
    <w:p w14:paraId="698391FE">
      <w:pPr>
        <w:spacing w:line="560" w:lineRule="exact"/>
        <w:ind w:firstLine="640" w:firstLineChars="200"/>
        <w:rPr>
          <w:rFonts w:eastAsia="仿宋_GB2312"/>
          <w:color w:val="000000"/>
          <w:sz w:val="32"/>
          <w:szCs w:val="32"/>
          <w:lang w:val="zh-CN"/>
        </w:rPr>
      </w:pPr>
      <w:r>
        <w:rPr>
          <w:rFonts w:eastAsia="仿宋_GB2312"/>
          <w:color w:val="000000"/>
          <w:sz w:val="32"/>
          <w:szCs w:val="32"/>
        </w:rPr>
        <w:t>2020年，我单位整体支出情况良好</w:t>
      </w:r>
      <w:r>
        <w:rPr>
          <w:rFonts w:eastAsia="仿宋_GB2312"/>
          <w:color w:val="000000"/>
          <w:sz w:val="32"/>
          <w:szCs w:val="32"/>
          <w:lang w:val="zh-CN"/>
        </w:rPr>
        <w:t>，经费执行、资产采购及管理、信息公开等方面都严格按相关要求推进，全年收支平衡，圆满完成了上级下达的目标任务，受到了社会各界的好评。2020年度我单位支出绩效评价指标体系自评得分</w:t>
      </w:r>
      <w:r>
        <w:rPr>
          <w:rFonts w:hint="eastAsia" w:eastAsia="仿宋_GB2312"/>
          <w:color w:val="000000"/>
          <w:sz w:val="32"/>
          <w:szCs w:val="32"/>
          <w:lang w:val="zh-CN"/>
        </w:rPr>
        <w:t>76.5</w:t>
      </w:r>
      <w:r>
        <w:rPr>
          <w:rFonts w:eastAsia="仿宋_GB2312"/>
          <w:color w:val="000000"/>
          <w:sz w:val="32"/>
          <w:szCs w:val="32"/>
          <w:lang w:val="zh-CN"/>
        </w:rPr>
        <w:t>分</w:t>
      </w:r>
      <w:r>
        <w:rPr>
          <w:rFonts w:hint="eastAsia" w:eastAsia="仿宋_GB2312"/>
          <w:color w:val="000000"/>
          <w:sz w:val="32"/>
          <w:szCs w:val="32"/>
          <w:lang w:val="zh-CN"/>
        </w:rPr>
        <w:t>，折算评分98.08分</w:t>
      </w:r>
      <w:r>
        <w:rPr>
          <w:rFonts w:eastAsia="仿宋_GB2312"/>
          <w:color w:val="000000"/>
          <w:sz w:val="32"/>
          <w:szCs w:val="32"/>
          <w:lang w:val="zh-CN"/>
        </w:rPr>
        <w:t>。</w:t>
      </w:r>
      <w:r>
        <w:rPr>
          <w:rFonts w:hint="eastAsia" w:eastAsia="仿宋_GB2312"/>
          <w:color w:val="000000"/>
          <w:sz w:val="32"/>
          <w:szCs w:val="32"/>
          <w:lang w:val="zh-CN"/>
        </w:rPr>
        <w:t>见附表《县级部门预算整体绩效评价指标体系自评分》</w:t>
      </w:r>
    </w:p>
    <w:p w14:paraId="6040E163">
      <w:pPr>
        <w:spacing w:line="560" w:lineRule="exact"/>
        <w:ind w:firstLine="643" w:firstLineChars="200"/>
        <w:rPr>
          <w:rFonts w:eastAsia="楷体"/>
          <w:b/>
          <w:color w:val="000000"/>
          <w:sz w:val="32"/>
          <w:szCs w:val="32"/>
        </w:rPr>
      </w:pPr>
      <w:r>
        <w:rPr>
          <w:rFonts w:hAnsi="楷体" w:eastAsia="楷体"/>
          <w:b/>
          <w:color w:val="000000"/>
          <w:sz w:val="32"/>
          <w:szCs w:val="32"/>
          <w:lang w:val="zh-CN"/>
        </w:rPr>
        <w:t>（二）</w:t>
      </w:r>
      <w:r>
        <w:rPr>
          <w:rFonts w:hAnsi="楷体" w:eastAsia="楷体"/>
          <w:b/>
          <w:color w:val="000000"/>
          <w:sz w:val="32"/>
          <w:szCs w:val="32"/>
        </w:rPr>
        <w:t>存在主要问题</w:t>
      </w:r>
    </w:p>
    <w:p w14:paraId="494D68A4">
      <w:pPr>
        <w:spacing w:line="560" w:lineRule="exact"/>
        <w:ind w:firstLine="640" w:firstLineChars="200"/>
        <w:rPr>
          <w:rFonts w:eastAsia="仿宋_GB2312"/>
          <w:color w:val="000000"/>
          <w:sz w:val="32"/>
          <w:szCs w:val="32"/>
        </w:rPr>
      </w:pPr>
      <w:r>
        <w:rPr>
          <w:rFonts w:eastAsia="仿宋_GB2312"/>
          <w:color w:val="000000"/>
          <w:sz w:val="32"/>
          <w:szCs w:val="32"/>
        </w:rPr>
        <w:t>米易县医疗保障局于2019年2月新组建，在新形势下医疗保障工作面临多项新使命，承担多项新任务，需要面对更多的新情况和接受新挑战。</w:t>
      </w:r>
      <w:r>
        <w:rPr>
          <w:rFonts w:hint="eastAsia" w:eastAsia="仿宋_GB2312"/>
          <w:color w:val="000000"/>
          <w:sz w:val="32"/>
          <w:szCs w:val="32"/>
        </w:rPr>
        <w:t>一是预算管理工作</w:t>
      </w:r>
      <w:r>
        <w:rPr>
          <w:rFonts w:hint="eastAsia" w:ascii="仿宋_GB2312" w:hAnsi="仿宋_GB2312" w:eastAsia="仿宋_GB2312" w:cs="仿宋_GB2312"/>
          <w:color w:val="000000"/>
          <w:sz w:val="32"/>
          <w:szCs w:val="32"/>
        </w:rPr>
        <w:t>还有待进一步细化和量化，强化机关经费预算管理的刚性约束，项目支出按预算和工作进度执行；二是财务管理工作有待提高。财务工作在制度建设和经办环节上还需要进一步完善，财务人员还需提高财务经办水平。</w:t>
      </w:r>
    </w:p>
    <w:p w14:paraId="48B8AD04">
      <w:pPr>
        <w:spacing w:line="560" w:lineRule="exact"/>
        <w:ind w:firstLine="630" w:firstLineChars="196"/>
        <w:rPr>
          <w:rFonts w:eastAsia="楷体"/>
          <w:b/>
          <w:color w:val="000000"/>
          <w:sz w:val="32"/>
          <w:szCs w:val="32"/>
          <w:lang w:val="zh-CN"/>
        </w:rPr>
      </w:pPr>
      <w:r>
        <w:rPr>
          <w:rFonts w:hAnsi="楷体" w:eastAsia="楷体"/>
          <w:b/>
          <w:color w:val="000000"/>
          <w:sz w:val="32"/>
          <w:szCs w:val="32"/>
          <w:lang w:val="zh-CN"/>
        </w:rPr>
        <w:t>（三）改进建议</w:t>
      </w:r>
    </w:p>
    <w:p w14:paraId="785A6603">
      <w:pPr>
        <w:spacing w:line="560" w:lineRule="exact"/>
        <w:ind w:firstLine="640" w:firstLineChars="200"/>
        <w:rPr>
          <w:rFonts w:eastAsia="仿宋_GB2312"/>
          <w:color w:val="000000"/>
          <w:sz w:val="32"/>
          <w:szCs w:val="32"/>
          <w:lang w:val="zh-CN"/>
        </w:rPr>
      </w:pPr>
      <w:r>
        <w:rPr>
          <w:rFonts w:eastAsia="仿宋_GB2312"/>
          <w:color w:val="000000"/>
          <w:sz w:val="32"/>
          <w:szCs w:val="32"/>
          <w:lang w:val="zh-CN"/>
        </w:rPr>
        <w:t>1.按照</w:t>
      </w:r>
      <w:r>
        <w:rPr>
          <w:rFonts w:eastAsia="仿宋_GB2312"/>
          <w:color w:val="000000"/>
          <w:sz w:val="32"/>
          <w:szCs w:val="32"/>
        </w:rPr>
        <w:t>新《预算法》及其实施条例的相关规定，科学合理编制预算，并严格执行预算。</w:t>
      </w:r>
    </w:p>
    <w:p w14:paraId="617BB40A">
      <w:pPr>
        <w:spacing w:line="560" w:lineRule="exact"/>
        <w:ind w:firstLine="640" w:firstLineChars="200"/>
        <w:rPr>
          <w:rFonts w:eastAsia="仿宋_GB2312"/>
          <w:color w:val="000000"/>
          <w:sz w:val="32"/>
          <w:szCs w:val="32"/>
        </w:rPr>
      </w:pPr>
      <w:r>
        <w:rPr>
          <w:rFonts w:eastAsia="仿宋_GB2312"/>
          <w:color w:val="000000"/>
          <w:sz w:val="32"/>
          <w:szCs w:val="32"/>
        </w:rPr>
        <w:t>2.按照国家政策法规规定和单位实际情况，进一步完善财务基础管理制度、经费开支审批制度和约束机制，严格经费开支报销程序，加强经费开支的监督，控制经费增长，依法、有效地使用财政资金，提高财政资金使用效率，在完成单位职能目标中合理分配人、财、物，使之达到较高的工作效率和水平，适时公开相关信息，更好地服务全县参保职工。</w:t>
      </w:r>
    </w:p>
    <w:p w14:paraId="2555737A">
      <w:pPr>
        <w:tabs>
          <w:tab w:val="left" w:pos="1418"/>
        </w:tabs>
        <w:spacing w:line="560" w:lineRule="exact"/>
        <w:ind w:firstLine="640" w:firstLineChars="200"/>
        <w:rPr>
          <w:rFonts w:eastAsia="仿宋_GB2312"/>
          <w:color w:val="000000"/>
          <w:sz w:val="32"/>
          <w:szCs w:val="32"/>
        </w:rPr>
      </w:pPr>
      <w:r>
        <w:rPr>
          <w:rFonts w:eastAsia="仿宋_GB2312"/>
          <w:color w:val="000000"/>
          <w:sz w:val="32"/>
          <w:szCs w:val="32"/>
        </w:rPr>
        <w:t>3.建议县级政府及财政加大对医疗保障经费和人员的投入力度，能足额安排年初财政预算及补充工作人员，确保我县医疗保障工作的顺利推进。</w:t>
      </w:r>
    </w:p>
    <w:p w14:paraId="7EC34E7B">
      <w:pPr>
        <w:tabs>
          <w:tab w:val="left" w:pos="1418"/>
        </w:tabs>
        <w:spacing w:line="560" w:lineRule="exact"/>
        <w:ind w:firstLine="640" w:firstLineChars="200"/>
        <w:rPr>
          <w:rFonts w:eastAsia="仿宋_GB2312"/>
          <w:color w:val="000000"/>
          <w:sz w:val="32"/>
          <w:szCs w:val="32"/>
        </w:rPr>
      </w:pPr>
    </w:p>
    <w:p w14:paraId="43B61B1A">
      <w:pPr>
        <w:tabs>
          <w:tab w:val="left" w:pos="1418"/>
        </w:tabs>
        <w:spacing w:line="560" w:lineRule="exact"/>
        <w:ind w:firstLine="640" w:firstLineChars="200"/>
        <w:rPr>
          <w:rFonts w:eastAsia="仿宋_GB2312"/>
          <w:color w:val="000000"/>
          <w:sz w:val="32"/>
          <w:szCs w:val="32"/>
        </w:rPr>
      </w:pPr>
    </w:p>
    <w:p w14:paraId="5C1204FD">
      <w:pPr>
        <w:tabs>
          <w:tab w:val="left" w:pos="1418"/>
        </w:tabs>
        <w:spacing w:line="560" w:lineRule="exact"/>
        <w:ind w:firstLine="4640" w:firstLineChars="1450"/>
        <w:rPr>
          <w:rFonts w:eastAsia="仿宋_GB2312"/>
          <w:color w:val="000000"/>
          <w:sz w:val="32"/>
          <w:szCs w:val="32"/>
        </w:rPr>
      </w:pPr>
    </w:p>
    <w:p w14:paraId="121F4C12">
      <w:pPr>
        <w:tabs>
          <w:tab w:val="left" w:pos="1418"/>
        </w:tabs>
        <w:spacing w:line="560" w:lineRule="exact"/>
        <w:ind w:firstLine="4640" w:firstLineChars="1450"/>
        <w:rPr>
          <w:rFonts w:eastAsia="仿宋_GB2312"/>
          <w:color w:val="000000"/>
          <w:sz w:val="32"/>
          <w:szCs w:val="32"/>
        </w:rPr>
      </w:pPr>
    </w:p>
    <w:p w14:paraId="73900C1B">
      <w:pPr>
        <w:tabs>
          <w:tab w:val="left" w:pos="1418"/>
        </w:tabs>
        <w:spacing w:line="560" w:lineRule="exact"/>
        <w:ind w:firstLine="4640" w:firstLineChars="1450"/>
        <w:rPr>
          <w:rFonts w:eastAsia="仿宋_GB2312"/>
          <w:color w:val="000000"/>
          <w:sz w:val="32"/>
          <w:szCs w:val="32"/>
        </w:rPr>
      </w:pPr>
    </w:p>
    <w:p w14:paraId="46637251">
      <w:pPr>
        <w:tabs>
          <w:tab w:val="left" w:pos="1418"/>
        </w:tabs>
        <w:spacing w:line="560" w:lineRule="exact"/>
        <w:ind w:firstLine="4640" w:firstLineChars="1450"/>
        <w:rPr>
          <w:rStyle w:val="41"/>
          <w:rFonts w:hint="default"/>
        </w:rPr>
        <w:sectPr>
          <w:pgSz w:w="11906" w:h="16838"/>
          <w:pgMar w:top="1440" w:right="1797" w:bottom="1440" w:left="1797" w:header="851" w:footer="992" w:gutter="0"/>
          <w:pgNumType w:fmt="numberInDash"/>
          <w:cols w:space="425" w:num="1"/>
          <w:docGrid w:linePitch="312" w:charSpace="0"/>
        </w:sectPr>
      </w:pPr>
    </w:p>
    <w:p w14:paraId="121B2780">
      <w:pPr>
        <w:tabs>
          <w:tab w:val="left" w:pos="1418"/>
        </w:tabs>
        <w:spacing w:line="560" w:lineRule="exact"/>
        <w:jc w:val="left"/>
        <w:rPr>
          <w:rStyle w:val="41"/>
          <w:rFonts w:hint="default" w:ascii="黑体" w:hAnsi="黑体" w:eastAsia="黑体"/>
        </w:rPr>
      </w:pPr>
      <w:r>
        <w:rPr>
          <w:rStyle w:val="41"/>
          <w:rFonts w:hint="default" w:ascii="黑体" w:hAnsi="黑体" w:eastAsia="黑体"/>
        </w:rPr>
        <w:t>附件：</w:t>
      </w:r>
    </w:p>
    <w:tbl>
      <w:tblPr>
        <w:tblStyle w:val="14"/>
        <w:tblW w:w="13620" w:type="dxa"/>
        <w:tblInd w:w="96" w:type="dxa"/>
        <w:tblLayout w:type="autofit"/>
        <w:tblCellMar>
          <w:top w:w="0" w:type="dxa"/>
          <w:left w:w="108" w:type="dxa"/>
          <w:bottom w:w="0" w:type="dxa"/>
          <w:right w:w="108" w:type="dxa"/>
        </w:tblCellMar>
      </w:tblPr>
      <w:tblGrid>
        <w:gridCol w:w="1100"/>
        <w:gridCol w:w="1160"/>
        <w:gridCol w:w="1100"/>
        <w:gridCol w:w="660"/>
        <w:gridCol w:w="3820"/>
        <w:gridCol w:w="5072"/>
        <w:gridCol w:w="708"/>
      </w:tblGrid>
      <w:tr w14:paraId="31732D83">
        <w:tblPrEx>
          <w:tblCellMar>
            <w:top w:w="0" w:type="dxa"/>
            <w:left w:w="108" w:type="dxa"/>
            <w:bottom w:w="0" w:type="dxa"/>
            <w:right w:w="108" w:type="dxa"/>
          </w:tblCellMar>
        </w:tblPrEx>
        <w:trPr>
          <w:trHeight w:val="690" w:hRule="atLeast"/>
        </w:trPr>
        <w:tc>
          <w:tcPr>
            <w:tcW w:w="13620" w:type="dxa"/>
            <w:gridSpan w:val="7"/>
            <w:tcBorders>
              <w:top w:val="nil"/>
              <w:left w:val="nil"/>
              <w:bottom w:val="single" w:color="auto" w:sz="4" w:space="0"/>
              <w:right w:val="nil"/>
            </w:tcBorders>
            <w:shd w:val="clear" w:color="auto" w:fill="auto"/>
            <w:vAlign w:val="center"/>
          </w:tcPr>
          <w:p w14:paraId="199D7D8F">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县级部门预算整体绩效评价指标体系自评分</w:t>
            </w:r>
          </w:p>
        </w:tc>
      </w:tr>
      <w:tr w14:paraId="2BFDEB2A">
        <w:tblPrEx>
          <w:tblCellMar>
            <w:top w:w="0" w:type="dxa"/>
            <w:left w:w="108" w:type="dxa"/>
            <w:bottom w:w="0" w:type="dxa"/>
            <w:right w:w="108" w:type="dxa"/>
          </w:tblCellMar>
        </w:tblPrEx>
        <w:trPr>
          <w:trHeight w:val="450" w:hRule="atLeast"/>
        </w:trPr>
        <w:tc>
          <w:tcPr>
            <w:tcW w:w="33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0904C1">
            <w:pPr>
              <w:widowControl/>
              <w:jc w:val="center"/>
              <w:rPr>
                <w:rFonts w:ascii="宋体" w:hAnsi="宋体" w:cs="宋体"/>
                <w:b/>
                <w:bCs/>
                <w:color w:val="000000"/>
                <w:kern w:val="0"/>
                <w:sz w:val="24"/>
              </w:rPr>
            </w:pPr>
            <w:r>
              <w:rPr>
                <w:rFonts w:hint="eastAsia" w:ascii="宋体" w:hAnsi="宋体" w:cs="宋体"/>
                <w:b/>
                <w:bCs/>
                <w:color w:val="000000"/>
                <w:kern w:val="0"/>
                <w:sz w:val="24"/>
              </w:rPr>
              <w:t>绩效指标</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7FA6A36A">
            <w:pPr>
              <w:widowControl/>
              <w:jc w:val="center"/>
              <w:rPr>
                <w:rFonts w:ascii="宋体" w:hAnsi="宋体" w:cs="宋体"/>
                <w:b/>
                <w:bCs/>
                <w:color w:val="000000"/>
                <w:kern w:val="0"/>
                <w:sz w:val="24"/>
              </w:rPr>
            </w:pPr>
            <w:r>
              <w:rPr>
                <w:rFonts w:hint="eastAsia" w:ascii="宋体" w:hAnsi="宋体" w:cs="宋体"/>
                <w:b/>
                <w:bCs/>
                <w:color w:val="000000"/>
                <w:kern w:val="0"/>
                <w:sz w:val="24"/>
              </w:rPr>
              <w:t>指标分值</w:t>
            </w:r>
          </w:p>
        </w:tc>
        <w:tc>
          <w:tcPr>
            <w:tcW w:w="3820" w:type="dxa"/>
            <w:vMerge w:val="restart"/>
            <w:tcBorders>
              <w:top w:val="nil"/>
              <w:left w:val="single" w:color="auto" w:sz="4" w:space="0"/>
              <w:bottom w:val="single" w:color="auto" w:sz="4" w:space="0"/>
              <w:right w:val="single" w:color="auto" w:sz="4" w:space="0"/>
            </w:tcBorders>
            <w:shd w:val="clear" w:color="auto" w:fill="auto"/>
            <w:vAlign w:val="center"/>
          </w:tcPr>
          <w:p w14:paraId="339D03BE">
            <w:pPr>
              <w:widowControl/>
              <w:jc w:val="center"/>
              <w:rPr>
                <w:rFonts w:ascii="宋体" w:hAnsi="宋体" w:cs="宋体"/>
                <w:b/>
                <w:bCs/>
                <w:color w:val="000000"/>
                <w:kern w:val="0"/>
                <w:sz w:val="24"/>
              </w:rPr>
            </w:pPr>
            <w:r>
              <w:rPr>
                <w:rFonts w:hint="eastAsia" w:ascii="宋体" w:hAnsi="宋体" w:cs="宋体"/>
                <w:b/>
                <w:bCs/>
                <w:color w:val="000000"/>
                <w:kern w:val="0"/>
                <w:sz w:val="24"/>
              </w:rPr>
              <w:t>指标解释</w:t>
            </w:r>
          </w:p>
        </w:tc>
        <w:tc>
          <w:tcPr>
            <w:tcW w:w="5072" w:type="dxa"/>
            <w:vMerge w:val="restart"/>
            <w:tcBorders>
              <w:top w:val="nil"/>
              <w:left w:val="single" w:color="auto" w:sz="4" w:space="0"/>
              <w:bottom w:val="single" w:color="auto" w:sz="4" w:space="0"/>
              <w:right w:val="single" w:color="auto" w:sz="4" w:space="0"/>
            </w:tcBorders>
            <w:shd w:val="clear" w:color="auto" w:fill="auto"/>
            <w:vAlign w:val="center"/>
          </w:tcPr>
          <w:p w14:paraId="4B7639CF">
            <w:pPr>
              <w:widowControl/>
              <w:jc w:val="center"/>
              <w:rPr>
                <w:rFonts w:ascii="宋体" w:hAnsi="宋体" w:cs="宋体"/>
                <w:b/>
                <w:bCs/>
                <w:color w:val="000000"/>
                <w:kern w:val="0"/>
                <w:sz w:val="24"/>
              </w:rPr>
            </w:pPr>
            <w:r>
              <w:rPr>
                <w:rFonts w:hint="eastAsia" w:ascii="宋体" w:hAnsi="宋体" w:cs="宋体"/>
                <w:b/>
                <w:bCs/>
                <w:color w:val="000000"/>
                <w:kern w:val="0"/>
                <w:sz w:val="24"/>
              </w:rPr>
              <w:t>计分标准</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14:paraId="65548E03">
            <w:pPr>
              <w:widowControl/>
              <w:jc w:val="center"/>
              <w:rPr>
                <w:rFonts w:ascii="宋体" w:hAnsi="宋体" w:cs="宋体"/>
                <w:b/>
                <w:bCs/>
                <w:color w:val="000000"/>
                <w:kern w:val="0"/>
                <w:sz w:val="24"/>
              </w:rPr>
            </w:pPr>
            <w:r>
              <w:rPr>
                <w:rFonts w:hint="eastAsia" w:ascii="宋体" w:hAnsi="宋体" w:cs="宋体"/>
                <w:b/>
                <w:bCs/>
                <w:color w:val="000000"/>
                <w:kern w:val="0"/>
                <w:sz w:val="24"/>
              </w:rPr>
              <w:t>自评分</w:t>
            </w:r>
          </w:p>
        </w:tc>
      </w:tr>
      <w:tr w14:paraId="32030B8E">
        <w:tblPrEx>
          <w:tblCellMar>
            <w:top w:w="0" w:type="dxa"/>
            <w:left w:w="108" w:type="dxa"/>
            <w:bottom w:w="0" w:type="dxa"/>
            <w:right w:w="108" w:type="dxa"/>
          </w:tblCellMar>
        </w:tblPrEx>
        <w:trPr>
          <w:trHeight w:val="645" w:hRule="atLeast"/>
        </w:trPr>
        <w:tc>
          <w:tcPr>
            <w:tcW w:w="1100" w:type="dxa"/>
            <w:tcBorders>
              <w:top w:val="nil"/>
              <w:left w:val="single" w:color="auto" w:sz="4" w:space="0"/>
              <w:bottom w:val="single" w:color="auto" w:sz="4" w:space="0"/>
              <w:right w:val="single" w:color="auto" w:sz="4" w:space="0"/>
            </w:tcBorders>
            <w:shd w:val="clear" w:color="auto" w:fill="auto"/>
            <w:vAlign w:val="center"/>
          </w:tcPr>
          <w:p w14:paraId="5B021C5B">
            <w:pPr>
              <w:widowControl/>
              <w:jc w:val="center"/>
              <w:rPr>
                <w:rFonts w:ascii="宋体" w:hAnsi="宋体" w:cs="宋体"/>
                <w:b/>
                <w:bCs/>
                <w:color w:val="000000"/>
                <w:kern w:val="0"/>
                <w:sz w:val="24"/>
              </w:rPr>
            </w:pPr>
            <w:r>
              <w:rPr>
                <w:rFonts w:hint="eastAsia" w:ascii="宋体" w:hAnsi="宋体" w:cs="宋体"/>
                <w:b/>
                <w:bCs/>
                <w:color w:val="000000"/>
                <w:kern w:val="0"/>
                <w:sz w:val="24"/>
              </w:rPr>
              <w:t>一级指标</w:t>
            </w:r>
          </w:p>
        </w:tc>
        <w:tc>
          <w:tcPr>
            <w:tcW w:w="1160" w:type="dxa"/>
            <w:tcBorders>
              <w:top w:val="nil"/>
              <w:left w:val="nil"/>
              <w:bottom w:val="single" w:color="auto" w:sz="4" w:space="0"/>
              <w:right w:val="single" w:color="auto" w:sz="4" w:space="0"/>
            </w:tcBorders>
            <w:shd w:val="clear" w:color="auto" w:fill="auto"/>
            <w:vAlign w:val="center"/>
          </w:tcPr>
          <w:p w14:paraId="2D1A6E47">
            <w:pPr>
              <w:widowControl/>
              <w:jc w:val="center"/>
              <w:rPr>
                <w:rFonts w:ascii="宋体" w:hAnsi="宋体" w:cs="宋体"/>
                <w:b/>
                <w:bCs/>
                <w:color w:val="000000"/>
                <w:kern w:val="0"/>
                <w:sz w:val="24"/>
              </w:rPr>
            </w:pPr>
            <w:r>
              <w:rPr>
                <w:rFonts w:hint="eastAsia" w:ascii="宋体" w:hAnsi="宋体" w:cs="宋体"/>
                <w:b/>
                <w:bCs/>
                <w:color w:val="000000"/>
                <w:kern w:val="0"/>
                <w:sz w:val="24"/>
              </w:rPr>
              <w:t>二级指标</w:t>
            </w:r>
          </w:p>
        </w:tc>
        <w:tc>
          <w:tcPr>
            <w:tcW w:w="1100" w:type="dxa"/>
            <w:tcBorders>
              <w:top w:val="nil"/>
              <w:left w:val="nil"/>
              <w:bottom w:val="single" w:color="auto" w:sz="4" w:space="0"/>
              <w:right w:val="single" w:color="auto" w:sz="4" w:space="0"/>
            </w:tcBorders>
            <w:shd w:val="clear" w:color="auto" w:fill="auto"/>
            <w:vAlign w:val="center"/>
          </w:tcPr>
          <w:p w14:paraId="22B1E21F">
            <w:pPr>
              <w:widowControl/>
              <w:jc w:val="center"/>
              <w:rPr>
                <w:rFonts w:ascii="宋体" w:hAnsi="宋体" w:cs="宋体"/>
                <w:b/>
                <w:bCs/>
                <w:color w:val="000000"/>
                <w:kern w:val="0"/>
                <w:sz w:val="24"/>
              </w:rPr>
            </w:pPr>
            <w:r>
              <w:rPr>
                <w:rFonts w:hint="eastAsia" w:ascii="宋体" w:hAnsi="宋体" w:cs="宋体"/>
                <w:b/>
                <w:bCs/>
                <w:color w:val="000000"/>
                <w:kern w:val="0"/>
                <w:sz w:val="24"/>
              </w:rPr>
              <w:t>三级指标</w:t>
            </w:r>
          </w:p>
        </w:tc>
        <w:tc>
          <w:tcPr>
            <w:tcW w:w="660" w:type="dxa"/>
            <w:vMerge w:val="continue"/>
            <w:tcBorders>
              <w:top w:val="nil"/>
              <w:left w:val="single" w:color="auto" w:sz="4" w:space="0"/>
              <w:bottom w:val="single" w:color="auto" w:sz="4" w:space="0"/>
              <w:right w:val="single" w:color="auto" w:sz="4" w:space="0"/>
            </w:tcBorders>
            <w:vAlign w:val="center"/>
          </w:tcPr>
          <w:p w14:paraId="28FD86EF">
            <w:pPr>
              <w:widowControl/>
              <w:jc w:val="left"/>
              <w:rPr>
                <w:rFonts w:ascii="宋体" w:hAnsi="宋体" w:cs="宋体"/>
                <w:b/>
                <w:bCs/>
                <w:color w:val="000000"/>
                <w:kern w:val="0"/>
                <w:sz w:val="24"/>
              </w:rPr>
            </w:pPr>
          </w:p>
        </w:tc>
        <w:tc>
          <w:tcPr>
            <w:tcW w:w="3820" w:type="dxa"/>
            <w:vMerge w:val="continue"/>
            <w:tcBorders>
              <w:top w:val="nil"/>
              <w:left w:val="single" w:color="auto" w:sz="4" w:space="0"/>
              <w:bottom w:val="single" w:color="auto" w:sz="4" w:space="0"/>
              <w:right w:val="single" w:color="auto" w:sz="4" w:space="0"/>
            </w:tcBorders>
            <w:vAlign w:val="center"/>
          </w:tcPr>
          <w:p w14:paraId="04E886F8">
            <w:pPr>
              <w:widowControl/>
              <w:jc w:val="left"/>
              <w:rPr>
                <w:rFonts w:ascii="宋体" w:hAnsi="宋体" w:cs="宋体"/>
                <w:b/>
                <w:bCs/>
                <w:color w:val="000000"/>
                <w:kern w:val="0"/>
                <w:sz w:val="24"/>
              </w:rPr>
            </w:pPr>
          </w:p>
        </w:tc>
        <w:tc>
          <w:tcPr>
            <w:tcW w:w="5072" w:type="dxa"/>
            <w:vMerge w:val="continue"/>
            <w:tcBorders>
              <w:top w:val="nil"/>
              <w:left w:val="single" w:color="auto" w:sz="4" w:space="0"/>
              <w:bottom w:val="single" w:color="auto" w:sz="4" w:space="0"/>
              <w:right w:val="single" w:color="auto" w:sz="4" w:space="0"/>
            </w:tcBorders>
            <w:vAlign w:val="center"/>
          </w:tcPr>
          <w:p w14:paraId="34CB87F6">
            <w:pPr>
              <w:widowControl/>
              <w:jc w:val="left"/>
              <w:rPr>
                <w:rFonts w:ascii="宋体" w:hAnsi="宋体" w:cs="宋体"/>
                <w:b/>
                <w:bCs/>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14:paraId="21E15D59">
            <w:pPr>
              <w:widowControl/>
              <w:jc w:val="left"/>
              <w:rPr>
                <w:rFonts w:ascii="宋体" w:hAnsi="宋体" w:cs="宋体"/>
                <w:b/>
                <w:bCs/>
                <w:color w:val="000000"/>
                <w:kern w:val="0"/>
                <w:sz w:val="24"/>
              </w:rPr>
            </w:pPr>
          </w:p>
        </w:tc>
      </w:tr>
      <w:tr w14:paraId="06494BF2">
        <w:tblPrEx>
          <w:tblCellMar>
            <w:top w:w="0" w:type="dxa"/>
            <w:left w:w="108" w:type="dxa"/>
            <w:bottom w:w="0" w:type="dxa"/>
            <w:right w:w="108" w:type="dxa"/>
          </w:tblCellMar>
        </w:tblPrEx>
        <w:trPr>
          <w:trHeight w:val="64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FFF3DBB">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部门预算管理（50分）</w:t>
            </w: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14:paraId="634207F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预算编制（18分）</w:t>
            </w:r>
          </w:p>
        </w:tc>
        <w:tc>
          <w:tcPr>
            <w:tcW w:w="1100" w:type="dxa"/>
            <w:tcBorders>
              <w:top w:val="nil"/>
              <w:left w:val="nil"/>
              <w:bottom w:val="single" w:color="auto" w:sz="4" w:space="0"/>
              <w:right w:val="single" w:color="auto" w:sz="4" w:space="0"/>
            </w:tcBorders>
            <w:shd w:val="clear" w:color="auto" w:fill="auto"/>
            <w:vAlign w:val="center"/>
          </w:tcPr>
          <w:p w14:paraId="00074376">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目标制定</w:t>
            </w:r>
          </w:p>
        </w:tc>
        <w:tc>
          <w:tcPr>
            <w:tcW w:w="660" w:type="dxa"/>
            <w:tcBorders>
              <w:top w:val="nil"/>
              <w:left w:val="nil"/>
              <w:bottom w:val="single" w:color="auto" w:sz="4" w:space="0"/>
              <w:right w:val="single" w:color="auto" w:sz="4" w:space="0"/>
            </w:tcBorders>
            <w:shd w:val="clear" w:color="auto" w:fill="auto"/>
            <w:vAlign w:val="center"/>
          </w:tcPr>
          <w:p w14:paraId="4F313BBF">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820" w:type="dxa"/>
            <w:tcBorders>
              <w:top w:val="nil"/>
              <w:left w:val="nil"/>
              <w:bottom w:val="single" w:color="auto" w:sz="4" w:space="0"/>
              <w:right w:val="single" w:color="auto" w:sz="4" w:space="0"/>
            </w:tcBorders>
            <w:shd w:val="clear" w:color="auto" w:fill="auto"/>
            <w:vAlign w:val="center"/>
          </w:tcPr>
          <w:p w14:paraId="776589E5">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评价部门绩效目标是否要素完整、细化量化。</w:t>
            </w:r>
          </w:p>
        </w:tc>
        <w:tc>
          <w:tcPr>
            <w:tcW w:w="5072" w:type="dxa"/>
            <w:tcBorders>
              <w:top w:val="nil"/>
              <w:left w:val="nil"/>
              <w:bottom w:val="single" w:color="auto" w:sz="4" w:space="0"/>
              <w:right w:val="single" w:color="auto" w:sz="4" w:space="0"/>
            </w:tcBorders>
            <w:shd w:val="clear" w:color="auto" w:fill="auto"/>
            <w:vAlign w:val="center"/>
          </w:tcPr>
          <w:p w14:paraId="5EBEC98B">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1.绩效目标编制要素完整的，得3分，否则酌情扣分。                                                       2.绩效指标细化量化的，得3分，否则酌情扣分。                                                                    </w:t>
            </w:r>
          </w:p>
        </w:tc>
        <w:tc>
          <w:tcPr>
            <w:tcW w:w="708" w:type="dxa"/>
            <w:tcBorders>
              <w:top w:val="nil"/>
              <w:left w:val="nil"/>
              <w:bottom w:val="single" w:color="auto" w:sz="4" w:space="0"/>
              <w:right w:val="single" w:color="auto" w:sz="4" w:space="0"/>
            </w:tcBorders>
            <w:shd w:val="clear" w:color="auto" w:fill="auto"/>
            <w:vAlign w:val="center"/>
          </w:tcPr>
          <w:p w14:paraId="61BEB71A">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14:paraId="2001CEFA">
        <w:tblPrEx>
          <w:tblCellMar>
            <w:top w:w="0" w:type="dxa"/>
            <w:left w:w="108" w:type="dxa"/>
            <w:bottom w:w="0" w:type="dxa"/>
            <w:right w:w="108" w:type="dxa"/>
          </w:tblCellMar>
        </w:tblPrEx>
        <w:trPr>
          <w:trHeight w:val="864" w:hRule="atLeast"/>
        </w:trPr>
        <w:tc>
          <w:tcPr>
            <w:tcW w:w="1100" w:type="dxa"/>
            <w:vMerge w:val="continue"/>
            <w:tcBorders>
              <w:top w:val="nil"/>
              <w:left w:val="single" w:color="auto" w:sz="4" w:space="0"/>
              <w:bottom w:val="single" w:color="auto" w:sz="4" w:space="0"/>
              <w:right w:val="single" w:color="auto" w:sz="4" w:space="0"/>
            </w:tcBorders>
            <w:vAlign w:val="center"/>
          </w:tcPr>
          <w:p w14:paraId="6C00CA9C">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1143B59C">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4BF11F2E">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目标完成</w:t>
            </w:r>
          </w:p>
        </w:tc>
        <w:tc>
          <w:tcPr>
            <w:tcW w:w="660" w:type="dxa"/>
            <w:tcBorders>
              <w:top w:val="nil"/>
              <w:left w:val="nil"/>
              <w:bottom w:val="single" w:color="auto" w:sz="4" w:space="0"/>
              <w:right w:val="single" w:color="auto" w:sz="4" w:space="0"/>
            </w:tcBorders>
            <w:shd w:val="clear" w:color="auto" w:fill="auto"/>
            <w:vAlign w:val="center"/>
          </w:tcPr>
          <w:p w14:paraId="243D43B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820" w:type="dxa"/>
            <w:tcBorders>
              <w:top w:val="nil"/>
              <w:left w:val="nil"/>
              <w:bottom w:val="single" w:color="auto" w:sz="4" w:space="0"/>
              <w:right w:val="single" w:color="auto" w:sz="4" w:space="0"/>
            </w:tcBorders>
            <w:shd w:val="clear" w:color="auto" w:fill="auto"/>
            <w:vAlign w:val="center"/>
          </w:tcPr>
          <w:p w14:paraId="1474CC11">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评价部门绩效目标实际实现程度与预期目标的偏离度。</w:t>
            </w:r>
          </w:p>
        </w:tc>
        <w:tc>
          <w:tcPr>
            <w:tcW w:w="5072" w:type="dxa"/>
            <w:tcBorders>
              <w:top w:val="nil"/>
              <w:left w:val="nil"/>
              <w:bottom w:val="single" w:color="auto" w:sz="4" w:space="0"/>
              <w:right w:val="single" w:color="auto" w:sz="4" w:space="0"/>
            </w:tcBorders>
            <w:shd w:val="clear" w:color="auto" w:fill="auto"/>
            <w:vAlign w:val="center"/>
          </w:tcPr>
          <w:p w14:paraId="31A690D7">
            <w:pPr>
              <w:widowControl/>
              <w:jc w:val="left"/>
              <w:rPr>
                <w:rFonts w:ascii="宋体" w:hAnsi="宋体" w:cs="宋体"/>
                <w:color w:val="000000"/>
                <w:kern w:val="0"/>
                <w:sz w:val="20"/>
                <w:szCs w:val="20"/>
              </w:rPr>
            </w:pPr>
            <w:r>
              <w:rPr>
                <w:rFonts w:hint="eastAsia" w:ascii="宋体" w:hAnsi="宋体" w:cs="宋体"/>
                <w:color w:val="000000"/>
                <w:kern w:val="0"/>
                <w:sz w:val="20"/>
                <w:szCs w:val="20"/>
              </w:rPr>
              <w:t>以项目完成数量指标为核心，评价项目实际完成情况是否达到预期绩效目标，指标得分=达到预期绩效目标的部门项目个数/纳入绩效目标管理的部门预算项目个数*6</w:t>
            </w:r>
          </w:p>
        </w:tc>
        <w:tc>
          <w:tcPr>
            <w:tcW w:w="708" w:type="dxa"/>
            <w:tcBorders>
              <w:top w:val="nil"/>
              <w:left w:val="nil"/>
              <w:bottom w:val="single" w:color="auto" w:sz="4" w:space="0"/>
              <w:right w:val="single" w:color="auto" w:sz="4" w:space="0"/>
            </w:tcBorders>
            <w:shd w:val="clear" w:color="auto" w:fill="auto"/>
            <w:vAlign w:val="center"/>
          </w:tcPr>
          <w:p w14:paraId="2780E625">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r>
      <w:tr w14:paraId="6986A3CD">
        <w:tblPrEx>
          <w:tblCellMar>
            <w:top w:w="0" w:type="dxa"/>
            <w:left w:w="108" w:type="dxa"/>
            <w:bottom w:w="0" w:type="dxa"/>
            <w:right w:w="108" w:type="dxa"/>
          </w:tblCellMar>
        </w:tblPrEx>
        <w:trPr>
          <w:trHeight w:val="645" w:hRule="atLeast"/>
        </w:trPr>
        <w:tc>
          <w:tcPr>
            <w:tcW w:w="1100" w:type="dxa"/>
            <w:vMerge w:val="continue"/>
            <w:tcBorders>
              <w:top w:val="nil"/>
              <w:left w:val="single" w:color="auto" w:sz="4" w:space="0"/>
              <w:bottom w:val="single" w:color="auto" w:sz="4" w:space="0"/>
              <w:right w:val="single" w:color="auto" w:sz="4" w:space="0"/>
            </w:tcBorders>
            <w:vAlign w:val="center"/>
          </w:tcPr>
          <w:p w14:paraId="4823EDC9">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550D72E1">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4D91EBF3">
            <w:pPr>
              <w:widowControl/>
              <w:jc w:val="center"/>
              <w:rPr>
                <w:rFonts w:ascii="宋体" w:hAnsi="宋体" w:cs="宋体"/>
                <w:color w:val="000000"/>
                <w:kern w:val="0"/>
                <w:sz w:val="20"/>
                <w:szCs w:val="20"/>
              </w:rPr>
            </w:pPr>
            <w:r>
              <w:rPr>
                <w:rFonts w:hint="eastAsia" w:ascii="宋体" w:hAnsi="宋体" w:cs="宋体"/>
                <w:color w:val="000000"/>
                <w:kern w:val="0"/>
                <w:sz w:val="20"/>
                <w:szCs w:val="20"/>
              </w:rPr>
              <w:t>报送时效</w:t>
            </w:r>
          </w:p>
        </w:tc>
        <w:tc>
          <w:tcPr>
            <w:tcW w:w="660" w:type="dxa"/>
            <w:tcBorders>
              <w:top w:val="nil"/>
              <w:left w:val="nil"/>
              <w:bottom w:val="single" w:color="auto" w:sz="4" w:space="0"/>
              <w:right w:val="single" w:color="auto" w:sz="4" w:space="0"/>
            </w:tcBorders>
            <w:shd w:val="clear" w:color="auto" w:fill="auto"/>
            <w:vAlign w:val="center"/>
          </w:tcPr>
          <w:p w14:paraId="417421F3">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820" w:type="dxa"/>
            <w:tcBorders>
              <w:top w:val="nil"/>
              <w:left w:val="nil"/>
              <w:bottom w:val="single" w:color="auto" w:sz="4" w:space="0"/>
              <w:right w:val="single" w:color="auto" w:sz="4" w:space="0"/>
            </w:tcBorders>
            <w:shd w:val="clear" w:color="auto" w:fill="auto"/>
            <w:vAlign w:val="center"/>
          </w:tcPr>
          <w:p w14:paraId="1246EF8D">
            <w:pPr>
              <w:widowControl/>
              <w:jc w:val="left"/>
              <w:rPr>
                <w:rFonts w:ascii="宋体" w:hAnsi="宋体" w:cs="宋体"/>
                <w:color w:val="000000"/>
                <w:kern w:val="0"/>
                <w:sz w:val="20"/>
                <w:szCs w:val="20"/>
              </w:rPr>
            </w:pPr>
            <w:r>
              <w:rPr>
                <w:rFonts w:hint="eastAsia" w:ascii="宋体" w:hAnsi="宋体" w:cs="宋体"/>
                <w:color w:val="000000"/>
                <w:kern w:val="0"/>
                <w:sz w:val="20"/>
                <w:szCs w:val="20"/>
              </w:rPr>
              <w:t>部门是否在规定时间内完成绩效目标填报及修改完善。</w:t>
            </w:r>
          </w:p>
        </w:tc>
        <w:tc>
          <w:tcPr>
            <w:tcW w:w="5072" w:type="dxa"/>
            <w:tcBorders>
              <w:top w:val="nil"/>
              <w:left w:val="nil"/>
              <w:bottom w:val="single" w:color="auto" w:sz="4" w:space="0"/>
              <w:right w:val="single" w:color="auto" w:sz="4" w:space="0"/>
            </w:tcBorders>
            <w:shd w:val="clear" w:color="auto" w:fill="auto"/>
            <w:vAlign w:val="center"/>
          </w:tcPr>
          <w:p w14:paraId="0AC42372">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根据年初部门预算绩效目标填报情况打分</w:t>
            </w:r>
          </w:p>
        </w:tc>
        <w:tc>
          <w:tcPr>
            <w:tcW w:w="708" w:type="dxa"/>
            <w:tcBorders>
              <w:top w:val="nil"/>
              <w:left w:val="nil"/>
              <w:bottom w:val="single" w:color="auto" w:sz="4" w:space="0"/>
              <w:right w:val="single" w:color="auto" w:sz="4" w:space="0"/>
            </w:tcBorders>
            <w:shd w:val="clear" w:color="auto" w:fill="auto"/>
            <w:vAlign w:val="center"/>
          </w:tcPr>
          <w:p w14:paraId="2E7BA74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14:paraId="4FFDE3A9">
        <w:tblPrEx>
          <w:tblCellMar>
            <w:top w:w="0" w:type="dxa"/>
            <w:left w:w="108" w:type="dxa"/>
            <w:bottom w:w="0" w:type="dxa"/>
            <w:right w:w="108" w:type="dxa"/>
          </w:tblCellMar>
        </w:tblPrEx>
        <w:trPr>
          <w:trHeight w:val="1080" w:hRule="atLeast"/>
        </w:trPr>
        <w:tc>
          <w:tcPr>
            <w:tcW w:w="1100" w:type="dxa"/>
            <w:vMerge w:val="continue"/>
            <w:tcBorders>
              <w:top w:val="nil"/>
              <w:left w:val="single" w:color="auto" w:sz="4" w:space="0"/>
              <w:bottom w:val="single" w:color="auto" w:sz="4" w:space="0"/>
              <w:right w:val="single" w:color="auto" w:sz="4" w:space="0"/>
            </w:tcBorders>
            <w:vAlign w:val="center"/>
          </w:tcPr>
          <w:p w14:paraId="381BD016">
            <w:pPr>
              <w:widowControl/>
              <w:jc w:val="left"/>
              <w:rPr>
                <w:rFonts w:ascii="宋体" w:hAnsi="宋体" w:cs="宋体"/>
                <w:color w:val="000000"/>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14:paraId="215F036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预算执行（18分）</w:t>
            </w:r>
          </w:p>
        </w:tc>
        <w:tc>
          <w:tcPr>
            <w:tcW w:w="1100" w:type="dxa"/>
            <w:tcBorders>
              <w:top w:val="nil"/>
              <w:left w:val="nil"/>
              <w:bottom w:val="single" w:color="auto" w:sz="4" w:space="0"/>
              <w:right w:val="single" w:color="auto" w:sz="4" w:space="0"/>
            </w:tcBorders>
            <w:shd w:val="clear" w:color="auto" w:fill="auto"/>
            <w:vAlign w:val="center"/>
          </w:tcPr>
          <w:p w14:paraId="3FC51CF4">
            <w:pPr>
              <w:widowControl/>
              <w:jc w:val="center"/>
              <w:rPr>
                <w:rFonts w:ascii="宋体" w:hAnsi="宋体" w:cs="宋体"/>
                <w:color w:val="000000"/>
                <w:kern w:val="0"/>
                <w:sz w:val="20"/>
                <w:szCs w:val="20"/>
              </w:rPr>
            </w:pPr>
            <w:r>
              <w:rPr>
                <w:rFonts w:hint="eastAsia" w:ascii="宋体" w:hAnsi="宋体" w:cs="宋体"/>
                <w:color w:val="000000"/>
                <w:kern w:val="0"/>
                <w:sz w:val="20"/>
                <w:szCs w:val="20"/>
              </w:rPr>
              <w:t>动态调整</w:t>
            </w:r>
          </w:p>
        </w:tc>
        <w:tc>
          <w:tcPr>
            <w:tcW w:w="660" w:type="dxa"/>
            <w:tcBorders>
              <w:top w:val="nil"/>
              <w:left w:val="nil"/>
              <w:bottom w:val="single" w:color="auto" w:sz="4" w:space="0"/>
              <w:right w:val="single" w:color="auto" w:sz="4" w:space="0"/>
            </w:tcBorders>
            <w:shd w:val="clear" w:color="auto" w:fill="auto"/>
            <w:vAlign w:val="center"/>
          </w:tcPr>
          <w:p w14:paraId="7176CD82">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820" w:type="dxa"/>
            <w:tcBorders>
              <w:top w:val="nil"/>
              <w:left w:val="nil"/>
              <w:bottom w:val="single" w:color="auto" w:sz="4" w:space="0"/>
              <w:right w:val="single" w:color="auto" w:sz="4" w:space="0"/>
            </w:tcBorders>
            <w:shd w:val="clear" w:color="auto" w:fill="auto"/>
            <w:vAlign w:val="center"/>
          </w:tcPr>
          <w:p w14:paraId="4C9D1BD8">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评价部门开展绩效运行监控后，将绩效监控结果应用到预算调整的情况。</w:t>
            </w:r>
          </w:p>
        </w:tc>
        <w:tc>
          <w:tcPr>
            <w:tcW w:w="5072" w:type="dxa"/>
            <w:tcBorders>
              <w:top w:val="nil"/>
              <w:left w:val="nil"/>
              <w:bottom w:val="single" w:color="auto" w:sz="4" w:space="0"/>
              <w:right w:val="single" w:color="auto" w:sz="4" w:space="0"/>
            </w:tcBorders>
            <w:shd w:val="clear" w:color="auto" w:fill="auto"/>
            <w:vAlign w:val="center"/>
          </w:tcPr>
          <w:p w14:paraId="33F4EEBE">
            <w:pPr>
              <w:widowControl/>
              <w:jc w:val="left"/>
              <w:rPr>
                <w:rFonts w:ascii="宋体" w:hAnsi="宋体" w:cs="宋体"/>
                <w:color w:val="000000"/>
                <w:kern w:val="0"/>
                <w:sz w:val="20"/>
                <w:szCs w:val="20"/>
              </w:rPr>
            </w:pPr>
            <w:r>
              <w:rPr>
                <w:rFonts w:hint="eastAsia" w:ascii="宋体" w:hAnsi="宋体" w:cs="宋体"/>
                <w:color w:val="000000"/>
                <w:kern w:val="0"/>
                <w:sz w:val="20"/>
                <w:szCs w:val="20"/>
              </w:rPr>
              <w:t>在绩效监控完成后，根据绩效监控结果对当年执行进度落后、无法实现或需进行调整的项目进行预算及绩效目标调整的，指标得分=落实绩效监控结果项目个数/绩效监控需调整项目总数*6分                                                                当部门项目无调整项目并按照原定绩效目标实施的，得满分。</w:t>
            </w:r>
          </w:p>
        </w:tc>
        <w:tc>
          <w:tcPr>
            <w:tcW w:w="708" w:type="dxa"/>
            <w:tcBorders>
              <w:top w:val="nil"/>
              <w:left w:val="nil"/>
              <w:bottom w:val="single" w:color="auto" w:sz="4" w:space="0"/>
              <w:right w:val="single" w:color="auto" w:sz="4" w:space="0"/>
            </w:tcBorders>
            <w:shd w:val="clear" w:color="auto" w:fill="auto"/>
            <w:vAlign w:val="center"/>
          </w:tcPr>
          <w:p w14:paraId="54BD1A76">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14:paraId="12E22054">
        <w:tblPrEx>
          <w:tblCellMar>
            <w:top w:w="0" w:type="dxa"/>
            <w:left w:w="108" w:type="dxa"/>
            <w:bottom w:w="0" w:type="dxa"/>
            <w:right w:w="108" w:type="dxa"/>
          </w:tblCellMar>
        </w:tblPrEx>
        <w:trPr>
          <w:trHeight w:val="1170" w:hRule="atLeast"/>
        </w:trPr>
        <w:tc>
          <w:tcPr>
            <w:tcW w:w="1100" w:type="dxa"/>
            <w:vMerge w:val="continue"/>
            <w:tcBorders>
              <w:top w:val="nil"/>
              <w:left w:val="single" w:color="auto" w:sz="4" w:space="0"/>
              <w:bottom w:val="single" w:color="auto" w:sz="4" w:space="0"/>
              <w:right w:val="single" w:color="auto" w:sz="4" w:space="0"/>
            </w:tcBorders>
            <w:vAlign w:val="center"/>
          </w:tcPr>
          <w:p w14:paraId="4F7EC668">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233B5C32">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416EEC43">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执行进度</w:t>
            </w:r>
          </w:p>
        </w:tc>
        <w:tc>
          <w:tcPr>
            <w:tcW w:w="660" w:type="dxa"/>
            <w:tcBorders>
              <w:top w:val="nil"/>
              <w:left w:val="nil"/>
              <w:bottom w:val="single" w:color="auto" w:sz="4" w:space="0"/>
              <w:right w:val="single" w:color="auto" w:sz="4" w:space="0"/>
            </w:tcBorders>
            <w:shd w:val="clear" w:color="auto" w:fill="auto"/>
            <w:vAlign w:val="center"/>
          </w:tcPr>
          <w:p w14:paraId="08DBA903">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820" w:type="dxa"/>
            <w:tcBorders>
              <w:top w:val="nil"/>
              <w:left w:val="nil"/>
              <w:bottom w:val="single" w:color="auto" w:sz="4" w:space="0"/>
              <w:right w:val="single" w:color="auto" w:sz="4" w:space="0"/>
            </w:tcBorders>
            <w:shd w:val="clear" w:color="auto" w:fill="auto"/>
            <w:vAlign w:val="center"/>
          </w:tcPr>
          <w:p w14:paraId="29AC97E2">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评价部门在6、9、10月的预算执行情况。</w:t>
            </w:r>
          </w:p>
        </w:tc>
        <w:tc>
          <w:tcPr>
            <w:tcW w:w="5072" w:type="dxa"/>
            <w:tcBorders>
              <w:top w:val="nil"/>
              <w:left w:val="nil"/>
              <w:bottom w:val="single" w:color="auto" w:sz="4" w:space="0"/>
              <w:right w:val="single" w:color="auto" w:sz="4" w:space="0"/>
            </w:tcBorders>
            <w:shd w:val="clear" w:color="auto" w:fill="auto"/>
            <w:vAlign w:val="center"/>
          </w:tcPr>
          <w:p w14:paraId="20159981">
            <w:pPr>
              <w:widowControl/>
              <w:jc w:val="left"/>
              <w:rPr>
                <w:rFonts w:ascii="宋体" w:hAnsi="宋体" w:cs="宋体"/>
                <w:color w:val="000000"/>
                <w:kern w:val="0"/>
                <w:sz w:val="20"/>
                <w:szCs w:val="20"/>
              </w:rPr>
            </w:pPr>
            <w:r>
              <w:rPr>
                <w:rFonts w:hint="eastAsia" w:ascii="宋体" w:hAnsi="宋体" w:cs="宋体"/>
                <w:color w:val="000000"/>
                <w:kern w:val="0"/>
                <w:sz w:val="20"/>
                <w:szCs w:val="20"/>
              </w:rPr>
              <w:t>部门预算支出执行进度在6、9、11月应达到序时进度的80%、90%、90%，即实际支出进度分别达到40%、67.5%、82.5%。                                                     6、9、11月部门预算执行进度达到量化指标的各得1分，未达到目标进度的的按其实际进度占目标进度的比重计算得分。</w:t>
            </w:r>
          </w:p>
        </w:tc>
        <w:tc>
          <w:tcPr>
            <w:tcW w:w="708" w:type="dxa"/>
            <w:tcBorders>
              <w:top w:val="nil"/>
              <w:left w:val="nil"/>
              <w:bottom w:val="single" w:color="auto" w:sz="4" w:space="0"/>
              <w:right w:val="single" w:color="auto" w:sz="4" w:space="0"/>
            </w:tcBorders>
            <w:shd w:val="clear" w:color="auto" w:fill="auto"/>
            <w:vAlign w:val="center"/>
          </w:tcPr>
          <w:p w14:paraId="14FF546F">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14:paraId="20A46EAF">
        <w:tblPrEx>
          <w:tblCellMar>
            <w:top w:w="0" w:type="dxa"/>
            <w:left w:w="108" w:type="dxa"/>
            <w:bottom w:w="0" w:type="dxa"/>
            <w:right w:w="108" w:type="dxa"/>
          </w:tblCellMar>
        </w:tblPrEx>
        <w:trPr>
          <w:trHeight w:val="1080" w:hRule="atLeast"/>
        </w:trPr>
        <w:tc>
          <w:tcPr>
            <w:tcW w:w="1100" w:type="dxa"/>
            <w:vMerge w:val="continue"/>
            <w:tcBorders>
              <w:top w:val="nil"/>
              <w:left w:val="single" w:color="auto" w:sz="4" w:space="0"/>
              <w:bottom w:val="single" w:color="auto" w:sz="4" w:space="0"/>
              <w:right w:val="single" w:color="auto" w:sz="4" w:space="0"/>
            </w:tcBorders>
            <w:vAlign w:val="center"/>
          </w:tcPr>
          <w:p w14:paraId="7A9212B1">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503F33D8">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3DAAFAD5">
            <w:pPr>
              <w:widowControl/>
              <w:jc w:val="center"/>
              <w:rPr>
                <w:rFonts w:ascii="宋体" w:hAnsi="宋体" w:cs="宋体"/>
                <w:color w:val="000000"/>
                <w:kern w:val="0"/>
                <w:sz w:val="20"/>
                <w:szCs w:val="20"/>
              </w:rPr>
            </w:pPr>
            <w:r>
              <w:rPr>
                <w:rFonts w:hint="eastAsia" w:ascii="宋体" w:hAnsi="宋体" w:cs="宋体"/>
                <w:color w:val="000000"/>
                <w:kern w:val="0"/>
                <w:sz w:val="20"/>
                <w:szCs w:val="20"/>
              </w:rPr>
              <w:t>报送时效</w:t>
            </w:r>
          </w:p>
        </w:tc>
        <w:tc>
          <w:tcPr>
            <w:tcW w:w="660" w:type="dxa"/>
            <w:tcBorders>
              <w:top w:val="nil"/>
              <w:left w:val="nil"/>
              <w:bottom w:val="single" w:color="auto" w:sz="4" w:space="0"/>
              <w:right w:val="single" w:color="auto" w:sz="4" w:space="0"/>
            </w:tcBorders>
            <w:shd w:val="clear" w:color="auto" w:fill="auto"/>
            <w:vAlign w:val="center"/>
          </w:tcPr>
          <w:p w14:paraId="78CC091B">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820" w:type="dxa"/>
            <w:tcBorders>
              <w:top w:val="nil"/>
              <w:left w:val="nil"/>
              <w:bottom w:val="single" w:color="auto" w:sz="4" w:space="0"/>
              <w:right w:val="single" w:color="auto" w:sz="4" w:space="0"/>
            </w:tcBorders>
            <w:shd w:val="clear" w:color="auto" w:fill="auto"/>
            <w:vAlign w:val="center"/>
          </w:tcPr>
          <w:p w14:paraId="66860C77">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评价部门是否在规定时间内将绩效监控报告报送市财政局。</w:t>
            </w:r>
          </w:p>
        </w:tc>
        <w:tc>
          <w:tcPr>
            <w:tcW w:w="5072" w:type="dxa"/>
            <w:tcBorders>
              <w:top w:val="nil"/>
              <w:left w:val="nil"/>
              <w:bottom w:val="single" w:color="auto" w:sz="4" w:space="0"/>
              <w:right w:val="single" w:color="auto" w:sz="4" w:space="0"/>
            </w:tcBorders>
            <w:shd w:val="clear" w:color="auto" w:fill="auto"/>
            <w:vAlign w:val="center"/>
          </w:tcPr>
          <w:p w14:paraId="432A64CC">
            <w:pPr>
              <w:widowControl/>
              <w:jc w:val="left"/>
              <w:rPr>
                <w:rFonts w:ascii="宋体" w:hAnsi="宋体" w:cs="宋体"/>
                <w:color w:val="000000"/>
                <w:kern w:val="0"/>
                <w:sz w:val="20"/>
                <w:szCs w:val="20"/>
              </w:rPr>
            </w:pPr>
            <w:r>
              <w:rPr>
                <w:rFonts w:hint="eastAsia" w:ascii="宋体" w:hAnsi="宋体" w:cs="宋体"/>
                <w:color w:val="000000"/>
                <w:kern w:val="0"/>
                <w:sz w:val="20"/>
                <w:szCs w:val="20"/>
              </w:rPr>
              <w:t>市级主管部门应在规定时间内将本级及下属二级预算单位1-8月绩效监控报告报送市财政局，延迟报送的酌情扣分，未报送的不得分。</w:t>
            </w:r>
          </w:p>
        </w:tc>
        <w:tc>
          <w:tcPr>
            <w:tcW w:w="708" w:type="dxa"/>
            <w:tcBorders>
              <w:top w:val="nil"/>
              <w:left w:val="nil"/>
              <w:bottom w:val="single" w:color="auto" w:sz="4" w:space="0"/>
              <w:right w:val="single" w:color="auto" w:sz="4" w:space="0"/>
            </w:tcBorders>
            <w:shd w:val="clear" w:color="auto" w:fill="auto"/>
            <w:vAlign w:val="center"/>
          </w:tcPr>
          <w:p w14:paraId="7DBF71D8">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14:paraId="5A9EA847">
        <w:tblPrEx>
          <w:tblCellMar>
            <w:top w:w="0" w:type="dxa"/>
            <w:left w:w="108" w:type="dxa"/>
            <w:bottom w:w="0" w:type="dxa"/>
            <w:right w:w="108" w:type="dxa"/>
          </w:tblCellMar>
        </w:tblPrEx>
        <w:trPr>
          <w:trHeight w:val="480" w:hRule="atLeast"/>
        </w:trPr>
        <w:tc>
          <w:tcPr>
            <w:tcW w:w="1100" w:type="dxa"/>
            <w:vMerge w:val="continue"/>
            <w:tcBorders>
              <w:top w:val="nil"/>
              <w:left w:val="single" w:color="auto" w:sz="4" w:space="0"/>
              <w:bottom w:val="single" w:color="auto" w:sz="4" w:space="0"/>
              <w:right w:val="single" w:color="auto" w:sz="4" w:space="0"/>
            </w:tcBorders>
            <w:vAlign w:val="center"/>
          </w:tcPr>
          <w:p w14:paraId="7E9DDC72">
            <w:pPr>
              <w:widowControl/>
              <w:jc w:val="left"/>
              <w:rPr>
                <w:rFonts w:ascii="宋体" w:hAnsi="宋体" w:cs="宋体"/>
                <w:color w:val="000000"/>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479490A9">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完成结果（14分）</w:t>
            </w:r>
          </w:p>
        </w:tc>
        <w:tc>
          <w:tcPr>
            <w:tcW w:w="1100" w:type="dxa"/>
            <w:tcBorders>
              <w:top w:val="nil"/>
              <w:left w:val="nil"/>
              <w:bottom w:val="single" w:color="auto" w:sz="4" w:space="0"/>
              <w:right w:val="single" w:color="auto" w:sz="4" w:space="0"/>
            </w:tcBorders>
            <w:shd w:val="clear" w:color="auto" w:fill="auto"/>
            <w:vAlign w:val="center"/>
          </w:tcPr>
          <w:p w14:paraId="7C932D3E">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预算完成</w:t>
            </w:r>
          </w:p>
        </w:tc>
        <w:tc>
          <w:tcPr>
            <w:tcW w:w="660" w:type="dxa"/>
            <w:tcBorders>
              <w:top w:val="nil"/>
              <w:left w:val="nil"/>
              <w:bottom w:val="single" w:color="auto" w:sz="4" w:space="0"/>
              <w:right w:val="single" w:color="auto" w:sz="4" w:space="0"/>
            </w:tcBorders>
            <w:shd w:val="clear" w:color="auto" w:fill="auto"/>
            <w:vAlign w:val="center"/>
          </w:tcPr>
          <w:p w14:paraId="16BB778D">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820" w:type="dxa"/>
            <w:tcBorders>
              <w:top w:val="nil"/>
              <w:left w:val="nil"/>
              <w:bottom w:val="single" w:color="auto" w:sz="4" w:space="0"/>
              <w:right w:val="single" w:color="auto" w:sz="4" w:space="0"/>
            </w:tcBorders>
            <w:shd w:val="clear" w:color="auto" w:fill="auto"/>
            <w:vAlign w:val="center"/>
          </w:tcPr>
          <w:p w14:paraId="03831EBD">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评价部门预算项目年终预算执行情况。</w:t>
            </w:r>
          </w:p>
        </w:tc>
        <w:tc>
          <w:tcPr>
            <w:tcW w:w="5072" w:type="dxa"/>
            <w:tcBorders>
              <w:top w:val="nil"/>
              <w:left w:val="nil"/>
              <w:bottom w:val="single" w:color="auto" w:sz="4" w:space="0"/>
              <w:right w:val="single" w:color="auto" w:sz="4" w:space="0"/>
            </w:tcBorders>
            <w:shd w:val="clear" w:color="auto" w:fill="auto"/>
            <w:vAlign w:val="center"/>
          </w:tcPr>
          <w:p w14:paraId="767857E8">
            <w:pPr>
              <w:widowControl/>
              <w:jc w:val="left"/>
              <w:rPr>
                <w:rFonts w:ascii="宋体" w:hAnsi="宋体" w:cs="宋体"/>
                <w:color w:val="000000"/>
                <w:kern w:val="0"/>
                <w:sz w:val="20"/>
                <w:szCs w:val="20"/>
              </w:rPr>
            </w:pPr>
            <w:r>
              <w:rPr>
                <w:rFonts w:hint="eastAsia" w:ascii="宋体" w:hAnsi="宋体" w:cs="宋体"/>
                <w:color w:val="000000"/>
                <w:kern w:val="0"/>
                <w:sz w:val="20"/>
                <w:szCs w:val="20"/>
              </w:rPr>
              <w:t>部门预算项目12月预算执行进度达到100%的，得7分，未达100%的，按照实际进度量化计算得分。</w:t>
            </w:r>
          </w:p>
        </w:tc>
        <w:tc>
          <w:tcPr>
            <w:tcW w:w="708" w:type="dxa"/>
            <w:tcBorders>
              <w:top w:val="nil"/>
              <w:left w:val="nil"/>
              <w:bottom w:val="single" w:color="auto" w:sz="4" w:space="0"/>
              <w:right w:val="single" w:color="auto" w:sz="4" w:space="0"/>
            </w:tcBorders>
            <w:shd w:val="clear" w:color="auto" w:fill="auto"/>
            <w:vAlign w:val="center"/>
          </w:tcPr>
          <w:p w14:paraId="4A0F6056">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r>
      <w:tr w14:paraId="71BF829B">
        <w:tblPrEx>
          <w:tblCellMar>
            <w:top w:w="0" w:type="dxa"/>
            <w:left w:w="108" w:type="dxa"/>
            <w:bottom w:w="0" w:type="dxa"/>
            <w:right w:w="108" w:type="dxa"/>
          </w:tblCellMar>
        </w:tblPrEx>
        <w:trPr>
          <w:trHeight w:val="720" w:hRule="atLeast"/>
        </w:trPr>
        <w:tc>
          <w:tcPr>
            <w:tcW w:w="1100" w:type="dxa"/>
            <w:vMerge w:val="continue"/>
            <w:tcBorders>
              <w:top w:val="nil"/>
              <w:left w:val="single" w:color="auto" w:sz="4" w:space="0"/>
              <w:bottom w:val="single" w:color="auto" w:sz="4" w:space="0"/>
              <w:right w:val="single" w:color="auto" w:sz="4" w:space="0"/>
            </w:tcBorders>
            <w:vAlign w:val="center"/>
          </w:tcPr>
          <w:p w14:paraId="4104734C">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14:paraId="4085B5E1">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411372A7">
            <w:pPr>
              <w:widowControl/>
              <w:jc w:val="center"/>
              <w:rPr>
                <w:rFonts w:ascii="宋体" w:hAnsi="宋体" w:cs="宋体"/>
                <w:color w:val="000000"/>
                <w:kern w:val="0"/>
                <w:sz w:val="20"/>
                <w:szCs w:val="20"/>
              </w:rPr>
            </w:pPr>
            <w:r>
              <w:rPr>
                <w:rFonts w:hint="eastAsia" w:ascii="宋体" w:hAnsi="宋体" w:cs="宋体"/>
                <w:color w:val="000000"/>
                <w:kern w:val="0"/>
                <w:sz w:val="20"/>
                <w:szCs w:val="20"/>
              </w:rPr>
              <w:t>违规记录</w:t>
            </w:r>
          </w:p>
        </w:tc>
        <w:tc>
          <w:tcPr>
            <w:tcW w:w="660" w:type="dxa"/>
            <w:tcBorders>
              <w:top w:val="nil"/>
              <w:left w:val="nil"/>
              <w:bottom w:val="single" w:color="auto" w:sz="4" w:space="0"/>
              <w:right w:val="single" w:color="auto" w:sz="4" w:space="0"/>
            </w:tcBorders>
            <w:shd w:val="clear" w:color="auto" w:fill="auto"/>
            <w:vAlign w:val="center"/>
          </w:tcPr>
          <w:p w14:paraId="68E40D7B">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820" w:type="dxa"/>
            <w:tcBorders>
              <w:top w:val="nil"/>
              <w:left w:val="nil"/>
              <w:bottom w:val="single" w:color="auto" w:sz="4" w:space="0"/>
              <w:right w:val="single" w:color="auto" w:sz="4" w:space="0"/>
            </w:tcBorders>
            <w:shd w:val="clear" w:color="auto" w:fill="auto"/>
            <w:vAlign w:val="center"/>
          </w:tcPr>
          <w:p w14:paraId="7DC7BEA8">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根据巡视巡察、审计监督、财政检查结果反映部门上一年度部门预算管理是否合规。</w:t>
            </w:r>
          </w:p>
        </w:tc>
        <w:tc>
          <w:tcPr>
            <w:tcW w:w="5072" w:type="dxa"/>
            <w:tcBorders>
              <w:top w:val="nil"/>
              <w:left w:val="nil"/>
              <w:bottom w:val="single" w:color="auto" w:sz="4" w:space="0"/>
              <w:right w:val="single" w:color="auto" w:sz="4" w:space="0"/>
            </w:tcBorders>
            <w:shd w:val="clear" w:color="auto" w:fill="auto"/>
            <w:vAlign w:val="center"/>
          </w:tcPr>
          <w:p w14:paraId="69D22CE0">
            <w:pPr>
              <w:widowControl/>
              <w:jc w:val="left"/>
              <w:rPr>
                <w:rFonts w:ascii="宋体" w:hAnsi="宋体" w:cs="宋体"/>
                <w:color w:val="000000"/>
                <w:kern w:val="0"/>
                <w:sz w:val="20"/>
                <w:szCs w:val="20"/>
              </w:rPr>
            </w:pPr>
            <w:r>
              <w:rPr>
                <w:rFonts w:hint="eastAsia" w:ascii="宋体" w:hAnsi="宋体" w:cs="宋体"/>
                <w:color w:val="000000"/>
                <w:kern w:val="0"/>
                <w:sz w:val="20"/>
                <w:szCs w:val="20"/>
              </w:rPr>
              <w:t>依据上一年度巡视巡察、审计监督、财政检查结果，出现部门预算管理方面违纪违规问题的，每个问题扣0.5分，直至扣完。</w:t>
            </w:r>
          </w:p>
        </w:tc>
        <w:tc>
          <w:tcPr>
            <w:tcW w:w="708" w:type="dxa"/>
            <w:tcBorders>
              <w:top w:val="nil"/>
              <w:left w:val="nil"/>
              <w:bottom w:val="single" w:color="auto" w:sz="4" w:space="0"/>
              <w:right w:val="single" w:color="auto" w:sz="4" w:space="0"/>
            </w:tcBorders>
            <w:shd w:val="clear" w:color="auto" w:fill="auto"/>
            <w:vAlign w:val="center"/>
          </w:tcPr>
          <w:p w14:paraId="659FDCBA">
            <w:pPr>
              <w:widowControl/>
              <w:jc w:val="center"/>
              <w:rPr>
                <w:rFonts w:ascii="宋体" w:hAnsi="宋体" w:cs="宋体"/>
                <w:color w:val="000000"/>
                <w:kern w:val="0"/>
                <w:sz w:val="20"/>
                <w:szCs w:val="20"/>
              </w:rPr>
            </w:pPr>
          </w:p>
        </w:tc>
      </w:tr>
      <w:tr w14:paraId="390BDFB9">
        <w:tblPrEx>
          <w:tblCellMar>
            <w:top w:w="0" w:type="dxa"/>
            <w:left w:w="108" w:type="dxa"/>
            <w:bottom w:w="0" w:type="dxa"/>
            <w:right w:w="108" w:type="dxa"/>
          </w:tblCellMar>
        </w:tblPrEx>
        <w:trPr>
          <w:trHeight w:val="960" w:hRule="atLeast"/>
        </w:trPr>
        <w:tc>
          <w:tcPr>
            <w:tcW w:w="1100" w:type="dxa"/>
            <w:vMerge w:val="restart"/>
            <w:tcBorders>
              <w:top w:val="nil"/>
              <w:left w:val="single" w:color="auto" w:sz="4" w:space="0"/>
              <w:bottom w:val="nil"/>
              <w:right w:val="single" w:color="auto" w:sz="4" w:space="0"/>
            </w:tcBorders>
            <w:shd w:val="clear" w:color="auto" w:fill="auto"/>
            <w:vAlign w:val="center"/>
          </w:tcPr>
          <w:p w14:paraId="7CE79CCE">
            <w:pPr>
              <w:widowControl/>
              <w:jc w:val="center"/>
              <w:rPr>
                <w:rFonts w:ascii="宋体" w:hAnsi="宋体" w:cs="宋体"/>
                <w:color w:val="000000"/>
                <w:kern w:val="0"/>
                <w:sz w:val="20"/>
                <w:szCs w:val="20"/>
              </w:rPr>
            </w:pPr>
            <w:r>
              <w:rPr>
                <w:rFonts w:hint="eastAsia" w:ascii="宋体" w:hAnsi="宋体" w:cs="宋体"/>
                <w:color w:val="000000"/>
                <w:kern w:val="0"/>
                <w:sz w:val="20"/>
                <w:szCs w:val="20"/>
              </w:rPr>
              <w:t>专项预算管理（20分）</w:t>
            </w: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14:paraId="2F2C2B6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项目决策（8分）</w:t>
            </w:r>
          </w:p>
        </w:tc>
        <w:tc>
          <w:tcPr>
            <w:tcW w:w="1100" w:type="dxa"/>
            <w:tcBorders>
              <w:top w:val="nil"/>
              <w:left w:val="nil"/>
              <w:bottom w:val="single" w:color="auto" w:sz="4" w:space="0"/>
              <w:right w:val="single" w:color="auto" w:sz="4" w:space="0"/>
            </w:tcBorders>
            <w:shd w:val="clear" w:color="auto" w:fill="auto"/>
            <w:vAlign w:val="center"/>
          </w:tcPr>
          <w:p w14:paraId="7D5E9946">
            <w:pPr>
              <w:widowControl/>
              <w:jc w:val="center"/>
              <w:rPr>
                <w:rFonts w:ascii="宋体" w:hAnsi="宋体" w:cs="宋体"/>
                <w:color w:val="000000"/>
                <w:kern w:val="0"/>
                <w:sz w:val="20"/>
                <w:szCs w:val="20"/>
              </w:rPr>
            </w:pPr>
            <w:r>
              <w:rPr>
                <w:rFonts w:hint="eastAsia" w:ascii="宋体" w:hAnsi="宋体" w:cs="宋体"/>
                <w:color w:val="000000"/>
                <w:kern w:val="0"/>
                <w:sz w:val="20"/>
                <w:szCs w:val="20"/>
              </w:rPr>
              <w:t>程序严密</w:t>
            </w:r>
          </w:p>
        </w:tc>
        <w:tc>
          <w:tcPr>
            <w:tcW w:w="660" w:type="dxa"/>
            <w:tcBorders>
              <w:top w:val="nil"/>
              <w:left w:val="nil"/>
              <w:bottom w:val="single" w:color="auto" w:sz="4" w:space="0"/>
              <w:right w:val="single" w:color="auto" w:sz="4" w:space="0"/>
            </w:tcBorders>
            <w:shd w:val="clear" w:color="auto" w:fill="auto"/>
            <w:vAlign w:val="center"/>
          </w:tcPr>
          <w:p w14:paraId="1AAC0E6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820" w:type="dxa"/>
            <w:tcBorders>
              <w:top w:val="nil"/>
              <w:left w:val="nil"/>
              <w:bottom w:val="single" w:color="auto" w:sz="4" w:space="0"/>
              <w:right w:val="single" w:color="auto" w:sz="4" w:space="0"/>
            </w:tcBorders>
            <w:shd w:val="clear" w:color="auto" w:fill="auto"/>
            <w:vAlign w:val="center"/>
          </w:tcPr>
          <w:p w14:paraId="4B2BFFA0">
            <w:pPr>
              <w:widowControl/>
              <w:jc w:val="left"/>
              <w:rPr>
                <w:rFonts w:ascii="宋体" w:hAnsi="宋体" w:cs="宋体"/>
                <w:color w:val="000000"/>
                <w:kern w:val="0"/>
                <w:sz w:val="20"/>
                <w:szCs w:val="20"/>
              </w:rPr>
            </w:pPr>
            <w:r>
              <w:rPr>
                <w:rFonts w:hint="eastAsia" w:ascii="宋体" w:hAnsi="宋体" w:cs="宋体"/>
                <w:color w:val="000000"/>
                <w:kern w:val="0"/>
                <w:sz w:val="20"/>
                <w:szCs w:val="20"/>
              </w:rPr>
              <w:t>评价专项项目的设立是否经过严格评估论证、管理制度是否完善健全。</w:t>
            </w:r>
          </w:p>
        </w:tc>
        <w:tc>
          <w:tcPr>
            <w:tcW w:w="5072" w:type="dxa"/>
            <w:tcBorders>
              <w:top w:val="nil"/>
              <w:left w:val="nil"/>
              <w:bottom w:val="single" w:color="auto" w:sz="4" w:space="0"/>
              <w:right w:val="single" w:color="auto" w:sz="4" w:space="0"/>
            </w:tcBorders>
            <w:shd w:val="clear" w:color="auto" w:fill="auto"/>
            <w:vAlign w:val="center"/>
          </w:tcPr>
          <w:p w14:paraId="6C332169">
            <w:pPr>
              <w:widowControl/>
              <w:jc w:val="left"/>
              <w:rPr>
                <w:rFonts w:ascii="宋体" w:hAnsi="宋体" w:cs="宋体"/>
                <w:color w:val="000000"/>
                <w:kern w:val="0"/>
                <w:sz w:val="20"/>
                <w:szCs w:val="20"/>
              </w:rPr>
            </w:pPr>
            <w:r>
              <w:rPr>
                <w:rFonts w:hint="eastAsia" w:ascii="宋体" w:hAnsi="宋体" w:cs="宋体"/>
                <w:color w:val="000000"/>
                <w:kern w:val="0"/>
                <w:sz w:val="20"/>
                <w:szCs w:val="20"/>
              </w:rPr>
              <w:t>1.专项项目设立时经过事前绩效评估或可行性论证的，得1.5分，否则不得分。                                                         2.专项资金的管理办法健全完善的，得1.5分，否则酌情扣分，无管理办法的，该指标不得分。</w:t>
            </w:r>
          </w:p>
        </w:tc>
        <w:tc>
          <w:tcPr>
            <w:tcW w:w="708" w:type="dxa"/>
            <w:tcBorders>
              <w:top w:val="nil"/>
              <w:left w:val="nil"/>
              <w:bottom w:val="single" w:color="auto" w:sz="4" w:space="0"/>
              <w:right w:val="single" w:color="auto" w:sz="4" w:space="0"/>
            </w:tcBorders>
            <w:shd w:val="clear" w:color="auto" w:fill="auto"/>
            <w:vAlign w:val="center"/>
          </w:tcPr>
          <w:p w14:paraId="6535B765">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14:paraId="3D51B4FD">
        <w:tblPrEx>
          <w:tblCellMar>
            <w:top w:w="0" w:type="dxa"/>
            <w:left w:w="108" w:type="dxa"/>
            <w:bottom w:w="0" w:type="dxa"/>
            <w:right w:w="108" w:type="dxa"/>
          </w:tblCellMar>
        </w:tblPrEx>
        <w:trPr>
          <w:trHeight w:val="1440" w:hRule="atLeast"/>
        </w:trPr>
        <w:tc>
          <w:tcPr>
            <w:tcW w:w="1100" w:type="dxa"/>
            <w:vMerge w:val="continue"/>
            <w:tcBorders>
              <w:top w:val="nil"/>
              <w:left w:val="single" w:color="auto" w:sz="4" w:space="0"/>
              <w:bottom w:val="nil"/>
              <w:right w:val="single" w:color="auto" w:sz="4" w:space="0"/>
            </w:tcBorders>
            <w:vAlign w:val="center"/>
          </w:tcPr>
          <w:p w14:paraId="2892C0DF">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6949B2D5">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7D357B0A">
            <w:pPr>
              <w:widowControl/>
              <w:jc w:val="center"/>
              <w:rPr>
                <w:rFonts w:ascii="宋体" w:hAnsi="宋体" w:cs="宋体"/>
                <w:color w:val="000000"/>
                <w:kern w:val="0"/>
                <w:sz w:val="20"/>
                <w:szCs w:val="20"/>
              </w:rPr>
            </w:pPr>
            <w:r>
              <w:rPr>
                <w:rFonts w:hint="eastAsia" w:ascii="宋体" w:hAnsi="宋体" w:cs="宋体"/>
                <w:color w:val="000000"/>
                <w:kern w:val="0"/>
                <w:sz w:val="20"/>
                <w:szCs w:val="20"/>
              </w:rPr>
              <w:t>规划合理</w:t>
            </w:r>
          </w:p>
        </w:tc>
        <w:tc>
          <w:tcPr>
            <w:tcW w:w="660" w:type="dxa"/>
            <w:tcBorders>
              <w:top w:val="nil"/>
              <w:left w:val="nil"/>
              <w:bottom w:val="single" w:color="auto" w:sz="4" w:space="0"/>
              <w:right w:val="single" w:color="auto" w:sz="4" w:space="0"/>
            </w:tcBorders>
            <w:shd w:val="clear" w:color="auto" w:fill="auto"/>
            <w:vAlign w:val="center"/>
          </w:tcPr>
          <w:p w14:paraId="332CF252">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820" w:type="dxa"/>
            <w:tcBorders>
              <w:top w:val="nil"/>
              <w:left w:val="nil"/>
              <w:bottom w:val="single" w:color="auto" w:sz="4" w:space="0"/>
              <w:right w:val="single" w:color="auto" w:sz="4" w:space="0"/>
            </w:tcBorders>
            <w:shd w:val="clear" w:color="auto" w:fill="auto"/>
            <w:vAlign w:val="center"/>
          </w:tcPr>
          <w:p w14:paraId="317F37AC">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评价项目规划是否符合市委、市政府重大决策部署，项目年度绩效目标与规划是否一致。</w:t>
            </w:r>
          </w:p>
        </w:tc>
        <w:tc>
          <w:tcPr>
            <w:tcW w:w="5072" w:type="dxa"/>
            <w:tcBorders>
              <w:top w:val="nil"/>
              <w:left w:val="nil"/>
              <w:bottom w:val="single" w:color="auto" w:sz="4" w:space="0"/>
              <w:right w:val="single" w:color="auto" w:sz="4" w:space="0"/>
            </w:tcBorders>
            <w:shd w:val="clear" w:color="auto" w:fill="auto"/>
            <w:vAlign w:val="center"/>
          </w:tcPr>
          <w:p w14:paraId="0DDB0B92">
            <w:pPr>
              <w:widowControl/>
              <w:jc w:val="left"/>
              <w:rPr>
                <w:rFonts w:ascii="宋体" w:hAnsi="宋体" w:cs="宋体"/>
                <w:color w:val="000000"/>
                <w:kern w:val="0"/>
                <w:sz w:val="20"/>
                <w:szCs w:val="20"/>
              </w:rPr>
            </w:pPr>
            <w:r>
              <w:rPr>
                <w:rFonts w:hint="eastAsia" w:ascii="宋体" w:hAnsi="宋体" w:cs="宋体"/>
                <w:color w:val="000000"/>
                <w:kern w:val="0"/>
                <w:sz w:val="20"/>
                <w:szCs w:val="20"/>
              </w:rPr>
              <w:t>1.专项项目（除一次性项目外）制定了中长期规划的，得1分，否则该三级指标整体不得分。                                                           2.项目规划符合市委、市政府重大决策部署和宏观政策规划的，得1分。                                                                        3.项目年度绩效目标与专项中长期规划一致的，得1分，有一处不符合的扣0.2分。</w:t>
            </w:r>
          </w:p>
        </w:tc>
        <w:tc>
          <w:tcPr>
            <w:tcW w:w="708" w:type="dxa"/>
            <w:tcBorders>
              <w:top w:val="nil"/>
              <w:left w:val="nil"/>
              <w:bottom w:val="single" w:color="auto" w:sz="4" w:space="0"/>
              <w:right w:val="single" w:color="auto" w:sz="4" w:space="0"/>
            </w:tcBorders>
            <w:shd w:val="clear" w:color="auto" w:fill="auto"/>
            <w:vAlign w:val="center"/>
          </w:tcPr>
          <w:p w14:paraId="23181CB0">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14:paraId="5EE35351">
        <w:tblPrEx>
          <w:tblCellMar>
            <w:top w:w="0" w:type="dxa"/>
            <w:left w:w="108" w:type="dxa"/>
            <w:bottom w:w="0" w:type="dxa"/>
            <w:right w:w="108" w:type="dxa"/>
          </w:tblCellMar>
        </w:tblPrEx>
        <w:trPr>
          <w:trHeight w:val="1440" w:hRule="atLeast"/>
        </w:trPr>
        <w:tc>
          <w:tcPr>
            <w:tcW w:w="1100" w:type="dxa"/>
            <w:vMerge w:val="continue"/>
            <w:tcBorders>
              <w:top w:val="nil"/>
              <w:left w:val="single" w:color="auto" w:sz="4" w:space="0"/>
              <w:bottom w:val="nil"/>
              <w:right w:val="single" w:color="auto" w:sz="4" w:space="0"/>
            </w:tcBorders>
            <w:vAlign w:val="center"/>
          </w:tcPr>
          <w:p w14:paraId="778FFC4E">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25231B1B">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067CB525">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结果符合</w:t>
            </w:r>
          </w:p>
        </w:tc>
        <w:tc>
          <w:tcPr>
            <w:tcW w:w="660" w:type="dxa"/>
            <w:tcBorders>
              <w:top w:val="nil"/>
              <w:left w:val="nil"/>
              <w:bottom w:val="single" w:color="auto" w:sz="4" w:space="0"/>
              <w:right w:val="single" w:color="auto" w:sz="4" w:space="0"/>
            </w:tcBorders>
            <w:shd w:val="clear" w:color="auto" w:fill="auto"/>
            <w:vAlign w:val="center"/>
          </w:tcPr>
          <w:p w14:paraId="653B6C1F">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820" w:type="dxa"/>
            <w:tcBorders>
              <w:top w:val="nil"/>
              <w:left w:val="nil"/>
              <w:bottom w:val="single" w:color="auto" w:sz="4" w:space="0"/>
              <w:right w:val="single" w:color="auto" w:sz="4" w:space="0"/>
            </w:tcBorders>
            <w:shd w:val="clear" w:color="auto" w:fill="auto"/>
            <w:vAlign w:val="center"/>
          </w:tcPr>
          <w:p w14:paraId="397C697F">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评价项目实施结果与项目总体规划计划是否一致。</w:t>
            </w:r>
          </w:p>
        </w:tc>
        <w:tc>
          <w:tcPr>
            <w:tcW w:w="5072" w:type="dxa"/>
            <w:tcBorders>
              <w:top w:val="nil"/>
              <w:left w:val="nil"/>
              <w:bottom w:val="single" w:color="auto" w:sz="4" w:space="0"/>
              <w:right w:val="single" w:color="auto" w:sz="4" w:space="0"/>
            </w:tcBorders>
            <w:shd w:val="clear" w:color="auto" w:fill="auto"/>
            <w:vAlign w:val="center"/>
          </w:tcPr>
          <w:p w14:paraId="3E2F940F">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实际完成任务量和效果达到规划预期情况的，得满分。按项目法分配的项目，以所有项目点实施完成情况与规划计划情况进行对比。按因素法分配的项目和据实据效分配的项目，将资金分配方向与规划计划支持方向进行对比。完全达到预期的得满分。未完全达到规划预期情况的，以达到预期情况的资金量占项目总金额占比计分。指标得分=项目实施实施结果符合规划的金额/项目总金额*2</w:t>
            </w:r>
          </w:p>
        </w:tc>
        <w:tc>
          <w:tcPr>
            <w:tcW w:w="708" w:type="dxa"/>
            <w:tcBorders>
              <w:top w:val="nil"/>
              <w:left w:val="nil"/>
              <w:bottom w:val="single" w:color="auto" w:sz="4" w:space="0"/>
              <w:right w:val="single" w:color="auto" w:sz="4" w:space="0"/>
            </w:tcBorders>
            <w:shd w:val="clear" w:color="auto" w:fill="auto"/>
            <w:vAlign w:val="center"/>
          </w:tcPr>
          <w:p w14:paraId="6E0F03FA">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14:paraId="719FBB86">
        <w:tblPrEx>
          <w:tblCellMar>
            <w:top w:w="0" w:type="dxa"/>
            <w:left w:w="108" w:type="dxa"/>
            <w:bottom w:w="0" w:type="dxa"/>
            <w:right w:w="108" w:type="dxa"/>
          </w:tblCellMar>
        </w:tblPrEx>
        <w:trPr>
          <w:trHeight w:val="280" w:hRule="atLeast"/>
        </w:trPr>
        <w:tc>
          <w:tcPr>
            <w:tcW w:w="1100" w:type="dxa"/>
            <w:vMerge w:val="continue"/>
            <w:tcBorders>
              <w:top w:val="nil"/>
              <w:left w:val="single" w:color="auto" w:sz="4" w:space="0"/>
              <w:bottom w:val="nil"/>
              <w:right w:val="single" w:color="auto" w:sz="4" w:space="0"/>
            </w:tcBorders>
            <w:vAlign w:val="center"/>
          </w:tcPr>
          <w:p w14:paraId="7BEFA442">
            <w:pPr>
              <w:widowControl/>
              <w:jc w:val="left"/>
              <w:rPr>
                <w:rFonts w:ascii="宋体" w:hAnsi="宋体" w:cs="宋体"/>
                <w:color w:val="000000"/>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14:paraId="5E4AE0DA">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项目实施（4分）</w:t>
            </w:r>
          </w:p>
        </w:tc>
        <w:tc>
          <w:tcPr>
            <w:tcW w:w="1100" w:type="dxa"/>
            <w:tcBorders>
              <w:top w:val="nil"/>
              <w:left w:val="nil"/>
              <w:bottom w:val="single" w:color="auto" w:sz="4" w:space="0"/>
              <w:right w:val="single" w:color="auto" w:sz="4" w:space="0"/>
            </w:tcBorders>
            <w:shd w:val="clear" w:color="auto" w:fill="auto"/>
            <w:vAlign w:val="center"/>
          </w:tcPr>
          <w:p w14:paraId="6F10BE6A">
            <w:pPr>
              <w:widowControl/>
              <w:jc w:val="center"/>
              <w:rPr>
                <w:rFonts w:ascii="宋体" w:hAnsi="宋体" w:cs="宋体"/>
                <w:color w:val="000000"/>
                <w:kern w:val="0"/>
                <w:sz w:val="20"/>
                <w:szCs w:val="20"/>
              </w:rPr>
            </w:pPr>
            <w:r>
              <w:rPr>
                <w:rFonts w:hint="eastAsia" w:ascii="宋体" w:hAnsi="宋体" w:cs="宋体"/>
                <w:color w:val="000000"/>
                <w:kern w:val="0"/>
                <w:sz w:val="20"/>
                <w:szCs w:val="20"/>
              </w:rPr>
              <w:t>分配科学</w:t>
            </w:r>
          </w:p>
        </w:tc>
        <w:tc>
          <w:tcPr>
            <w:tcW w:w="660" w:type="dxa"/>
            <w:tcBorders>
              <w:top w:val="nil"/>
              <w:left w:val="nil"/>
              <w:bottom w:val="single" w:color="auto" w:sz="4" w:space="0"/>
              <w:right w:val="single" w:color="auto" w:sz="4" w:space="0"/>
            </w:tcBorders>
            <w:shd w:val="clear" w:color="auto" w:fill="auto"/>
            <w:vAlign w:val="center"/>
          </w:tcPr>
          <w:p w14:paraId="53C5E260">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820" w:type="dxa"/>
            <w:tcBorders>
              <w:top w:val="nil"/>
              <w:left w:val="nil"/>
              <w:bottom w:val="single" w:color="auto" w:sz="4" w:space="0"/>
              <w:right w:val="single" w:color="auto" w:sz="4" w:space="0"/>
            </w:tcBorders>
            <w:shd w:val="clear" w:color="auto" w:fill="auto"/>
            <w:vAlign w:val="center"/>
          </w:tcPr>
          <w:p w14:paraId="15526F29">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评价项目分配方法选择是否科学，分类评价分配程序和过程管理是否规范。</w:t>
            </w:r>
          </w:p>
        </w:tc>
        <w:tc>
          <w:tcPr>
            <w:tcW w:w="5072" w:type="dxa"/>
            <w:tcBorders>
              <w:top w:val="nil"/>
              <w:left w:val="nil"/>
              <w:bottom w:val="single" w:color="auto" w:sz="4" w:space="0"/>
              <w:right w:val="single" w:color="auto" w:sz="4" w:space="0"/>
            </w:tcBorders>
            <w:shd w:val="clear" w:color="auto" w:fill="auto"/>
            <w:vAlign w:val="center"/>
          </w:tcPr>
          <w:p w14:paraId="659AE35E">
            <w:pPr>
              <w:widowControl/>
              <w:jc w:val="left"/>
              <w:rPr>
                <w:rFonts w:ascii="宋体" w:hAnsi="宋体" w:cs="宋体"/>
                <w:color w:val="000000"/>
                <w:kern w:val="0"/>
                <w:sz w:val="20"/>
                <w:szCs w:val="20"/>
              </w:rPr>
            </w:pPr>
            <w:r>
              <w:rPr>
                <w:rFonts w:hint="eastAsia" w:ascii="宋体" w:hAnsi="宋体" w:cs="宋体"/>
                <w:color w:val="000000"/>
                <w:kern w:val="0"/>
                <w:sz w:val="20"/>
                <w:szCs w:val="20"/>
              </w:rPr>
              <w:t>1.项目分配选取了科学的绩效分配方法，得1分；                                       2.采用因素分配法的项目，项目因素选取合理的，得1分；采用项目法分配的项目，评分标准和立项程序合理规范的，得1分；据实据效的项目，基础数据真实，测算精准的，得1分。否则，酌情扣分。</w:t>
            </w:r>
          </w:p>
        </w:tc>
        <w:tc>
          <w:tcPr>
            <w:tcW w:w="708" w:type="dxa"/>
            <w:tcBorders>
              <w:top w:val="nil"/>
              <w:left w:val="nil"/>
              <w:bottom w:val="single" w:color="auto" w:sz="4" w:space="0"/>
              <w:right w:val="single" w:color="auto" w:sz="4" w:space="0"/>
            </w:tcBorders>
            <w:shd w:val="clear" w:color="auto" w:fill="auto"/>
            <w:vAlign w:val="center"/>
          </w:tcPr>
          <w:p w14:paraId="4B84D06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14:paraId="27AA619D">
        <w:tblPrEx>
          <w:tblCellMar>
            <w:top w:w="0" w:type="dxa"/>
            <w:left w:w="108" w:type="dxa"/>
            <w:bottom w:w="0" w:type="dxa"/>
            <w:right w:w="108" w:type="dxa"/>
          </w:tblCellMar>
        </w:tblPrEx>
        <w:trPr>
          <w:trHeight w:val="480" w:hRule="atLeast"/>
        </w:trPr>
        <w:tc>
          <w:tcPr>
            <w:tcW w:w="1100" w:type="dxa"/>
            <w:vMerge w:val="continue"/>
            <w:tcBorders>
              <w:top w:val="nil"/>
              <w:left w:val="single" w:color="auto" w:sz="4" w:space="0"/>
              <w:bottom w:val="nil"/>
              <w:right w:val="single" w:color="auto" w:sz="4" w:space="0"/>
            </w:tcBorders>
            <w:vAlign w:val="center"/>
          </w:tcPr>
          <w:p w14:paraId="47E9148D">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3BB44016">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5425A0CA">
            <w:pPr>
              <w:widowControl/>
              <w:jc w:val="center"/>
              <w:rPr>
                <w:rFonts w:ascii="宋体" w:hAnsi="宋体" w:cs="宋体"/>
                <w:color w:val="000000"/>
                <w:kern w:val="0"/>
                <w:sz w:val="20"/>
                <w:szCs w:val="20"/>
              </w:rPr>
            </w:pPr>
            <w:r>
              <w:rPr>
                <w:rFonts w:hint="eastAsia" w:ascii="宋体" w:hAnsi="宋体" w:cs="宋体"/>
                <w:color w:val="000000"/>
                <w:kern w:val="0"/>
                <w:sz w:val="20"/>
                <w:szCs w:val="20"/>
              </w:rPr>
              <w:t>分配及时</w:t>
            </w:r>
          </w:p>
        </w:tc>
        <w:tc>
          <w:tcPr>
            <w:tcW w:w="660" w:type="dxa"/>
            <w:tcBorders>
              <w:top w:val="nil"/>
              <w:left w:val="nil"/>
              <w:bottom w:val="single" w:color="auto" w:sz="4" w:space="0"/>
              <w:right w:val="single" w:color="auto" w:sz="4" w:space="0"/>
            </w:tcBorders>
            <w:shd w:val="clear" w:color="auto" w:fill="auto"/>
            <w:vAlign w:val="center"/>
          </w:tcPr>
          <w:p w14:paraId="5A272AF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820" w:type="dxa"/>
            <w:tcBorders>
              <w:top w:val="nil"/>
              <w:left w:val="nil"/>
              <w:bottom w:val="single" w:color="auto" w:sz="4" w:space="0"/>
              <w:right w:val="single" w:color="auto" w:sz="4" w:space="0"/>
            </w:tcBorders>
            <w:shd w:val="clear" w:color="auto" w:fill="auto"/>
            <w:vAlign w:val="center"/>
          </w:tcPr>
          <w:p w14:paraId="6879DD58">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评价部门是否按规定时限及时分配专项预算资金。                    </w:t>
            </w:r>
          </w:p>
        </w:tc>
        <w:tc>
          <w:tcPr>
            <w:tcW w:w="5072" w:type="dxa"/>
            <w:tcBorders>
              <w:top w:val="nil"/>
              <w:left w:val="nil"/>
              <w:bottom w:val="single" w:color="auto" w:sz="4" w:space="0"/>
              <w:right w:val="single" w:color="auto" w:sz="4" w:space="0"/>
            </w:tcBorders>
            <w:shd w:val="clear" w:color="auto" w:fill="auto"/>
            <w:vAlign w:val="center"/>
          </w:tcPr>
          <w:p w14:paraId="139E2534">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按《预算法》规定时限完成分配的考核得2分，否则不得分。                                              </w:t>
            </w:r>
          </w:p>
        </w:tc>
        <w:tc>
          <w:tcPr>
            <w:tcW w:w="708" w:type="dxa"/>
            <w:tcBorders>
              <w:top w:val="nil"/>
              <w:left w:val="nil"/>
              <w:bottom w:val="single" w:color="auto" w:sz="4" w:space="0"/>
              <w:right w:val="single" w:color="auto" w:sz="4" w:space="0"/>
            </w:tcBorders>
            <w:shd w:val="clear" w:color="auto" w:fill="auto"/>
            <w:vAlign w:val="center"/>
          </w:tcPr>
          <w:p w14:paraId="5DCFF06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14:paraId="24804112">
        <w:tblPrEx>
          <w:tblCellMar>
            <w:top w:w="0" w:type="dxa"/>
            <w:left w:w="108" w:type="dxa"/>
            <w:bottom w:w="0" w:type="dxa"/>
            <w:right w:w="108" w:type="dxa"/>
          </w:tblCellMar>
        </w:tblPrEx>
        <w:trPr>
          <w:trHeight w:val="870" w:hRule="atLeast"/>
        </w:trPr>
        <w:tc>
          <w:tcPr>
            <w:tcW w:w="1100" w:type="dxa"/>
            <w:vMerge w:val="continue"/>
            <w:tcBorders>
              <w:top w:val="nil"/>
              <w:left w:val="single" w:color="auto" w:sz="4" w:space="0"/>
              <w:bottom w:val="nil"/>
              <w:right w:val="single" w:color="auto" w:sz="4" w:space="0"/>
            </w:tcBorders>
            <w:vAlign w:val="center"/>
          </w:tcPr>
          <w:p w14:paraId="71F3E420">
            <w:pPr>
              <w:widowControl/>
              <w:jc w:val="left"/>
              <w:rPr>
                <w:rFonts w:ascii="宋体" w:hAnsi="宋体" w:cs="宋体"/>
                <w:color w:val="000000"/>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14:paraId="01AE0BCE">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完成结果（8分）</w:t>
            </w:r>
          </w:p>
        </w:tc>
        <w:tc>
          <w:tcPr>
            <w:tcW w:w="1100" w:type="dxa"/>
            <w:tcBorders>
              <w:top w:val="nil"/>
              <w:left w:val="nil"/>
              <w:bottom w:val="single" w:color="auto" w:sz="4" w:space="0"/>
              <w:right w:val="single" w:color="auto" w:sz="4" w:space="0"/>
            </w:tcBorders>
            <w:shd w:val="clear" w:color="auto" w:fill="auto"/>
            <w:vAlign w:val="center"/>
          </w:tcPr>
          <w:p w14:paraId="7B2EF0E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预算完成</w:t>
            </w:r>
          </w:p>
        </w:tc>
        <w:tc>
          <w:tcPr>
            <w:tcW w:w="660" w:type="dxa"/>
            <w:tcBorders>
              <w:top w:val="nil"/>
              <w:left w:val="nil"/>
              <w:bottom w:val="single" w:color="auto" w:sz="4" w:space="0"/>
              <w:right w:val="single" w:color="auto" w:sz="4" w:space="0"/>
            </w:tcBorders>
            <w:shd w:val="clear" w:color="auto" w:fill="auto"/>
            <w:vAlign w:val="center"/>
          </w:tcPr>
          <w:p w14:paraId="784ABDBB">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820" w:type="dxa"/>
            <w:tcBorders>
              <w:top w:val="nil"/>
              <w:left w:val="nil"/>
              <w:bottom w:val="single" w:color="auto" w:sz="4" w:space="0"/>
              <w:right w:val="single" w:color="auto" w:sz="4" w:space="0"/>
            </w:tcBorders>
            <w:shd w:val="clear" w:color="auto" w:fill="auto"/>
            <w:vAlign w:val="center"/>
          </w:tcPr>
          <w:p w14:paraId="2C47C0E4">
            <w:pPr>
              <w:widowControl/>
              <w:jc w:val="left"/>
              <w:rPr>
                <w:rFonts w:ascii="宋体" w:hAnsi="宋体" w:cs="宋体"/>
                <w:color w:val="000000"/>
                <w:kern w:val="0"/>
                <w:sz w:val="20"/>
                <w:szCs w:val="20"/>
              </w:rPr>
            </w:pPr>
            <w:r>
              <w:rPr>
                <w:rFonts w:hint="eastAsia" w:ascii="宋体" w:hAnsi="宋体" w:cs="宋体"/>
                <w:color w:val="000000"/>
                <w:kern w:val="0"/>
                <w:sz w:val="20"/>
                <w:szCs w:val="20"/>
              </w:rPr>
              <w:t>评价专项项目资金形成实际支出的情况。</w:t>
            </w:r>
          </w:p>
        </w:tc>
        <w:tc>
          <w:tcPr>
            <w:tcW w:w="5072" w:type="dxa"/>
            <w:tcBorders>
              <w:top w:val="nil"/>
              <w:left w:val="nil"/>
              <w:bottom w:val="single" w:color="auto" w:sz="4" w:space="0"/>
              <w:right w:val="single" w:color="auto" w:sz="4" w:space="0"/>
            </w:tcBorders>
            <w:shd w:val="clear" w:color="auto" w:fill="auto"/>
            <w:vAlign w:val="center"/>
          </w:tcPr>
          <w:p w14:paraId="27199883">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专项资金实际支出进度达到100%的，得3分，未达到100%的，指标得分=实际拨付使用金额/专项项目金额*3。</w:t>
            </w:r>
          </w:p>
        </w:tc>
        <w:tc>
          <w:tcPr>
            <w:tcW w:w="708" w:type="dxa"/>
            <w:tcBorders>
              <w:top w:val="nil"/>
              <w:left w:val="nil"/>
              <w:bottom w:val="single" w:color="auto" w:sz="4" w:space="0"/>
              <w:right w:val="single" w:color="auto" w:sz="4" w:space="0"/>
            </w:tcBorders>
            <w:shd w:val="clear" w:color="auto" w:fill="auto"/>
            <w:vAlign w:val="center"/>
          </w:tcPr>
          <w:p w14:paraId="5CD1CC62">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14:paraId="3F444A65">
        <w:tblPrEx>
          <w:tblCellMar>
            <w:top w:w="0" w:type="dxa"/>
            <w:left w:w="108" w:type="dxa"/>
            <w:bottom w:w="0" w:type="dxa"/>
            <w:right w:w="108" w:type="dxa"/>
          </w:tblCellMar>
        </w:tblPrEx>
        <w:trPr>
          <w:trHeight w:val="720" w:hRule="atLeast"/>
        </w:trPr>
        <w:tc>
          <w:tcPr>
            <w:tcW w:w="1100" w:type="dxa"/>
            <w:vMerge w:val="continue"/>
            <w:tcBorders>
              <w:top w:val="nil"/>
              <w:left w:val="single" w:color="auto" w:sz="4" w:space="0"/>
              <w:bottom w:val="nil"/>
              <w:right w:val="single" w:color="auto" w:sz="4" w:space="0"/>
            </w:tcBorders>
            <w:vAlign w:val="center"/>
          </w:tcPr>
          <w:p w14:paraId="19310104">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505A76EF">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13007AE2">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实施绩效</w:t>
            </w:r>
          </w:p>
        </w:tc>
        <w:tc>
          <w:tcPr>
            <w:tcW w:w="660" w:type="dxa"/>
            <w:tcBorders>
              <w:top w:val="nil"/>
              <w:left w:val="nil"/>
              <w:bottom w:val="single" w:color="auto" w:sz="4" w:space="0"/>
              <w:right w:val="single" w:color="auto" w:sz="4" w:space="0"/>
            </w:tcBorders>
            <w:shd w:val="clear" w:color="auto" w:fill="auto"/>
            <w:vAlign w:val="center"/>
          </w:tcPr>
          <w:p w14:paraId="3035574A">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820" w:type="dxa"/>
            <w:tcBorders>
              <w:top w:val="nil"/>
              <w:left w:val="nil"/>
              <w:bottom w:val="single" w:color="auto" w:sz="4" w:space="0"/>
              <w:right w:val="single" w:color="auto" w:sz="4" w:space="0"/>
            </w:tcBorders>
            <w:shd w:val="clear" w:color="auto" w:fill="auto"/>
            <w:vAlign w:val="center"/>
          </w:tcPr>
          <w:p w14:paraId="2EC3E06E">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评价专项项目是否达到预期绩效                      </w:t>
            </w:r>
          </w:p>
        </w:tc>
        <w:tc>
          <w:tcPr>
            <w:tcW w:w="5072" w:type="dxa"/>
            <w:tcBorders>
              <w:top w:val="nil"/>
              <w:left w:val="nil"/>
              <w:bottom w:val="single" w:color="auto" w:sz="4" w:space="0"/>
              <w:right w:val="single" w:color="auto" w:sz="4" w:space="0"/>
            </w:tcBorders>
            <w:shd w:val="clear" w:color="auto" w:fill="auto"/>
            <w:vAlign w:val="center"/>
          </w:tcPr>
          <w:p w14:paraId="45C06E9D">
            <w:pPr>
              <w:widowControl/>
              <w:jc w:val="left"/>
              <w:rPr>
                <w:rFonts w:ascii="宋体" w:hAnsi="宋体" w:cs="宋体"/>
                <w:color w:val="000000"/>
                <w:kern w:val="0"/>
                <w:sz w:val="20"/>
                <w:szCs w:val="20"/>
              </w:rPr>
            </w:pPr>
            <w:r>
              <w:rPr>
                <w:rFonts w:hint="eastAsia" w:ascii="宋体" w:hAnsi="宋体" w:cs="宋体"/>
                <w:color w:val="000000"/>
                <w:kern w:val="0"/>
                <w:sz w:val="20"/>
                <w:szCs w:val="20"/>
              </w:rPr>
              <w:t>部门专项项目属于当年财政重点评价范围的，该项得分使用项目支出评价共性指标、特性指标和个性指标得分换算。若部门专项项目不属于当年重点评价范围的，采用最近年度重点评价相关指标得分换算。</w:t>
            </w:r>
          </w:p>
        </w:tc>
        <w:tc>
          <w:tcPr>
            <w:tcW w:w="708" w:type="dxa"/>
            <w:tcBorders>
              <w:top w:val="nil"/>
              <w:left w:val="nil"/>
              <w:bottom w:val="single" w:color="auto" w:sz="4" w:space="0"/>
              <w:right w:val="single" w:color="auto" w:sz="4" w:space="0"/>
            </w:tcBorders>
            <w:shd w:val="clear" w:color="auto" w:fill="auto"/>
            <w:vAlign w:val="center"/>
          </w:tcPr>
          <w:p w14:paraId="1DB95602">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14:paraId="06C8F7FF">
        <w:tblPrEx>
          <w:tblCellMar>
            <w:top w:w="0" w:type="dxa"/>
            <w:left w:w="108" w:type="dxa"/>
            <w:bottom w:w="0" w:type="dxa"/>
            <w:right w:w="108" w:type="dxa"/>
          </w:tblCellMar>
        </w:tblPrEx>
        <w:trPr>
          <w:trHeight w:val="720" w:hRule="atLeast"/>
        </w:trPr>
        <w:tc>
          <w:tcPr>
            <w:tcW w:w="1100" w:type="dxa"/>
            <w:vMerge w:val="continue"/>
            <w:tcBorders>
              <w:top w:val="nil"/>
              <w:left w:val="single" w:color="auto" w:sz="4" w:space="0"/>
              <w:bottom w:val="nil"/>
              <w:right w:val="single" w:color="auto" w:sz="4" w:space="0"/>
            </w:tcBorders>
            <w:vAlign w:val="center"/>
          </w:tcPr>
          <w:p w14:paraId="3027D4F6">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21833783">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02D9D54E">
            <w:pPr>
              <w:widowControl/>
              <w:jc w:val="center"/>
              <w:rPr>
                <w:rFonts w:ascii="宋体" w:hAnsi="宋体" w:cs="宋体"/>
                <w:color w:val="000000"/>
                <w:kern w:val="0"/>
                <w:sz w:val="20"/>
                <w:szCs w:val="20"/>
              </w:rPr>
            </w:pPr>
            <w:r>
              <w:rPr>
                <w:rFonts w:hint="eastAsia" w:ascii="宋体" w:hAnsi="宋体" w:cs="宋体"/>
                <w:color w:val="000000"/>
                <w:kern w:val="0"/>
                <w:sz w:val="20"/>
                <w:szCs w:val="20"/>
              </w:rPr>
              <w:t>违规记录</w:t>
            </w:r>
          </w:p>
        </w:tc>
        <w:tc>
          <w:tcPr>
            <w:tcW w:w="660" w:type="dxa"/>
            <w:tcBorders>
              <w:top w:val="nil"/>
              <w:left w:val="nil"/>
              <w:bottom w:val="single" w:color="auto" w:sz="4" w:space="0"/>
              <w:right w:val="single" w:color="auto" w:sz="4" w:space="0"/>
            </w:tcBorders>
            <w:shd w:val="clear" w:color="auto" w:fill="auto"/>
            <w:vAlign w:val="center"/>
          </w:tcPr>
          <w:p w14:paraId="4E52D295">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820" w:type="dxa"/>
            <w:tcBorders>
              <w:top w:val="nil"/>
              <w:left w:val="nil"/>
              <w:bottom w:val="single" w:color="auto" w:sz="4" w:space="0"/>
              <w:right w:val="single" w:color="auto" w:sz="4" w:space="0"/>
            </w:tcBorders>
            <w:shd w:val="clear" w:color="auto" w:fill="auto"/>
            <w:vAlign w:val="center"/>
          </w:tcPr>
          <w:p w14:paraId="4DC73658">
            <w:pPr>
              <w:widowControl/>
              <w:jc w:val="left"/>
              <w:rPr>
                <w:rFonts w:ascii="宋体" w:hAnsi="宋体" w:cs="宋体"/>
                <w:color w:val="000000"/>
                <w:kern w:val="0"/>
                <w:sz w:val="20"/>
                <w:szCs w:val="20"/>
              </w:rPr>
            </w:pPr>
            <w:r>
              <w:rPr>
                <w:rFonts w:hint="eastAsia" w:ascii="宋体" w:hAnsi="宋体" w:cs="宋体"/>
                <w:color w:val="000000"/>
                <w:kern w:val="0"/>
                <w:sz w:val="20"/>
                <w:szCs w:val="20"/>
              </w:rPr>
              <w:t>根据巡视巡察、审计监督、财政检查结果反映部门上一年度部门专项预算管理是否合规。</w:t>
            </w:r>
          </w:p>
        </w:tc>
        <w:tc>
          <w:tcPr>
            <w:tcW w:w="5072" w:type="dxa"/>
            <w:tcBorders>
              <w:top w:val="nil"/>
              <w:left w:val="nil"/>
              <w:bottom w:val="single" w:color="auto" w:sz="4" w:space="0"/>
              <w:right w:val="single" w:color="auto" w:sz="4" w:space="0"/>
            </w:tcBorders>
            <w:shd w:val="clear" w:color="auto" w:fill="auto"/>
            <w:vAlign w:val="center"/>
          </w:tcPr>
          <w:p w14:paraId="57EA7385">
            <w:pPr>
              <w:widowControl/>
              <w:jc w:val="left"/>
              <w:rPr>
                <w:rFonts w:ascii="宋体" w:hAnsi="宋体" w:cs="宋体"/>
                <w:color w:val="000000"/>
                <w:kern w:val="0"/>
                <w:sz w:val="20"/>
                <w:szCs w:val="20"/>
              </w:rPr>
            </w:pPr>
            <w:r>
              <w:rPr>
                <w:rFonts w:hint="eastAsia" w:ascii="宋体" w:hAnsi="宋体" w:cs="宋体"/>
                <w:color w:val="000000"/>
                <w:kern w:val="0"/>
                <w:sz w:val="20"/>
                <w:szCs w:val="20"/>
              </w:rPr>
              <w:t>依据上一年度巡视巡察、审计、财政检查结果，出现专项预算管理方面违纪违规问题的，每个问题扣0.2分，直至扣完。</w:t>
            </w:r>
          </w:p>
        </w:tc>
        <w:tc>
          <w:tcPr>
            <w:tcW w:w="708" w:type="dxa"/>
            <w:tcBorders>
              <w:top w:val="nil"/>
              <w:left w:val="nil"/>
              <w:bottom w:val="single" w:color="auto" w:sz="4" w:space="0"/>
              <w:right w:val="single" w:color="auto" w:sz="4" w:space="0"/>
            </w:tcBorders>
            <w:shd w:val="clear" w:color="auto" w:fill="auto"/>
            <w:vAlign w:val="center"/>
          </w:tcPr>
          <w:p w14:paraId="50155ED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14:paraId="37E2F6E1">
        <w:tblPrEx>
          <w:tblCellMar>
            <w:top w:w="0" w:type="dxa"/>
            <w:left w:w="108" w:type="dxa"/>
            <w:bottom w:w="0" w:type="dxa"/>
            <w:right w:w="108" w:type="dxa"/>
          </w:tblCellMar>
        </w:tblPrEx>
        <w:trPr>
          <w:trHeight w:val="720" w:hRule="atLeast"/>
        </w:trPr>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5A3CE5">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绩效结果应用（30分）</w:t>
            </w:r>
          </w:p>
        </w:tc>
        <w:tc>
          <w:tcPr>
            <w:tcW w:w="1160" w:type="dxa"/>
            <w:tcBorders>
              <w:top w:val="nil"/>
              <w:left w:val="nil"/>
              <w:bottom w:val="single" w:color="auto" w:sz="4" w:space="0"/>
              <w:right w:val="single" w:color="auto" w:sz="4" w:space="0"/>
            </w:tcBorders>
            <w:shd w:val="clear" w:color="auto" w:fill="auto"/>
            <w:vAlign w:val="center"/>
          </w:tcPr>
          <w:p w14:paraId="40FBDE50">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自评质量（5分）</w:t>
            </w:r>
          </w:p>
        </w:tc>
        <w:tc>
          <w:tcPr>
            <w:tcW w:w="1100" w:type="dxa"/>
            <w:tcBorders>
              <w:top w:val="nil"/>
              <w:left w:val="nil"/>
              <w:bottom w:val="single" w:color="auto" w:sz="4" w:space="0"/>
              <w:right w:val="single" w:color="auto" w:sz="4" w:space="0"/>
            </w:tcBorders>
            <w:shd w:val="clear" w:color="auto" w:fill="auto"/>
            <w:vAlign w:val="center"/>
          </w:tcPr>
          <w:p w14:paraId="6D697BD0">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自评准确</w:t>
            </w:r>
          </w:p>
        </w:tc>
        <w:tc>
          <w:tcPr>
            <w:tcW w:w="660" w:type="dxa"/>
            <w:tcBorders>
              <w:top w:val="nil"/>
              <w:left w:val="nil"/>
              <w:bottom w:val="single" w:color="auto" w:sz="4" w:space="0"/>
              <w:right w:val="single" w:color="auto" w:sz="4" w:space="0"/>
            </w:tcBorders>
            <w:shd w:val="clear" w:color="auto" w:fill="auto"/>
            <w:vAlign w:val="center"/>
          </w:tcPr>
          <w:p w14:paraId="1CAE679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820" w:type="dxa"/>
            <w:tcBorders>
              <w:top w:val="nil"/>
              <w:left w:val="nil"/>
              <w:bottom w:val="single" w:color="auto" w:sz="4" w:space="0"/>
              <w:right w:val="single" w:color="auto" w:sz="4" w:space="0"/>
            </w:tcBorders>
            <w:shd w:val="clear" w:color="auto" w:fill="auto"/>
            <w:vAlign w:val="center"/>
          </w:tcPr>
          <w:p w14:paraId="32D505D3">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评价部门整体支出自评准确率。</w:t>
            </w:r>
          </w:p>
        </w:tc>
        <w:tc>
          <w:tcPr>
            <w:tcW w:w="5072" w:type="dxa"/>
            <w:tcBorders>
              <w:top w:val="nil"/>
              <w:left w:val="nil"/>
              <w:bottom w:val="single" w:color="auto" w:sz="4" w:space="0"/>
              <w:right w:val="single" w:color="auto" w:sz="4" w:space="0"/>
            </w:tcBorders>
            <w:shd w:val="clear" w:color="auto" w:fill="auto"/>
            <w:vAlign w:val="center"/>
          </w:tcPr>
          <w:p w14:paraId="0021EB35">
            <w:pPr>
              <w:widowControl/>
              <w:jc w:val="left"/>
              <w:rPr>
                <w:rFonts w:ascii="宋体" w:hAnsi="宋体" w:cs="宋体"/>
                <w:color w:val="000000"/>
                <w:kern w:val="0"/>
                <w:sz w:val="20"/>
                <w:szCs w:val="20"/>
              </w:rPr>
            </w:pPr>
            <w:r>
              <w:rPr>
                <w:rFonts w:hint="eastAsia" w:ascii="宋体" w:hAnsi="宋体" w:cs="宋体"/>
                <w:color w:val="000000"/>
                <w:kern w:val="0"/>
                <w:sz w:val="20"/>
                <w:szCs w:val="20"/>
              </w:rPr>
              <w:t>部门整体支出自评得分与评价组抽查得分差异在5%以内的，不扣分；在5%-10%之间的，扣1分，在10%-20%的，扣2分，在20%以上的，扣5分。</w:t>
            </w:r>
          </w:p>
        </w:tc>
        <w:tc>
          <w:tcPr>
            <w:tcW w:w="708" w:type="dxa"/>
            <w:tcBorders>
              <w:top w:val="nil"/>
              <w:left w:val="nil"/>
              <w:bottom w:val="single" w:color="auto" w:sz="4" w:space="0"/>
              <w:right w:val="single" w:color="auto" w:sz="4" w:space="0"/>
            </w:tcBorders>
            <w:shd w:val="clear" w:color="auto" w:fill="auto"/>
            <w:vAlign w:val="center"/>
          </w:tcPr>
          <w:p w14:paraId="70651C3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14:paraId="1713B26E">
        <w:tblPrEx>
          <w:tblCellMar>
            <w:top w:w="0" w:type="dxa"/>
            <w:left w:w="108" w:type="dxa"/>
            <w:bottom w:w="0" w:type="dxa"/>
            <w:right w:w="108" w:type="dxa"/>
          </w:tblCellMar>
        </w:tblPrEx>
        <w:trPr>
          <w:trHeight w:val="48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7BB69A82">
            <w:pPr>
              <w:widowControl/>
              <w:jc w:val="left"/>
              <w:rPr>
                <w:rFonts w:ascii="宋体" w:hAnsi="宋体" w:cs="宋体"/>
                <w:color w:val="000000"/>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14:paraId="03376957">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信息公开（10分）</w:t>
            </w:r>
          </w:p>
        </w:tc>
        <w:tc>
          <w:tcPr>
            <w:tcW w:w="1100" w:type="dxa"/>
            <w:tcBorders>
              <w:top w:val="nil"/>
              <w:left w:val="nil"/>
              <w:bottom w:val="single" w:color="auto" w:sz="4" w:space="0"/>
              <w:right w:val="single" w:color="auto" w:sz="4" w:space="0"/>
            </w:tcBorders>
            <w:shd w:val="clear" w:color="auto" w:fill="auto"/>
            <w:vAlign w:val="center"/>
          </w:tcPr>
          <w:p w14:paraId="693F9401">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目标公开</w:t>
            </w:r>
          </w:p>
        </w:tc>
        <w:tc>
          <w:tcPr>
            <w:tcW w:w="660" w:type="dxa"/>
            <w:tcBorders>
              <w:top w:val="nil"/>
              <w:left w:val="nil"/>
              <w:bottom w:val="single" w:color="auto" w:sz="4" w:space="0"/>
              <w:right w:val="single" w:color="auto" w:sz="4" w:space="0"/>
            </w:tcBorders>
            <w:shd w:val="clear" w:color="auto" w:fill="auto"/>
            <w:vAlign w:val="center"/>
          </w:tcPr>
          <w:p w14:paraId="6618474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820" w:type="dxa"/>
            <w:tcBorders>
              <w:top w:val="nil"/>
              <w:left w:val="nil"/>
              <w:bottom w:val="single" w:color="auto" w:sz="4" w:space="0"/>
              <w:right w:val="single" w:color="auto" w:sz="4" w:space="0"/>
            </w:tcBorders>
            <w:shd w:val="clear" w:color="auto" w:fill="auto"/>
            <w:vAlign w:val="center"/>
          </w:tcPr>
          <w:p w14:paraId="66CA33FC">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评价部门绩效目标是否按要求向社会公开。</w:t>
            </w:r>
          </w:p>
        </w:tc>
        <w:tc>
          <w:tcPr>
            <w:tcW w:w="5072" w:type="dxa"/>
            <w:tcBorders>
              <w:top w:val="nil"/>
              <w:left w:val="nil"/>
              <w:bottom w:val="single" w:color="auto" w:sz="4" w:space="0"/>
              <w:right w:val="single" w:color="auto" w:sz="4" w:space="0"/>
            </w:tcBorders>
            <w:shd w:val="clear" w:color="auto" w:fill="auto"/>
            <w:vAlign w:val="center"/>
          </w:tcPr>
          <w:p w14:paraId="78CDFEC1">
            <w:pPr>
              <w:widowControl/>
              <w:jc w:val="left"/>
              <w:rPr>
                <w:rFonts w:ascii="宋体" w:hAnsi="宋体" w:cs="宋体"/>
                <w:color w:val="000000"/>
                <w:kern w:val="0"/>
                <w:sz w:val="20"/>
                <w:szCs w:val="20"/>
              </w:rPr>
            </w:pPr>
            <w:r>
              <w:rPr>
                <w:rFonts w:hint="eastAsia" w:ascii="宋体" w:hAnsi="宋体" w:cs="宋体"/>
                <w:color w:val="000000"/>
                <w:kern w:val="0"/>
                <w:sz w:val="20"/>
                <w:szCs w:val="20"/>
              </w:rPr>
              <w:t>按要求将部门预算绩效目标进行公开的，得5分。</w:t>
            </w:r>
          </w:p>
        </w:tc>
        <w:tc>
          <w:tcPr>
            <w:tcW w:w="708" w:type="dxa"/>
            <w:tcBorders>
              <w:top w:val="nil"/>
              <w:left w:val="nil"/>
              <w:bottom w:val="single" w:color="auto" w:sz="4" w:space="0"/>
              <w:right w:val="single" w:color="auto" w:sz="4" w:space="0"/>
            </w:tcBorders>
            <w:shd w:val="clear" w:color="auto" w:fill="auto"/>
            <w:vAlign w:val="center"/>
          </w:tcPr>
          <w:p w14:paraId="0FBC4E8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14:paraId="211FB3AD">
        <w:tblPrEx>
          <w:tblCellMar>
            <w:top w:w="0" w:type="dxa"/>
            <w:left w:w="108" w:type="dxa"/>
            <w:bottom w:w="0" w:type="dxa"/>
            <w:right w:w="108" w:type="dxa"/>
          </w:tblCellMar>
        </w:tblPrEx>
        <w:trPr>
          <w:trHeight w:val="48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171E1851">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2CB8D06D">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23CAC793">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自评公开</w:t>
            </w:r>
          </w:p>
        </w:tc>
        <w:tc>
          <w:tcPr>
            <w:tcW w:w="660" w:type="dxa"/>
            <w:tcBorders>
              <w:top w:val="nil"/>
              <w:left w:val="nil"/>
              <w:bottom w:val="single" w:color="auto" w:sz="4" w:space="0"/>
              <w:right w:val="single" w:color="auto" w:sz="4" w:space="0"/>
            </w:tcBorders>
            <w:shd w:val="clear" w:color="auto" w:fill="auto"/>
            <w:vAlign w:val="center"/>
          </w:tcPr>
          <w:p w14:paraId="34B701C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820" w:type="dxa"/>
            <w:tcBorders>
              <w:top w:val="nil"/>
              <w:left w:val="nil"/>
              <w:bottom w:val="single" w:color="auto" w:sz="4" w:space="0"/>
              <w:right w:val="single" w:color="auto" w:sz="4" w:space="0"/>
            </w:tcBorders>
            <w:shd w:val="clear" w:color="auto" w:fill="auto"/>
            <w:vAlign w:val="center"/>
          </w:tcPr>
          <w:p w14:paraId="5C224394">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评价部门是否按要求将部门整体绩效自评情况和自行组织的评价情况向社会公开。</w:t>
            </w:r>
          </w:p>
        </w:tc>
        <w:tc>
          <w:tcPr>
            <w:tcW w:w="5072" w:type="dxa"/>
            <w:tcBorders>
              <w:top w:val="nil"/>
              <w:left w:val="nil"/>
              <w:bottom w:val="single" w:color="auto" w:sz="4" w:space="0"/>
              <w:right w:val="single" w:color="auto" w:sz="4" w:space="0"/>
            </w:tcBorders>
            <w:shd w:val="clear" w:color="auto" w:fill="auto"/>
            <w:vAlign w:val="center"/>
          </w:tcPr>
          <w:p w14:paraId="6BBFB396">
            <w:pPr>
              <w:widowControl/>
              <w:jc w:val="left"/>
              <w:rPr>
                <w:rFonts w:ascii="宋体" w:hAnsi="宋体" w:cs="宋体"/>
                <w:color w:val="000000"/>
                <w:kern w:val="0"/>
                <w:sz w:val="20"/>
                <w:szCs w:val="20"/>
              </w:rPr>
            </w:pPr>
            <w:r>
              <w:rPr>
                <w:rFonts w:hint="eastAsia" w:ascii="宋体" w:hAnsi="宋体" w:cs="宋体"/>
                <w:color w:val="000000"/>
                <w:kern w:val="0"/>
                <w:sz w:val="20"/>
                <w:szCs w:val="20"/>
              </w:rPr>
              <w:t>按要求在内网或外网公开的，得5分。</w:t>
            </w:r>
          </w:p>
        </w:tc>
        <w:tc>
          <w:tcPr>
            <w:tcW w:w="708" w:type="dxa"/>
            <w:tcBorders>
              <w:top w:val="nil"/>
              <w:left w:val="nil"/>
              <w:bottom w:val="single" w:color="auto" w:sz="4" w:space="0"/>
              <w:right w:val="single" w:color="auto" w:sz="4" w:space="0"/>
            </w:tcBorders>
            <w:shd w:val="clear" w:color="auto" w:fill="auto"/>
            <w:vAlign w:val="center"/>
          </w:tcPr>
          <w:p w14:paraId="71DBA77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14:paraId="72861DF4">
        <w:tblPrEx>
          <w:tblCellMar>
            <w:top w:w="0" w:type="dxa"/>
            <w:left w:w="108" w:type="dxa"/>
            <w:bottom w:w="0" w:type="dxa"/>
            <w:right w:w="108" w:type="dxa"/>
          </w:tblCellMar>
        </w:tblPrEx>
        <w:trPr>
          <w:trHeight w:val="975"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3A181900">
            <w:pPr>
              <w:widowControl/>
              <w:jc w:val="left"/>
              <w:rPr>
                <w:rFonts w:ascii="宋体" w:hAnsi="宋体" w:cs="宋体"/>
                <w:color w:val="000000"/>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14:paraId="19C9F3FE">
            <w:pPr>
              <w:widowControl/>
              <w:jc w:val="center"/>
              <w:rPr>
                <w:rFonts w:ascii="宋体" w:hAnsi="宋体" w:cs="宋体"/>
                <w:color w:val="000000"/>
                <w:kern w:val="0"/>
                <w:sz w:val="20"/>
                <w:szCs w:val="20"/>
              </w:rPr>
            </w:pPr>
            <w:r>
              <w:rPr>
                <w:rFonts w:hint="eastAsia" w:ascii="宋体" w:hAnsi="宋体" w:cs="宋体"/>
                <w:color w:val="000000"/>
                <w:kern w:val="0"/>
                <w:sz w:val="20"/>
                <w:szCs w:val="20"/>
              </w:rPr>
              <w:t>整改反馈（15分）</w:t>
            </w:r>
          </w:p>
        </w:tc>
        <w:tc>
          <w:tcPr>
            <w:tcW w:w="1100" w:type="dxa"/>
            <w:tcBorders>
              <w:top w:val="nil"/>
              <w:left w:val="nil"/>
              <w:bottom w:val="single" w:color="auto" w:sz="4" w:space="0"/>
              <w:right w:val="single" w:color="auto" w:sz="4" w:space="0"/>
            </w:tcBorders>
            <w:shd w:val="clear" w:color="auto" w:fill="auto"/>
            <w:vAlign w:val="center"/>
          </w:tcPr>
          <w:p w14:paraId="64559548">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结果整改</w:t>
            </w:r>
          </w:p>
        </w:tc>
        <w:tc>
          <w:tcPr>
            <w:tcW w:w="660" w:type="dxa"/>
            <w:tcBorders>
              <w:top w:val="nil"/>
              <w:left w:val="nil"/>
              <w:bottom w:val="single" w:color="auto" w:sz="4" w:space="0"/>
              <w:right w:val="single" w:color="auto" w:sz="4" w:space="0"/>
            </w:tcBorders>
            <w:shd w:val="clear" w:color="auto" w:fill="auto"/>
            <w:vAlign w:val="center"/>
          </w:tcPr>
          <w:p w14:paraId="394AC025">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820" w:type="dxa"/>
            <w:tcBorders>
              <w:top w:val="nil"/>
              <w:left w:val="nil"/>
              <w:bottom w:val="single" w:color="auto" w:sz="4" w:space="0"/>
              <w:right w:val="single" w:color="auto" w:sz="4" w:space="0"/>
            </w:tcBorders>
            <w:shd w:val="clear" w:color="auto" w:fill="auto"/>
            <w:vAlign w:val="center"/>
          </w:tcPr>
          <w:p w14:paraId="1494B354">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评价部门根据绩效管理结果整改问题、完善政策、改进管理的情况。</w:t>
            </w:r>
          </w:p>
        </w:tc>
        <w:tc>
          <w:tcPr>
            <w:tcW w:w="5072" w:type="dxa"/>
            <w:tcBorders>
              <w:top w:val="nil"/>
              <w:left w:val="nil"/>
              <w:bottom w:val="single" w:color="auto" w:sz="4" w:space="0"/>
              <w:right w:val="single" w:color="auto" w:sz="4" w:space="0"/>
            </w:tcBorders>
            <w:shd w:val="clear" w:color="auto" w:fill="auto"/>
            <w:vAlign w:val="center"/>
          </w:tcPr>
          <w:p w14:paraId="11A9E57D">
            <w:pPr>
              <w:widowControl/>
              <w:jc w:val="left"/>
              <w:rPr>
                <w:rFonts w:ascii="宋体" w:hAnsi="宋体" w:cs="宋体"/>
                <w:color w:val="000000"/>
                <w:kern w:val="0"/>
                <w:sz w:val="20"/>
                <w:szCs w:val="20"/>
              </w:rPr>
            </w:pPr>
            <w:r>
              <w:rPr>
                <w:rFonts w:hint="eastAsia" w:ascii="宋体" w:hAnsi="宋体" w:cs="宋体"/>
                <w:color w:val="000000"/>
                <w:kern w:val="0"/>
                <w:sz w:val="20"/>
                <w:szCs w:val="20"/>
              </w:rPr>
              <w:t>针对绩效管理过程中（包括绩效目标核查、绩效监控核查和重点绩效评价）提出的问题，发现一处未整改的，扣1分，直至扣完。</w:t>
            </w:r>
          </w:p>
        </w:tc>
        <w:tc>
          <w:tcPr>
            <w:tcW w:w="708" w:type="dxa"/>
            <w:tcBorders>
              <w:top w:val="nil"/>
              <w:left w:val="nil"/>
              <w:bottom w:val="single" w:color="auto" w:sz="4" w:space="0"/>
              <w:right w:val="single" w:color="auto" w:sz="4" w:space="0"/>
            </w:tcBorders>
            <w:shd w:val="clear" w:color="auto" w:fill="auto"/>
            <w:vAlign w:val="center"/>
          </w:tcPr>
          <w:p w14:paraId="586FB11C">
            <w:pPr>
              <w:widowControl/>
              <w:jc w:val="center"/>
              <w:rPr>
                <w:rFonts w:ascii="宋体" w:hAnsi="宋体" w:cs="宋体"/>
                <w:color w:val="000000"/>
                <w:kern w:val="0"/>
                <w:sz w:val="20"/>
                <w:szCs w:val="20"/>
              </w:rPr>
            </w:pPr>
          </w:p>
        </w:tc>
      </w:tr>
      <w:tr w14:paraId="18E93DDF">
        <w:tblPrEx>
          <w:tblCellMar>
            <w:top w:w="0" w:type="dxa"/>
            <w:left w:w="108" w:type="dxa"/>
            <w:bottom w:w="0" w:type="dxa"/>
            <w:right w:w="108" w:type="dxa"/>
          </w:tblCellMar>
        </w:tblPrEx>
        <w:trPr>
          <w:trHeight w:val="735"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2E830884">
            <w:pPr>
              <w:widowControl/>
              <w:jc w:val="left"/>
              <w:rPr>
                <w:rFonts w:ascii="宋体" w:hAnsi="宋体" w:cs="宋体"/>
                <w:color w:val="000000"/>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14:paraId="4E56B505">
            <w:pPr>
              <w:widowControl/>
              <w:jc w:val="left"/>
              <w:rPr>
                <w:rFonts w:ascii="宋体" w:hAnsi="宋体" w:cs="宋体"/>
                <w:color w:val="000000"/>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436ED05B">
            <w:pPr>
              <w:widowControl/>
              <w:jc w:val="center"/>
              <w:rPr>
                <w:rFonts w:ascii="宋体" w:hAnsi="宋体" w:cs="宋体"/>
                <w:color w:val="000000"/>
                <w:kern w:val="0"/>
                <w:sz w:val="20"/>
                <w:szCs w:val="20"/>
              </w:rPr>
            </w:pPr>
            <w:r>
              <w:rPr>
                <w:rFonts w:hint="eastAsia" w:ascii="宋体" w:hAnsi="宋体" w:cs="宋体"/>
                <w:color w:val="000000"/>
                <w:kern w:val="0"/>
                <w:sz w:val="20"/>
                <w:szCs w:val="20"/>
              </w:rPr>
              <w:t>应用反馈</w:t>
            </w:r>
          </w:p>
        </w:tc>
        <w:tc>
          <w:tcPr>
            <w:tcW w:w="660" w:type="dxa"/>
            <w:tcBorders>
              <w:top w:val="nil"/>
              <w:left w:val="nil"/>
              <w:bottom w:val="single" w:color="auto" w:sz="4" w:space="0"/>
              <w:right w:val="single" w:color="auto" w:sz="4" w:space="0"/>
            </w:tcBorders>
            <w:shd w:val="clear" w:color="auto" w:fill="auto"/>
            <w:vAlign w:val="center"/>
          </w:tcPr>
          <w:p w14:paraId="69649C2E">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820" w:type="dxa"/>
            <w:tcBorders>
              <w:top w:val="nil"/>
              <w:left w:val="nil"/>
              <w:bottom w:val="single" w:color="auto" w:sz="4" w:space="0"/>
              <w:right w:val="single" w:color="auto" w:sz="4" w:space="0"/>
            </w:tcBorders>
            <w:shd w:val="clear" w:color="auto" w:fill="auto"/>
            <w:vAlign w:val="center"/>
          </w:tcPr>
          <w:p w14:paraId="7EE9D279">
            <w:pPr>
              <w:widowControl/>
              <w:jc w:val="left"/>
              <w:rPr>
                <w:rFonts w:ascii="宋体" w:hAnsi="宋体" w:cs="宋体"/>
                <w:color w:val="000000"/>
                <w:kern w:val="0"/>
                <w:sz w:val="20"/>
                <w:szCs w:val="20"/>
              </w:rPr>
            </w:pPr>
            <w:r>
              <w:rPr>
                <w:rFonts w:hint="eastAsia" w:ascii="宋体" w:hAnsi="宋体" w:cs="宋体"/>
                <w:color w:val="000000"/>
                <w:kern w:val="0"/>
                <w:sz w:val="20"/>
                <w:szCs w:val="20"/>
              </w:rPr>
              <w:t>评价部门按要求及时向财政部门反馈结果应用情况。</w:t>
            </w:r>
          </w:p>
        </w:tc>
        <w:tc>
          <w:tcPr>
            <w:tcW w:w="5072" w:type="dxa"/>
            <w:tcBorders>
              <w:top w:val="nil"/>
              <w:left w:val="nil"/>
              <w:bottom w:val="single" w:color="auto" w:sz="4" w:space="0"/>
              <w:right w:val="single" w:color="auto" w:sz="4" w:space="0"/>
            </w:tcBorders>
            <w:shd w:val="clear" w:color="auto" w:fill="auto"/>
            <w:vAlign w:val="center"/>
          </w:tcPr>
          <w:p w14:paraId="46E79E33">
            <w:pPr>
              <w:widowControl/>
              <w:jc w:val="left"/>
              <w:rPr>
                <w:rFonts w:ascii="宋体" w:hAnsi="宋体" w:cs="宋体"/>
                <w:color w:val="000000"/>
                <w:kern w:val="0"/>
                <w:sz w:val="20"/>
                <w:szCs w:val="20"/>
              </w:rPr>
            </w:pPr>
            <w:r>
              <w:rPr>
                <w:rFonts w:hint="eastAsia" w:ascii="宋体" w:hAnsi="宋体" w:cs="宋体"/>
                <w:color w:val="000000"/>
                <w:kern w:val="0"/>
                <w:sz w:val="20"/>
                <w:szCs w:val="20"/>
              </w:rPr>
              <w:t>部门在规定时间内向财政部门反馈应用绩效结果报告的，得满分，否则不得分。</w:t>
            </w:r>
          </w:p>
        </w:tc>
        <w:tc>
          <w:tcPr>
            <w:tcW w:w="708" w:type="dxa"/>
            <w:tcBorders>
              <w:top w:val="nil"/>
              <w:left w:val="nil"/>
              <w:bottom w:val="single" w:color="auto" w:sz="4" w:space="0"/>
              <w:right w:val="single" w:color="auto" w:sz="4" w:space="0"/>
            </w:tcBorders>
            <w:shd w:val="clear" w:color="auto" w:fill="auto"/>
            <w:vAlign w:val="center"/>
          </w:tcPr>
          <w:p w14:paraId="39604141">
            <w:pPr>
              <w:widowControl/>
              <w:jc w:val="center"/>
              <w:rPr>
                <w:rFonts w:ascii="宋体" w:hAnsi="宋体" w:cs="宋体"/>
                <w:color w:val="000000"/>
                <w:kern w:val="0"/>
                <w:sz w:val="20"/>
                <w:szCs w:val="20"/>
              </w:rPr>
            </w:pPr>
          </w:p>
        </w:tc>
      </w:tr>
      <w:tr w14:paraId="18F106BF">
        <w:tblPrEx>
          <w:tblCellMar>
            <w:top w:w="0" w:type="dxa"/>
            <w:left w:w="108" w:type="dxa"/>
            <w:bottom w:w="0" w:type="dxa"/>
            <w:right w:w="108" w:type="dxa"/>
          </w:tblCellMar>
        </w:tblPrEx>
        <w:trPr>
          <w:trHeight w:val="528" w:hRule="atLeast"/>
        </w:trPr>
        <w:tc>
          <w:tcPr>
            <w:tcW w:w="22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46C78AC">
            <w:pPr>
              <w:widowControl/>
              <w:jc w:val="center"/>
              <w:rPr>
                <w:rFonts w:ascii="宋体" w:hAnsi="宋体" w:cs="宋体"/>
                <w:color w:val="000000"/>
                <w:kern w:val="0"/>
                <w:sz w:val="24"/>
              </w:rPr>
            </w:pPr>
            <w:r>
              <w:rPr>
                <w:rFonts w:hint="eastAsia" w:ascii="宋体" w:hAnsi="宋体" w:cs="宋体"/>
                <w:color w:val="000000"/>
                <w:kern w:val="0"/>
                <w:sz w:val="24"/>
              </w:rPr>
              <w:t>评分合计</w:t>
            </w:r>
          </w:p>
        </w:tc>
        <w:tc>
          <w:tcPr>
            <w:tcW w:w="1100" w:type="dxa"/>
            <w:tcBorders>
              <w:top w:val="nil"/>
              <w:left w:val="nil"/>
              <w:bottom w:val="single" w:color="auto" w:sz="4" w:space="0"/>
              <w:right w:val="single" w:color="auto" w:sz="4" w:space="0"/>
            </w:tcBorders>
            <w:shd w:val="clear" w:color="auto" w:fill="auto"/>
            <w:vAlign w:val="center"/>
          </w:tcPr>
          <w:p w14:paraId="600E4CB3">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660" w:type="dxa"/>
            <w:tcBorders>
              <w:top w:val="nil"/>
              <w:left w:val="nil"/>
              <w:bottom w:val="single" w:color="auto" w:sz="4" w:space="0"/>
              <w:right w:val="single" w:color="auto" w:sz="4" w:space="0"/>
            </w:tcBorders>
            <w:shd w:val="clear" w:color="auto" w:fill="auto"/>
            <w:vAlign w:val="center"/>
          </w:tcPr>
          <w:p w14:paraId="37E620F6">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820" w:type="dxa"/>
            <w:tcBorders>
              <w:top w:val="nil"/>
              <w:left w:val="nil"/>
              <w:bottom w:val="single" w:color="auto" w:sz="4" w:space="0"/>
              <w:right w:val="single" w:color="auto" w:sz="4" w:space="0"/>
            </w:tcBorders>
            <w:shd w:val="clear" w:color="auto" w:fill="auto"/>
            <w:vAlign w:val="center"/>
          </w:tcPr>
          <w:p w14:paraId="4642AF1B">
            <w:pPr>
              <w:widowControl/>
              <w:jc w:val="left"/>
              <w:rPr>
                <w:rFonts w:ascii="宋体" w:hAnsi="宋体" w:cs="宋体"/>
                <w:color w:val="000000"/>
                <w:kern w:val="0"/>
                <w:sz w:val="24"/>
              </w:rPr>
            </w:pPr>
            <w:r>
              <w:rPr>
                <w:rFonts w:hint="eastAsia" w:ascii="宋体" w:hAnsi="宋体" w:cs="宋体"/>
                <w:color w:val="000000"/>
                <w:kern w:val="0"/>
                <w:sz w:val="24"/>
              </w:rPr>
              <w:t>　</w:t>
            </w:r>
          </w:p>
        </w:tc>
        <w:tc>
          <w:tcPr>
            <w:tcW w:w="5072" w:type="dxa"/>
            <w:tcBorders>
              <w:top w:val="nil"/>
              <w:left w:val="nil"/>
              <w:bottom w:val="single" w:color="auto" w:sz="4" w:space="0"/>
              <w:right w:val="single" w:color="auto" w:sz="4" w:space="0"/>
            </w:tcBorders>
            <w:shd w:val="clear" w:color="auto" w:fill="auto"/>
            <w:vAlign w:val="center"/>
          </w:tcPr>
          <w:p w14:paraId="594FA32A">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08" w:type="dxa"/>
            <w:tcBorders>
              <w:top w:val="nil"/>
              <w:left w:val="nil"/>
              <w:bottom w:val="single" w:color="auto" w:sz="4" w:space="0"/>
              <w:right w:val="single" w:color="auto" w:sz="4" w:space="0"/>
            </w:tcBorders>
            <w:shd w:val="clear" w:color="auto" w:fill="auto"/>
            <w:vAlign w:val="center"/>
          </w:tcPr>
          <w:p w14:paraId="351B4B08">
            <w:pPr>
              <w:widowControl/>
              <w:jc w:val="center"/>
              <w:rPr>
                <w:rFonts w:ascii="宋体" w:hAnsi="宋体" w:cs="宋体"/>
                <w:color w:val="000000"/>
                <w:kern w:val="0"/>
                <w:sz w:val="24"/>
              </w:rPr>
            </w:pPr>
            <w:r>
              <w:rPr>
                <w:rFonts w:hint="eastAsia" w:ascii="宋体" w:hAnsi="宋体" w:cs="宋体"/>
                <w:color w:val="000000"/>
                <w:kern w:val="0"/>
                <w:sz w:val="24"/>
              </w:rPr>
              <w:t>76.5</w:t>
            </w:r>
          </w:p>
        </w:tc>
      </w:tr>
    </w:tbl>
    <w:p w14:paraId="6938A03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p>
    <w:p w14:paraId="52D29DE1">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p>
    <w:p w14:paraId="198AACCA">
      <w:pPr>
        <w:spacing w:line="580" w:lineRule="exact"/>
        <w:rPr>
          <w:rFonts w:ascii="黑体" w:hAnsi="黑体" w:eastAsia="黑体" w:cs="黑体"/>
          <w:sz w:val="32"/>
          <w:szCs w:val="32"/>
        </w:rPr>
      </w:pPr>
    </w:p>
    <w:p w14:paraId="5E36B25A">
      <w:pPr>
        <w:spacing w:line="580" w:lineRule="exact"/>
        <w:rPr>
          <w:rFonts w:ascii="黑体" w:hAnsi="黑体" w:eastAsia="黑体" w:cs="黑体"/>
          <w:sz w:val="32"/>
          <w:szCs w:val="32"/>
        </w:rPr>
      </w:pPr>
    </w:p>
    <w:p w14:paraId="4953E7B3">
      <w:pPr>
        <w:spacing w:line="580" w:lineRule="exact"/>
        <w:rPr>
          <w:rFonts w:ascii="黑体" w:hAnsi="黑体" w:eastAsia="黑体" w:cs="黑体"/>
          <w:sz w:val="32"/>
          <w:szCs w:val="32"/>
        </w:rPr>
      </w:pPr>
    </w:p>
    <w:p w14:paraId="009CC53C">
      <w:pPr>
        <w:spacing w:line="580" w:lineRule="exact"/>
        <w:rPr>
          <w:rFonts w:ascii="黑体" w:hAnsi="黑体" w:eastAsia="黑体" w:cs="黑体"/>
          <w:sz w:val="32"/>
          <w:szCs w:val="32"/>
        </w:rPr>
      </w:pPr>
    </w:p>
    <w:p w14:paraId="4CB7C47C">
      <w:pPr>
        <w:spacing w:line="580" w:lineRule="exact"/>
        <w:rPr>
          <w:rFonts w:ascii="黑体" w:hAnsi="黑体" w:eastAsia="黑体" w:cs="黑体"/>
          <w:sz w:val="32"/>
          <w:szCs w:val="32"/>
        </w:rPr>
        <w:sectPr>
          <w:headerReference r:id="rId6" w:type="default"/>
          <w:footerReference r:id="rId7" w:type="default"/>
          <w:pgSz w:w="16838" w:h="11906" w:orient="landscape"/>
          <w:pgMar w:top="1797" w:right="1134" w:bottom="1797" w:left="1440" w:header="851" w:footer="992" w:gutter="0"/>
          <w:pgNumType w:fmt="numberInDash" w:start="1"/>
          <w:cols w:space="425" w:num="1"/>
          <w:titlePg/>
          <w:docGrid w:type="lines" w:linePitch="312" w:charSpace="0"/>
        </w:sectPr>
      </w:pPr>
    </w:p>
    <w:p w14:paraId="402417CD">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4B607D98">
      <w:pPr>
        <w:spacing w:line="580" w:lineRule="exact"/>
        <w:ind w:firstLine="640" w:firstLineChars="200"/>
        <w:rPr>
          <w:rFonts w:ascii="仿宋_GB2312" w:hAnsi="仿宋_GB2312" w:eastAsia="仿宋_GB2312" w:cs="仿宋_GB2312"/>
          <w:sz w:val="32"/>
          <w:szCs w:val="32"/>
        </w:rPr>
      </w:pPr>
    </w:p>
    <w:p w14:paraId="1F96AC98">
      <w:pPr>
        <w:spacing w:line="540" w:lineRule="exact"/>
        <w:rPr>
          <w:rFonts w:ascii="小标宋" w:hAnsi="黑体" w:eastAsia="小标宋" w:cs="方正小标宋简体"/>
          <w:sz w:val="44"/>
          <w:szCs w:val="44"/>
        </w:rPr>
      </w:pPr>
      <w:r>
        <w:rPr>
          <w:rFonts w:hint="eastAsia" w:ascii="小标宋" w:hAnsi="黑体" w:eastAsia="小标宋" w:cs="方正小标宋简体"/>
          <w:sz w:val="44"/>
          <w:szCs w:val="44"/>
        </w:rPr>
        <w:t>2020年度医疗救助转移支付绩效评价报告</w:t>
      </w:r>
    </w:p>
    <w:p w14:paraId="4566585D">
      <w:pPr>
        <w:spacing w:line="540" w:lineRule="exact"/>
        <w:ind w:firstLine="880" w:firstLineChars="200"/>
        <w:jc w:val="center"/>
        <w:rPr>
          <w:rFonts w:ascii="仿宋_GB2312" w:hAnsi="方正小标宋简体" w:eastAsia="仿宋_GB2312" w:cs="方正小标宋简体"/>
          <w:sz w:val="44"/>
          <w:szCs w:val="44"/>
        </w:rPr>
      </w:pPr>
    </w:p>
    <w:p w14:paraId="2F1F17B0">
      <w:pPr>
        <w:spacing w:line="540" w:lineRule="exact"/>
        <w:ind w:firstLine="880" w:firstLineChars="200"/>
        <w:jc w:val="center"/>
        <w:rPr>
          <w:rFonts w:ascii="仿宋_GB2312" w:hAnsi="方正小标宋简体" w:eastAsia="仿宋_GB2312" w:cs="方正小标宋简体"/>
          <w:sz w:val="44"/>
          <w:szCs w:val="44"/>
        </w:rPr>
      </w:pPr>
    </w:p>
    <w:p w14:paraId="5483821E">
      <w:pPr>
        <w:spacing w:line="540" w:lineRule="exact"/>
        <w:ind w:firstLine="640" w:firstLineChars="200"/>
        <w:jc w:val="left"/>
        <w:rPr>
          <w:rFonts w:ascii="仿宋_GB2312" w:hAnsi="方正小标宋简体" w:eastAsia="仿宋_GB2312" w:cs="方正小标宋简体"/>
          <w:sz w:val="32"/>
          <w:szCs w:val="32"/>
        </w:rPr>
      </w:pPr>
      <w:r>
        <w:rPr>
          <w:rFonts w:hint="eastAsia" w:ascii="仿宋" w:hAnsi="仿宋" w:eastAsia="仿宋" w:cs="方正小标宋简体"/>
          <w:sz w:val="32"/>
          <w:szCs w:val="32"/>
        </w:rPr>
        <w:t>根据财政部、民政部《城乡医疗救助基金管理办法》和</w:t>
      </w:r>
      <w:r>
        <w:rPr>
          <w:rFonts w:hint="eastAsia" w:ascii="仿宋" w:hAnsi="仿宋" w:eastAsia="仿宋"/>
          <w:sz w:val="32"/>
          <w:szCs w:val="32"/>
        </w:rPr>
        <w:t>四川省财政厅等部门《关于印发&lt;四川省中央和省级财政医疗救助补助资金管理办法&gt;的通知》（川财社【2020】66号）</w:t>
      </w:r>
      <w:r>
        <w:rPr>
          <w:rFonts w:hint="eastAsia" w:ascii="仿宋" w:hAnsi="仿宋" w:eastAsia="仿宋" w:cs="方正小标宋简体"/>
          <w:sz w:val="32"/>
          <w:szCs w:val="32"/>
        </w:rPr>
        <w:t>规定，现将我县城乡医疗救助（以下简称医疗救助）转移支付资金2020年度绩效情况报告如下：</w:t>
      </w:r>
    </w:p>
    <w:p w14:paraId="1B2A9108">
      <w:pPr>
        <w:spacing w:line="54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42B61183">
      <w:pPr>
        <w:spacing w:line="540" w:lineRule="exact"/>
        <w:ind w:firstLine="640" w:firstLineChars="200"/>
        <w:rPr>
          <w:rFonts w:ascii="楷体" w:hAnsi="楷体" w:eastAsia="楷体"/>
          <w:b/>
          <w:sz w:val="32"/>
          <w:szCs w:val="32"/>
        </w:rPr>
      </w:pPr>
      <w:r>
        <w:rPr>
          <w:rFonts w:hint="eastAsia" w:ascii="楷体" w:hAnsi="楷体" w:eastAsia="楷体"/>
          <w:b/>
          <w:sz w:val="32"/>
          <w:szCs w:val="32"/>
        </w:rPr>
        <w:t>（一）项目总体情况。</w:t>
      </w:r>
    </w:p>
    <w:p w14:paraId="751E2547">
      <w:pPr>
        <w:spacing w:line="540" w:lineRule="exact"/>
        <w:ind w:firstLine="640" w:firstLineChars="200"/>
        <w:rPr>
          <w:rFonts w:ascii="仿宋" w:hAnsi="仿宋" w:eastAsia="仿宋"/>
          <w:sz w:val="32"/>
          <w:szCs w:val="32"/>
        </w:rPr>
      </w:pPr>
      <w:r>
        <w:rPr>
          <w:rFonts w:hint="eastAsia" w:ascii="仿宋_GB2312" w:hAnsi="楷体" w:eastAsia="仿宋_GB2312" w:cs="楷体_GB2312"/>
          <w:b/>
          <w:bCs/>
          <w:sz w:val="32"/>
          <w:szCs w:val="32"/>
        </w:rPr>
        <w:t>1.</w:t>
      </w:r>
      <w:r>
        <w:rPr>
          <w:rFonts w:hint="eastAsia" w:ascii="仿宋_GB2312" w:eastAsia="仿宋_GB2312"/>
          <w:b/>
          <w:sz w:val="32"/>
          <w:szCs w:val="32"/>
        </w:rPr>
        <w:t xml:space="preserve"> 项目背景。</w:t>
      </w:r>
      <w:r>
        <w:rPr>
          <w:rFonts w:hint="eastAsia" w:ascii="仿宋" w:hAnsi="仿宋" w:eastAsia="仿宋"/>
          <w:sz w:val="32"/>
          <w:szCs w:val="32"/>
        </w:rPr>
        <w:t>医疗救助2019年3月由民政部门转隶到医疗保障部门。医疗救助是针对城乡困难群众实施的专项社会救助工作。指导思想是以健全社会救助体系、保障困难群众基本医疗权益为目标，进一步健全工作机制，完善政策措施，强化规范管理，加强统筹衔接，不断提高医疗救助管理服务水平，最大限度减轻困难群众医疗费用支出负担。医疗救助基本原则</w:t>
      </w:r>
      <w:r>
        <w:rPr>
          <w:rFonts w:hint="eastAsia" w:ascii="仿宋" w:hAnsi="仿宋" w:eastAsia="仿宋"/>
          <w:b/>
          <w:sz w:val="32"/>
          <w:szCs w:val="32"/>
        </w:rPr>
        <w:t>一是托住底线，</w:t>
      </w:r>
      <w:r>
        <w:rPr>
          <w:rFonts w:hint="eastAsia" w:ascii="仿宋" w:hAnsi="仿宋" w:eastAsia="仿宋"/>
          <w:sz w:val="32"/>
          <w:szCs w:val="32"/>
        </w:rPr>
        <w:t>确保救助对象获得必需的基本医疗卫生服务；救助水平与经济社会发展水平相适应。</w:t>
      </w:r>
      <w:r>
        <w:rPr>
          <w:rFonts w:hint="eastAsia" w:ascii="仿宋" w:hAnsi="仿宋" w:eastAsia="仿宋"/>
          <w:b/>
          <w:sz w:val="32"/>
          <w:szCs w:val="32"/>
        </w:rPr>
        <w:t>二是统筹衔接，</w:t>
      </w:r>
      <w:r>
        <w:rPr>
          <w:rFonts w:hint="eastAsia" w:ascii="仿宋" w:hAnsi="仿宋" w:eastAsia="仿宋"/>
          <w:sz w:val="32"/>
          <w:szCs w:val="32"/>
        </w:rPr>
        <w:t>推进医疗救助制度城乡统筹发展，加强与基本医疗保险、城乡居民大病保险、疾病应急救助及各类补充医疗保险、商业保险等制度的有效衔接，形成制度合力。</w:t>
      </w:r>
      <w:r>
        <w:rPr>
          <w:rFonts w:hint="eastAsia" w:ascii="仿宋" w:hAnsi="仿宋" w:eastAsia="仿宋"/>
          <w:b/>
          <w:sz w:val="32"/>
          <w:szCs w:val="32"/>
        </w:rPr>
        <w:t>三是公开公正，</w:t>
      </w:r>
      <w:r>
        <w:rPr>
          <w:rFonts w:hint="eastAsia" w:ascii="仿宋" w:hAnsi="仿宋" w:eastAsia="仿宋"/>
          <w:sz w:val="32"/>
          <w:szCs w:val="32"/>
        </w:rPr>
        <w:t>公开救助政策、工作程序、救助情况，主动接受群众和社会监督，确保过程公开透明、结果公平公正。</w:t>
      </w:r>
      <w:r>
        <w:rPr>
          <w:rFonts w:hint="eastAsia" w:ascii="仿宋" w:hAnsi="仿宋" w:eastAsia="仿宋"/>
          <w:b/>
          <w:sz w:val="32"/>
          <w:szCs w:val="32"/>
        </w:rPr>
        <w:t>四是高效便捷，</w:t>
      </w:r>
      <w:r>
        <w:rPr>
          <w:rFonts w:hint="eastAsia" w:ascii="仿宋" w:hAnsi="仿宋" w:eastAsia="仿宋"/>
          <w:sz w:val="32"/>
          <w:szCs w:val="32"/>
        </w:rPr>
        <w:t>优化救助流程，简化结算程序，加快信息化建设，增强救助时效。</w:t>
      </w:r>
    </w:p>
    <w:p w14:paraId="79A3DDB6">
      <w:pPr>
        <w:spacing w:line="540" w:lineRule="exact"/>
        <w:ind w:firstLine="640" w:firstLineChars="200"/>
        <w:rPr>
          <w:rFonts w:ascii="仿宋_GB2312" w:hAnsi="楷体" w:eastAsia="仿宋_GB2312" w:cs="楷体_GB2312"/>
          <w:b/>
          <w:bCs/>
          <w:sz w:val="32"/>
          <w:szCs w:val="32"/>
        </w:rPr>
      </w:pPr>
      <w:r>
        <w:rPr>
          <w:rFonts w:hint="eastAsia" w:ascii="仿宋" w:hAnsi="仿宋" w:eastAsia="仿宋"/>
          <w:b/>
          <w:sz w:val="32"/>
          <w:szCs w:val="32"/>
        </w:rPr>
        <w:t>2.</w:t>
      </w:r>
      <w:r>
        <w:rPr>
          <w:rFonts w:hint="eastAsia" w:ascii="仿宋_GB2312" w:eastAsia="仿宋_GB2312"/>
          <w:b/>
          <w:sz w:val="32"/>
          <w:szCs w:val="32"/>
        </w:rPr>
        <w:t>救助对象。</w:t>
      </w:r>
      <w:r>
        <w:rPr>
          <w:rFonts w:hint="eastAsia" w:ascii="仿宋" w:hAnsi="仿宋" w:eastAsia="仿宋"/>
          <w:sz w:val="32"/>
          <w:szCs w:val="32"/>
        </w:rPr>
        <w:t>医疗救助对象主要是城乡特困人员、城乡低保、城市低收入、脱贫攻坚对象、非建档立卡特殊困难户，以及县政府认定的其他社会救助对象等。</w:t>
      </w:r>
    </w:p>
    <w:p w14:paraId="71EA3A20">
      <w:pPr>
        <w:spacing w:line="540" w:lineRule="exact"/>
        <w:ind w:firstLine="640" w:firstLineChars="200"/>
        <w:rPr>
          <w:rFonts w:ascii="仿宋_GB2312" w:eastAsia="仿宋_GB2312"/>
          <w:sz w:val="32"/>
          <w:szCs w:val="32"/>
        </w:rPr>
      </w:pPr>
      <w:r>
        <w:rPr>
          <w:rFonts w:hint="eastAsia" w:ascii="仿宋_GB2312" w:eastAsia="仿宋_GB2312"/>
          <w:b/>
          <w:sz w:val="32"/>
          <w:szCs w:val="32"/>
        </w:rPr>
        <w:t>3.主要内容。</w:t>
      </w:r>
      <w:r>
        <w:rPr>
          <w:rFonts w:hint="eastAsia" w:ascii="仿宋" w:hAnsi="仿宋" w:eastAsia="仿宋"/>
          <w:color w:val="000000" w:themeColor="text1"/>
          <w:sz w:val="32"/>
          <w:szCs w:val="32"/>
        </w:rPr>
        <w:t>医疗救助的主要内容是资助参保、住院救助、门诊救助。</w:t>
      </w:r>
    </w:p>
    <w:p w14:paraId="064FD721">
      <w:pPr>
        <w:spacing w:line="540" w:lineRule="exact"/>
        <w:ind w:firstLine="640" w:firstLineChars="200"/>
        <w:rPr>
          <w:rFonts w:ascii="仿宋" w:hAnsi="仿宋" w:eastAsia="仿宋" w:cs="仿宋_GB2312"/>
          <w:sz w:val="32"/>
          <w:szCs w:val="32"/>
        </w:rPr>
      </w:pPr>
      <w:r>
        <w:rPr>
          <w:rFonts w:hint="eastAsia" w:ascii="仿宋_GB2312" w:eastAsia="仿宋_GB2312"/>
          <w:b/>
          <w:sz w:val="32"/>
          <w:szCs w:val="32"/>
        </w:rPr>
        <w:t>4.资金分解下达。</w:t>
      </w:r>
      <w:r>
        <w:rPr>
          <w:rFonts w:hint="eastAsia" w:ascii="仿宋" w:hAnsi="仿宋" w:eastAsia="仿宋" w:cs="楷体_GB2312"/>
          <w:bCs/>
          <w:sz w:val="32"/>
          <w:szCs w:val="32"/>
        </w:rPr>
        <w:t>2020年，中央、</w:t>
      </w:r>
      <w:r>
        <w:rPr>
          <w:rFonts w:hint="eastAsia" w:ascii="仿宋" w:hAnsi="仿宋" w:eastAsia="仿宋" w:cs="仿宋_GB2312"/>
          <w:sz w:val="32"/>
          <w:szCs w:val="32"/>
        </w:rPr>
        <w:t>省财政厅下达我县657.79万元，其中：中央财政补助资金516.25万元，省级财政补助资金141.54万元。2019年结余125.06万元，县级安排资金175.97万元。</w:t>
      </w:r>
    </w:p>
    <w:p w14:paraId="0604D8AF">
      <w:pPr>
        <w:tabs>
          <w:tab w:val="left" w:pos="-1560"/>
        </w:tabs>
        <w:spacing w:line="540" w:lineRule="exact"/>
        <w:ind w:firstLine="640" w:firstLineChars="200"/>
        <w:rPr>
          <w:rFonts w:ascii="楷体" w:hAnsi="楷体" w:eastAsia="楷体"/>
          <w:b/>
          <w:sz w:val="32"/>
          <w:szCs w:val="32"/>
        </w:rPr>
      </w:pPr>
      <w:r>
        <w:rPr>
          <w:rFonts w:hint="eastAsia" w:ascii="楷体" w:hAnsi="楷体" w:eastAsia="楷体"/>
          <w:b/>
          <w:sz w:val="32"/>
          <w:szCs w:val="32"/>
        </w:rPr>
        <w:t>（二）项目绩效目标</w:t>
      </w:r>
    </w:p>
    <w:p w14:paraId="2E0A3DA4">
      <w:pPr>
        <w:spacing w:line="540" w:lineRule="exact"/>
        <w:ind w:firstLine="640" w:firstLineChars="200"/>
        <w:rPr>
          <w:rFonts w:ascii="仿宋_GB2312" w:eastAsia="仿宋_GB2312"/>
          <w:sz w:val="32"/>
          <w:szCs w:val="32"/>
        </w:rPr>
      </w:pPr>
      <w:r>
        <w:rPr>
          <w:rFonts w:hint="eastAsia" w:ascii="仿宋_GB2312" w:eastAsia="仿宋_GB2312"/>
          <w:b/>
          <w:sz w:val="32"/>
          <w:szCs w:val="32"/>
        </w:rPr>
        <w:t>1.年度总体目标。</w:t>
      </w:r>
      <w:r>
        <w:rPr>
          <w:rFonts w:hint="eastAsia" w:ascii="仿宋" w:hAnsi="仿宋" w:eastAsia="仿宋"/>
          <w:sz w:val="32"/>
          <w:szCs w:val="32"/>
        </w:rPr>
        <w:t>持续做好困难群众的</w:t>
      </w:r>
      <w:r>
        <w:rPr>
          <w:rFonts w:hint="eastAsia" w:ascii="仿宋" w:hAnsi="仿宋" w:eastAsia="仿宋"/>
          <w:color w:val="000000" w:themeColor="text1"/>
          <w:sz w:val="32"/>
          <w:szCs w:val="32"/>
        </w:rPr>
        <w:t>资助参保、住院救助、门诊救助</w:t>
      </w:r>
      <w:r>
        <w:rPr>
          <w:rFonts w:hint="eastAsia" w:ascii="仿宋" w:hAnsi="仿宋" w:eastAsia="仿宋"/>
          <w:sz w:val="32"/>
          <w:szCs w:val="32"/>
        </w:rPr>
        <w:t>工作。重点救助对象自付医疗费用按规定年度限额内住院救助比例达到70%。强化医疗救助规范管理，有效化解不合理累计结余。</w:t>
      </w:r>
    </w:p>
    <w:p w14:paraId="0516CC21">
      <w:pPr>
        <w:spacing w:line="540" w:lineRule="exact"/>
        <w:ind w:firstLine="640" w:firstLineChars="200"/>
        <w:rPr>
          <w:rFonts w:ascii="仿宋_GB2312" w:eastAsia="仿宋_GB2312"/>
          <w:sz w:val="32"/>
          <w:szCs w:val="32"/>
        </w:rPr>
      </w:pPr>
      <w:r>
        <w:rPr>
          <w:rFonts w:hint="eastAsia" w:ascii="仿宋_GB2312" w:eastAsia="仿宋_GB2312"/>
          <w:b/>
          <w:sz w:val="32"/>
          <w:szCs w:val="32"/>
        </w:rPr>
        <w:t>2．具体绩效指标。</w:t>
      </w:r>
      <w:r>
        <w:rPr>
          <w:rFonts w:hint="eastAsia" w:ascii="仿宋" w:hAnsi="仿宋" w:eastAsia="仿宋"/>
          <w:sz w:val="32"/>
          <w:szCs w:val="32"/>
        </w:rPr>
        <w:t>我县2020年绩效评价指标包括产出指标、效益指标、满意度指标。</w:t>
      </w:r>
    </w:p>
    <w:p w14:paraId="1820EA1C">
      <w:pPr>
        <w:spacing w:line="540" w:lineRule="exact"/>
        <w:ind w:firstLine="640" w:firstLineChars="200"/>
        <w:rPr>
          <w:rFonts w:ascii="仿宋_GB2312" w:eastAsia="仿宋_GB2312"/>
          <w:b/>
          <w:sz w:val="32"/>
          <w:szCs w:val="32"/>
        </w:rPr>
      </w:pPr>
      <w:r>
        <w:rPr>
          <w:rFonts w:hint="eastAsia" w:ascii="仿宋_GB2312" w:eastAsia="仿宋_GB2312"/>
          <w:b/>
          <w:sz w:val="32"/>
          <w:szCs w:val="32"/>
        </w:rPr>
        <w:t>（1）产出指标：</w:t>
      </w:r>
    </w:p>
    <w:p w14:paraId="502E7F24">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数量指标：</w:t>
      </w:r>
      <w:r>
        <w:rPr>
          <w:rFonts w:hint="eastAsia" w:ascii="仿宋" w:hAnsi="仿宋" w:eastAsia="仿宋" w:cs="宋体"/>
          <w:kern w:val="0"/>
          <w:sz w:val="32"/>
          <w:szCs w:val="32"/>
        </w:rPr>
        <w:t>资助参保人次数</w:t>
      </w:r>
      <w:r>
        <w:rPr>
          <w:rFonts w:hint="eastAsia" w:ascii="仿宋" w:hAnsi="仿宋" w:eastAsia="仿宋" w:cs="宋体"/>
          <w:color w:val="000000"/>
          <w:kern w:val="0"/>
          <w:sz w:val="32"/>
          <w:szCs w:val="32"/>
        </w:rPr>
        <w:t>11319人次，</w:t>
      </w:r>
      <w:r>
        <w:rPr>
          <w:rFonts w:hint="eastAsia" w:ascii="仿宋" w:hAnsi="仿宋" w:eastAsia="仿宋" w:cs="宋体"/>
          <w:kern w:val="0"/>
          <w:sz w:val="32"/>
          <w:szCs w:val="32"/>
        </w:rPr>
        <w:t>住院救助人次数</w:t>
      </w:r>
      <w:r>
        <w:rPr>
          <w:rFonts w:hint="eastAsia" w:ascii="仿宋" w:hAnsi="仿宋" w:eastAsia="仿宋" w:cs="宋体"/>
          <w:color w:val="000000"/>
          <w:kern w:val="0"/>
          <w:sz w:val="32"/>
          <w:szCs w:val="32"/>
        </w:rPr>
        <w:t>9931人次，</w:t>
      </w:r>
      <w:r>
        <w:rPr>
          <w:rFonts w:hint="eastAsia" w:ascii="仿宋" w:hAnsi="仿宋" w:eastAsia="仿宋" w:cs="宋体"/>
          <w:kern w:val="0"/>
          <w:sz w:val="32"/>
          <w:szCs w:val="32"/>
        </w:rPr>
        <w:t>门诊救助人次数</w:t>
      </w:r>
      <w:r>
        <w:rPr>
          <w:rFonts w:hint="eastAsia" w:ascii="仿宋" w:hAnsi="仿宋" w:eastAsia="仿宋" w:cs="宋体"/>
          <w:color w:val="000000"/>
          <w:kern w:val="0"/>
          <w:sz w:val="32"/>
          <w:szCs w:val="32"/>
        </w:rPr>
        <w:t>2503人次。</w:t>
      </w:r>
    </w:p>
    <w:p w14:paraId="65BBA63F">
      <w:pPr>
        <w:spacing w:line="540" w:lineRule="exact"/>
        <w:ind w:firstLine="640" w:firstLineChars="200"/>
        <w:rPr>
          <w:rFonts w:ascii="仿宋" w:hAnsi="仿宋" w:eastAsia="仿宋" w:cs="宋体"/>
          <w:color w:val="000000"/>
          <w:kern w:val="0"/>
          <w:sz w:val="32"/>
          <w:szCs w:val="32"/>
        </w:rPr>
      </w:pPr>
      <w:r>
        <w:rPr>
          <w:rFonts w:hint="eastAsia" w:ascii="仿宋_GB2312" w:hAnsi="宋体" w:eastAsia="仿宋_GB2312" w:cs="宋体"/>
          <w:kern w:val="0"/>
          <w:sz w:val="32"/>
          <w:szCs w:val="32"/>
        </w:rPr>
        <w:t>质量指标：</w:t>
      </w:r>
      <w:r>
        <w:rPr>
          <w:rFonts w:hint="eastAsia" w:ascii="仿宋" w:hAnsi="仿宋" w:eastAsia="仿宋" w:cs="宋体"/>
          <w:kern w:val="0"/>
          <w:sz w:val="32"/>
          <w:szCs w:val="32"/>
        </w:rPr>
        <w:t>门诊救助</w:t>
      </w:r>
      <w:r>
        <w:rPr>
          <w:rFonts w:hint="eastAsia" w:ascii="仿宋" w:hAnsi="仿宋" w:eastAsia="仿宋" w:cs="宋体"/>
          <w:color w:val="000000"/>
          <w:kern w:val="0"/>
          <w:sz w:val="32"/>
          <w:szCs w:val="32"/>
        </w:rPr>
        <w:t>为一次性发放，</w:t>
      </w:r>
      <w:r>
        <w:rPr>
          <w:rFonts w:hint="eastAsia" w:ascii="仿宋" w:hAnsi="仿宋" w:eastAsia="仿宋" w:cs="宋体"/>
          <w:kern w:val="0"/>
          <w:sz w:val="32"/>
          <w:szCs w:val="32"/>
        </w:rPr>
        <w:t>住院医疗费用救助比例</w:t>
      </w:r>
      <w:r>
        <w:rPr>
          <w:rFonts w:hint="eastAsia" w:ascii="仿宋" w:hAnsi="仿宋" w:eastAsia="仿宋" w:cs="宋体"/>
          <w:color w:val="000000"/>
          <w:kern w:val="0"/>
          <w:sz w:val="32"/>
          <w:szCs w:val="32"/>
        </w:rPr>
        <w:t>不低于70%，</w:t>
      </w:r>
      <w:r>
        <w:rPr>
          <w:rFonts w:hint="eastAsia" w:ascii="仿宋" w:hAnsi="仿宋" w:eastAsia="仿宋" w:cs="宋体"/>
          <w:kern w:val="0"/>
          <w:sz w:val="32"/>
          <w:szCs w:val="32"/>
        </w:rPr>
        <w:t>重点救助对象自付费用按规定年度限</w:t>
      </w:r>
      <w:r>
        <w:rPr>
          <w:rFonts w:hint="eastAsia" w:ascii="仿宋" w:hAnsi="仿宋" w:eastAsia="仿宋" w:cs="宋体"/>
          <w:color w:val="000000"/>
          <w:kern w:val="0"/>
          <w:sz w:val="32"/>
          <w:szCs w:val="32"/>
        </w:rPr>
        <w:t>额内住院救助比例不低于70%。</w:t>
      </w:r>
    </w:p>
    <w:p w14:paraId="053D1D7C">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实效指标：</w:t>
      </w:r>
      <w:r>
        <w:rPr>
          <w:rFonts w:hint="eastAsia" w:ascii="仿宋" w:hAnsi="仿宋" w:eastAsia="仿宋" w:cs="宋体"/>
          <w:kern w:val="0"/>
          <w:sz w:val="32"/>
          <w:szCs w:val="32"/>
        </w:rPr>
        <w:t>医疗救助“一单制”即时结算覆盖率</w:t>
      </w:r>
      <w:r>
        <w:rPr>
          <w:rFonts w:hint="eastAsia" w:ascii="仿宋" w:hAnsi="仿宋" w:eastAsia="仿宋" w:cs="宋体"/>
          <w:color w:val="000000"/>
          <w:kern w:val="0"/>
          <w:sz w:val="32"/>
          <w:szCs w:val="32"/>
        </w:rPr>
        <w:t>100%。</w:t>
      </w:r>
    </w:p>
    <w:p w14:paraId="19B54689">
      <w:pPr>
        <w:spacing w:line="54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（2）效益指标：</w:t>
      </w:r>
    </w:p>
    <w:p w14:paraId="7417901A">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经济效益指标：</w:t>
      </w:r>
      <w:r>
        <w:rPr>
          <w:rFonts w:hint="eastAsia" w:ascii="仿宋" w:hAnsi="仿宋" w:eastAsia="仿宋" w:cs="宋体"/>
          <w:kern w:val="0"/>
          <w:sz w:val="32"/>
          <w:szCs w:val="32"/>
        </w:rPr>
        <w:t>不合理累计结余减少程度100%。</w:t>
      </w:r>
    </w:p>
    <w:p w14:paraId="06BEFA4F">
      <w:pPr>
        <w:spacing w:line="540" w:lineRule="exact"/>
        <w:ind w:firstLine="640" w:firstLineChars="200"/>
        <w:rPr>
          <w:rFonts w:ascii="仿宋" w:hAnsi="仿宋" w:eastAsia="仿宋" w:cs="宋体"/>
          <w:color w:val="000000"/>
          <w:kern w:val="0"/>
          <w:sz w:val="32"/>
          <w:szCs w:val="32"/>
        </w:rPr>
      </w:pPr>
      <w:r>
        <w:rPr>
          <w:rFonts w:hint="eastAsia" w:ascii="仿宋_GB2312" w:hAnsi="宋体" w:eastAsia="仿宋_GB2312" w:cs="宋体"/>
          <w:kern w:val="0"/>
          <w:sz w:val="32"/>
          <w:szCs w:val="32"/>
        </w:rPr>
        <w:t>社会效益指标：</w:t>
      </w:r>
      <w:r>
        <w:rPr>
          <w:rFonts w:hint="eastAsia" w:ascii="仿宋" w:hAnsi="仿宋" w:eastAsia="仿宋" w:cs="宋体"/>
          <w:kern w:val="0"/>
          <w:sz w:val="32"/>
          <w:szCs w:val="32"/>
        </w:rPr>
        <w:t>医疗救助对象覆盖范围</w:t>
      </w:r>
      <w:r>
        <w:rPr>
          <w:rFonts w:hint="eastAsia" w:ascii="仿宋" w:hAnsi="仿宋" w:eastAsia="仿宋" w:cs="宋体"/>
          <w:color w:val="000000"/>
          <w:kern w:val="0"/>
          <w:sz w:val="32"/>
          <w:szCs w:val="32"/>
        </w:rPr>
        <w:t>100%，</w:t>
      </w:r>
      <w:r>
        <w:rPr>
          <w:rFonts w:hint="eastAsia" w:ascii="仿宋" w:hAnsi="仿宋" w:eastAsia="仿宋" w:cs="宋体"/>
          <w:kern w:val="0"/>
          <w:sz w:val="32"/>
          <w:szCs w:val="32"/>
        </w:rPr>
        <w:t>困难群众看病就医方便程度</w:t>
      </w:r>
      <w:r>
        <w:rPr>
          <w:rFonts w:hint="eastAsia" w:ascii="仿宋" w:hAnsi="仿宋" w:eastAsia="仿宋" w:cs="宋体"/>
          <w:color w:val="000000"/>
          <w:kern w:val="0"/>
          <w:sz w:val="32"/>
          <w:szCs w:val="32"/>
        </w:rPr>
        <w:t>持续提高，</w:t>
      </w:r>
      <w:r>
        <w:rPr>
          <w:rFonts w:hint="eastAsia" w:ascii="仿宋" w:hAnsi="仿宋" w:eastAsia="仿宋" w:cs="宋体"/>
          <w:kern w:val="0"/>
          <w:sz w:val="32"/>
          <w:szCs w:val="32"/>
        </w:rPr>
        <w:t>对健全社会救助体系的影响具有</w:t>
      </w:r>
      <w:r>
        <w:rPr>
          <w:rFonts w:hint="eastAsia" w:ascii="仿宋" w:hAnsi="仿宋" w:eastAsia="仿宋" w:cs="宋体"/>
          <w:color w:val="000000"/>
          <w:kern w:val="0"/>
          <w:sz w:val="32"/>
          <w:szCs w:val="32"/>
        </w:rPr>
        <w:t>有效保障。</w:t>
      </w:r>
    </w:p>
    <w:p w14:paraId="010F38BD">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生态效益指标：</w:t>
      </w:r>
      <w:r>
        <w:rPr>
          <w:rFonts w:hint="eastAsia" w:ascii="仿宋" w:hAnsi="仿宋" w:eastAsia="仿宋" w:cs="宋体"/>
          <w:kern w:val="0"/>
          <w:sz w:val="32"/>
          <w:szCs w:val="32"/>
        </w:rPr>
        <w:t>困难群众医疗费用负担</w:t>
      </w:r>
      <w:r>
        <w:rPr>
          <w:rFonts w:hint="eastAsia" w:ascii="仿宋" w:hAnsi="仿宋" w:eastAsia="仿宋" w:cs="宋体"/>
          <w:color w:val="000000"/>
          <w:kern w:val="0"/>
          <w:sz w:val="32"/>
          <w:szCs w:val="32"/>
        </w:rPr>
        <w:t>有一定降低。</w:t>
      </w:r>
    </w:p>
    <w:p w14:paraId="3F57F1FB">
      <w:pPr>
        <w:spacing w:line="54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（3）满意度指标：</w:t>
      </w:r>
    </w:p>
    <w:p w14:paraId="53D54E7E">
      <w:pPr>
        <w:spacing w:line="540" w:lineRule="exact"/>
        <w:ind w:firstLine="640" w:firstLineChars="200"/>
        <w:rPr>
          <w:rFonts w:ascii="仿宋" w:hAnsi="仿宋" w:eastAsia="仿宋" w:cs="Arial"/>
          <w:color w:val="000000"/>
          <w:kern w:val="0"/>
          <w:sz w:val="32"/>
          <w:szCs w:val="32"/>
        </w:rPr>
      </w:pPr>
      <w:r>
        <w:rPr>
          <w:rFonts w:hint="eastAsia" w:ascii="仿宋_GB2312" w:hAnsi="宋体" w:eastAsia="仿宋_GB2312" w:cs="宋体"/>
          <w:kern w:val="0"/>
          <w:sz w:val="32"/>
          <w:szCs w:val="32"/>
        </w:rPr>
        <w:t>服务对象满意度：</w:t>
      </w:r>
      <w:r>
        <w:rPr>
          <w:rFonts w:hint="eastAsia" w:ascii="仿宋" w:hAnsi="仿宋" w:eastAsia="仿宋" w:cs="宋体"/>
          <w:kern w:val="0"/>
          <w:sz w:val="32"/>
          <w:szCs w:val="32"/>
        </w:rPr>
        <w:t>政策知晓率</w:t>
      </w:r>
      <w:r>
        <w:rPr>
          <w:rFonts w:hint="eastAsia" w:ascii="仿宋" w:hAnsi="仿宋" w:eastAsia="仿宋" w:cs="宋体"/>
          <w:color w:val="000000"/>
          <w:kern w:val="0"/>
          <w:sz w:val="32"/>
          <w:szCs w:val="32"/>
        </w:rPr>
        <w:t>大于等于</w:t>
      </w:r>
      <w:r>
        <w:rPr>
          <w:rFonts w:hint="eastAsia" w:ascii="仿宋" w:hAnsi="仿宋" w:eastAsia="仿宋" w:cs="Arial"/>
          <w:color w:val="000000"/>
          <w:kern w:val="0"/>
          <w:sz w:val="32"/>
          <w:szCs w:val="32"/>
        </w:rPr>
        <w:t>85%，</w:t>
      </w:r>
      <w:r>
        <w:rPr>
          <w:rFonts w:hint="eastAsia" w:ascii="仿宋" w:hAnsi="仿宋" w:eastAsia="仿宋" w:cs="宋体"/>
          <w:kern w:val="0"/>
          <w:sz w:val="32"/>
          <w:szCs w:val="32"/>
        </w:rPr>
        <w:t>救助对象满意度</w:t>
      </w:r>
      <w:r>
        <w:rPr>
          <w:rFonts w:hint="eastAsia" w:ascii="仿宋" w:hAnsi="仿宋" w:eastAsia="仿宋" w:cs="宋体"/>
          <w:color w:val="000000"/>
          <w:kern w:val="0"/>
          <w:sz w:val="32"/>
          <w:szCs w:val="32"/>
        </w:rPr>
        <w:t>大于等于90</w:t>
      </w:r>
      <w:r>
        <w:rPr>
          <w:rFonts w:hint="eastAsia" w:ascii="仿宋" w:hAnsi="仿宋" w:eastAsia="仿宋" w:cs="Arial"/>
          <w:color w:val="000000"/>
          <w:kern w:val="0"/>
          <w:sz w:val="32"/>
          <w:szCs w:val="32"/>
        </w:rPr>
        <w:t>%。</w:t>
      </w:r>
    </w:p>
    <w:p w14:paraId="67DB974B">
      <w:pPr>
        <w:spacing w:line="540" w:lineRule="exact"/>
        <w:ind w:firstLine="640" w:firstLineChars="200"/>
        <w:rPr>
          <w:rFonts w:ascii="仿宋" w:hAnsi="仿宋" w:eastAsia="仿宋" w:cs="Arial"/>
          <w:color w:val="000000"/>
          <w:kern w:val="0"/>
          <w:sz w:val="32"/>
          <w:szCs w:val="32"/>
        </w:rPr>
      </w:pPr>
    </w:p>
    <w:tbl>
      <w:tblPr>
        <w:tblStyle w:val="14"/>
        <w:tblW w:w="8659" w:type="dxa"/>
        <w:tblInd w:w="96" w:type="dxa"/>
        <w:tblLayout w:type="autofit"/>
        <w:tblCellMar>
          <w:top w:w="0" w:type="dxa"/>
          <w:left w:w="108" w:type="dxa"/>
          <w:bottom w:w="0" w:type="dxa"/>
          <w:right w:w="108" w:type="dxa"/>
        </w:tblCellMar>
      </w:tblPr>
      <w:tblGrid>
        <w:gridCol w:w="1040"/>
        <w:gridCol w:w="920"/>
        <w:gridCol w:w="1220"/>
        <w:gridCol w:w="3353"/>
        <w:gridCol w:w="2126"/>
      </w:tblGrid>
      <w:tr w14:paraId="7307FE55">
        <w:tblPrEx>
          <w:tblCellMar>
            <w:top w:w="0" w:type="dxa"/>
            <w:left w:w="108" w:type="dxa"/>
            <w:bottom w:w="0" w:type="dxa"/>
            <w:right w:w="108" w:type="dxa"/>
          </w:tblCellMar>
        </w:tblPrEx>
        <w:trPr>
          <w:trHeight w:val="360" w:hRule="atLeast"/>
        </w:trPr>
        <w:tc>
          <w:tcPr>
            <w:tcW w:w="8659" w:type="dxa"/>
            <w:gridSpan w:val="5"/>
            <w:tcBorders>
              <w:top w:val="nil"/>
              <w:left w:val="nil"/>
              <w:bottom w:val="nil"/>
              <w:right w:val="nil"/>
            </w:tcBorders>
            <w:shd w:val="clear" w:color="auto" w:fill="auto"/>
            <w:vAlign w:val="center"/>
          </w:tcPr>
          <w:p w14:paraId="0BD5E3A2">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医疗救助补助资金市（州）区域绩效目标评价表</w:t>
            </w:r>
          </w:p>
        </w:tc>
      </w:tr>
      <w:tr w14:paraId="518BED67">
        <w:tblPrEx>
          <w:tblCellMar>
            <w:top w:w="0" w:type="dxa"/>
            <w:left w:w="108" w:type="dxa"/>
            <w:bottom w:w="0" w:type="dxa"/>
            <w:right w:w="108" w:type="dxa"/>
          </w:tblCellMar>
        </w:tblPrEx>
        <w:trPr>
          <w:trHeight w:val="318" w:hRule="atLeast"/>
        </w:trPr>
        <w:tc>
          <w:tcPr>
            <w:tcW w:w="8659" w:type="dxa"/>
            <w:gridSpan w:val="5"/>
            <w:tcBorders>
              <w:top w:val="nil"/>
              <w:left w:val="nil"/>
              <w:bottom w:val="single" w:color="auto" w:sz="4" w:space="0"/>
              <w:right w:val="nil"/>
            </w:tcBorders>
            <w:shd w:val="clear" w:color="auto" w:fill="auto"/>
            <w:vAlign w:val="center"/>
          </w:tcPr>
          <w:p w14:paraId="3CE0E377">
            <w:pPr>
              <w:widowControl/>
              <w:jc w:val="center"/>
              <w:rPr>
                <w:rFonts w:ascii="宋体" w:hAnsi="宋体" w:cs="宋体"/>
                <w:kern w:val="0"/>
                <w:sz w:val="22"/>
                <w:szCs w:val="22"/>
              </w:rPr>
            </w:pPr>
            <w:r>
              <w:rPr>
                <w:rFonts w:hint="eastAsia" w:ascii="宋体" w:hAnsi="宋体" w:cs="宋体"/>
                <w:kern w:val="0"/>
                <w:sz w:val="22"/>
                <w:szCs w:val="22"/>
              </w:rPr>
              <w:t>（2021年度）</w:t>
            </w:r>
          </w:p>
        </w:tc>
      </w:tr>
      <w:tr w14:paraId="28F84A00">
        <w:tblPrEx>
          <w:tblCellMar>
            <w:top w:w="0" w:type="dxa"/>
            <w:left w:w="108" w:type="dxa"/>
            <w:bottom w:w="0" w:type="dxa"/>
            <w:right w:w="108" w:type="dxa"/>
          </w:tblCellMar>
        </w:tblPrEx>
        <w:trPr>
          <w:trHeight w:val="42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2BE56F91">
            <w:pPr>
              <w:widowControl/>
              <w:jc w:val="center"/>
              <w:rPr>
                <w:rFonts w:ascii="宋体" w:hAnsi="宋体" w:cs="宋体"/>
                <w:kern w:val="0"/>
                <w:sz w:val="20"/>
                <w:szCs w:val="20"/>
              </w:rPr>
            </w:pPr>
            <w:r>
              <w:rPr>
                <w:rFonts w:hint="eastAsia" w:ascii="宋体" w:hAnsi="宋体" w:cs="宋体"/>
                <w:kern w:val="0"/>
                <w:sz w:val="20"/>
                <w:szCs w:val="20"/>
              </w:rPr>
              <w:t>专项名称</w:t>
            </w:r>
          </w:p>
        </w:tc>
        <w:tc>
          <w:tcPr>
            <w:tcW w:w="7619" w:type="dxa"/>
            <w:gridSpan w:val="4"/>
            <w:tcBorders>
              <w:top w:val="single" w:color="auto" w:sz="4" w:space="0"/>
              <w:left w:val="nil"/>
              <w:bottom w:val="single" w:color="auto" w:sz="4" w:space="0"/>
              <w:right w:val="single" w:color="000000" w:sz="4" w:space="0"/>
            </w:tcBorders>
            <w:shd w:val="clear" w:color="auto" w:fill="auto"/>
            <w:vAlign w:val="center"/>
          </w:tcPr>
          <w:p w14:paraId="36E1EE8C">
            <w:pPr>
              <w:widowControl/>
              <w:jc w:val="center"/>
              <w:rPr>
                <w:rFonts w:ascii="宋体" w:hAnsi="宋体" w:cs="宋体"/>
                <w:kern w:val="0"/>
                <w:sz w:val="20"/>
                <w:szCs w:val="20"/>
              </w:rPr>
            </w:pPr>
            <w:r>
              <w:rPr>
                <w:rFonts w:hint="eastAsia" w:ascii="宋体" w:hAnsi="宋体" w:cs="宋体"/>
                <w:kern w:val="0"/>
                <w:sz w:val="20"/>
                <w:szCs w:val="20"/>
              </w:rPr>
              <w:t>2021年医疗救助补助资金</w:t>
            </w:r>
          </w:p>
        </w:tc>
      </w:tr>
      <w:tr w14:paraId="20420052">
        <w:tblPrEx>
          <w:tblCellMar>
            <w:top w:w="0" w:type="dxa"/>
            <w:left w:w="108" w:type="dxa"/>
            <w:bottom w:w="0" w:type="dxa"/>
            <w:right w:w="108" w:type="dxa"/>
          </w:tblCellMar>
        </w:tblPrEx>
        <w:trPr>
          <w:trHeight w:val="42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3EF5CD94">
            <w:pPr>
              <w:widowControl/>
              <w:jc w:val="center"/>
              <w:rPr>
                <w:rFonts w:ascii="宋体" w:hAnsi="宋体" w:cs="宋体"/>
                <w:kern w:val="0"/>
                <w:sz w:val="20"/>
                <w:szCs w:val="20"/>
              </w:rPr>
            </w:pPr>
            <w:r>
              <w:rPr>
                <w:rFonts w:hint="eastAsia" w:ascii="宋体" w:hAnsi="宋体" w:cs="宋体"/>
                <w:kern w:val="0"/>
                <w:sz w:val="20"/>
                <w:szCs w:val="20"/>
              </w:rPr>
              <w:t>市县</w:t>
            </w:r>
          </w:p>
        </w:tc>
        <w:tc>
          <w:tcPr>
            <w:tcW w:w="7619" w:type="dxa"/>
            <w:gridSpan w:val="4"/>
            <w:tcBorders>
              <w:top w:val="single" w:color="auto" w:sz="4" w:space="0"/>
              <w:left w:val="nil"/>
              <w:bottom w:val="single" w:color="auto" w:sz="4" w:space="0"/>
              <w:right w:val="single" w:color="000000" w:sz="4" w:space="0"/>
            </w:tcBorders>
            <w:shd w:val="clear" w:color="auto" w:fill="auto"/>
            <w:vAlign w:val="center"/>
          </w:tcPr>
          <w:p w14:paraId="20D7DB3A">
            <w:pPr>
              <w:widowControl/>
              <w:jc w:val="center"/>
              <w:rPr>
                <w:rFonts w:ascii="宋体" w:hAnsi="宋体" w:cs="宋体"/>
                <w:kern w:val="0"/>
                <w:sz w:val="20"/>
                <w:szCs w:val="20"/>
              </w:rPr>
            </w:pPr>
            <w:r>
              <w:rPr>
                <w:rFonts w:hint="eastAsia" w:ascii="宋体" w:hAnsi="宋体" w:cs="宋体"/>
                <w:kern w:val="0"/>
                <w:sz w:val="20"/>
                <w:szCs w:val="20"/>
              </w:rPr>
              <w:t>米易县</w:t>
            </w:r>
          </w:p>
        </w:tc>
      </w:tr>
      <w:tr w14:paraId="28ECBA5C">
        <w:tblPrEx>
          <w:tblCellMar>
            <w:top w:w="0" w:type="dxa"/>
            <w:left w:w="108" w:type="dxa"/>
            <w:bottom w:w="0" w:type="dxa"/>
            <w:right w:w="108" w:type="dxa"/>
          </w:tblCellMar>
        </w:tblPrEx>
        <w:trPr>
          <w:trHeight w:val="48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412D91B1">
            <w:pPr>
              <w:widowControl/>
              <w:jc w:val="center"/>
              <w:rPr>
                <w:rFonts w:ascii="宋体" w:hAnsi="宋体" w:cs="宋体"/>
                <w:kern w:val="0"/>
                <w:sz w:val="20"/>
                <w:szCs w:val="20"/>
              </w:rPr>
            </w:pPr>
            <w:r>
              <w:rPr>
                <w:rFonts w:hint="eastAsia" w:ascii="宋体" w:hAnsi="宋体" w:cs="宋体"/>
                <w:kern w:val="0"/>
                <w:sz w:val="20"/>
                <w:szCs w:val="20"/>
              </w:rPr>
              <w:t>市县级财政部门</w:t>
            </w:r>
          </w:p>
        </w:tc>
        <w:tc>
          <w:tcPr>
            <w:tcW w:w="7619" w:type="dxa"/>
            <w:gridSpan w:val="4"/>
            <w:tcBorders>
              <w:top w:val="single" w:color="auto" w:sz="4" w:space="0"/>
              <w:left w:val="nil"/>
              <w:bottom w:val="single" w:color="auto" w:sz="4" w:space="0"/>
              <w:right w:val="single" w:color="000000" w:sz="4" w:space="0"/>
            </w:tcBorders>
            <w:shd w:val="clear" w:color="auto" w:fill="auto"/>
            <w:vAlign w:val="center"/>
          </w:tcPr>
          <w:p w14:paraId="249C8E80">
            <w:pPr>
              <w:widowControl/>
              <w:jc w:val="center"/>
              <w:rPr>
                <w:rFonts w:ascii="宋体" w:hAnsi="宋体" w:cs="宋体"/>
                <w:kern w:val="0"/>
                <w:sz w:val="20"/>
                <w:szCs w:val="20"/>
              </w:rPr>
            </w:pPr>
            <w:r>
              <w:rPr>
                <w:rFonts w:hint="eastAsia" w:ascii="宋体" w:hAnsi="宋体" w:cs="宋体"/>
                <w:kern w:val="0"/>
                <w:sz w:val="20"/>
                <w:szCs w:val="20"/>
              </w:rPr>
              <w:t>米易县财政局</w:t>
            </w:r>
          </w:p>
        </w:tc>
      </w:tr>
      <w:tr w14:paraId="1C289FE9">
        <w:tblPrEx>
          <w:tblCellMar>
            <w:top w:w="0" w:type="dxa"/>
            <w:left w:w="108" w:type="dxa"/>
            <w:bottom w:w="0" w:type="dxa"/>
            <w:right w:w="108" w:type="dxa"/>
          </w:tblCellMar>
        </w:tblPrEx>
        <w:trPr>
          <w:trHeight w:val="645"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3B791215">
            <w:pPr>
              <w:widowControl/>
              <w:jc w:val="center"/>
              <w:rPr>
                <w:rFonts w:ascii="宋体" w:hAnsi="宋体" w:cs="宋体"/>
                <w:kern w:val="0"/>
                <w:sz w:val="20"/>
                <w:szCs w:val="20"/>
              </w:rPr>
            </w:pPr>
            <w:r>
              <w:rPr>
                <w:rFonts w:hint="eastAsia" w:ascii="宋体" w:hAnsi="宋体" w:cs="宋体"/>
                <w:kern w:val="0"/>
                <w:sz w:val="20"/>
                <w:szCs w:val="20"/>
              </w:rPr>
              <w:t>市县级业务主管部门</w:t>
            </w:r>
          </w:p>
        </w:tc>
        <w:tc>
          <w:tcPr>
            <w:tcW w:w="7619" w:type="dxa"/>
            <w:gridSpan w:val="4"/>
            <w:tcBorders>
              <w:top w:val="single" w:color="auto" w:sz="4" w:space="0"/>
              <w:left w:val="nil"/>
              <w:bottom w:val="single" w:color="auto" w:sz="4" w:space="0"/>
              <w:right w:val="single" w:color="000000" w:sz="4" w:space="0"/>
            </w:tcBorders>
            <w:shd w:val="clear" w:color="auto" w:fill="auto"/>
            <w:vAlign w:val="center"/>
          </w:tcPr>
          <w:p w14:paraId="634BB1FE">
            <w:pPr>
              <w:widowControl/>
              <w:jc w:val="center"/>
              <w:rPr>
                <w:rFonts w:ascii="宋体" w:hAnsi="宋体" w:cs="宋体"/>
                <w:kern w:val="0"/>
                <w:sz w:val="20"/>
                <w:szCs w:val="20"/>
              </w:rPr>
            </w:pPr>
            <w:r>
              <w:rPr>
                <w:rFonts w:hint="eastAsia" w:ascii="宋体" w:hAnsi="宋体" w:cs="宋体"/>
                <w:kern w:val="0"/>
                <w:sz w:val="20"/>
                <w:szCs w:val="20"/>
              </w:rPr>
              <w:t>米易县医疗保障局</w:t>
            </w:r>
          </w:p>
        </w:tc>
      </w:tr>
      <w:tr w14:paraId="3DD8151C">
        <w:tblPrEx>
          <w:tblCellMar>
            <w:top w:w="0" w:type="dxa"/>
            <w:left w:w="108" w:type="dxa"/>
            <w:bottom w:w="0" w:type="dxa"/>
            <w:right w:w="108" w:type="dxa"/>
          </w:tblCellMar>
        </w:tblPrEx>
        <w:trPr>
          <w:trHeight w:val="420" w:hRule="atLeast"/>
        </w:trPr>
        <w:tc>
          <w:tcPr>
            <w:tcW w:w="1040" w:type="dxa"/>
            <w:vMerge w:val="restart"/>
            <w:tcBorders>
              <w:top w:val="nil"/>
              <w:left w:val="single" w:color="auto" w:sz="4" w:space="0"/>
              <w:bottom w:val="single" w:color="000000" w:sz="4" w:space="0"/>
              <w:right w:val="single" w:color="auto" w:sz="4" w:space="0"/>
            </w:tcBorders>
            <w:shd w:val="clear" w:color="auto" w:fill="auto"/>
            <w:vAlign w:val="center"/>
          </w:tcPr>
          <w:p w14:paraId="58CB2BBA">
            <w:pPr>
              <w:widowControl/>
              <w:jc w:val="center"/>
              <w:rPr>
                <w:rFonts w:ascii="宋体" w:hAnsi="宋体" w:cs="宋体"/>
                <w:kern w:val="0"/>
                <w:sz w:val="20"/>
                <w:szCs w:val="20"/>
              </w:rPr>
            </w:pPr>
            <w:r>
              <w:rPr>
                <w:rFonts w:hint="eastAsia" w:ascii="宋体" w:hAnsi="宋体" w:cs="宋体"/>
                <w:kern w:val="0"/>
                <w:sz w:val="20"/>
                <w:szCs w:val="20"/>
              </w:rPr>
              <w:t>资金情况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14:paraId="1C6BFF4B">
            <w:pPr>
              <w:widowControl/>
              <w:jc w:val="center"/>
              <w:rPr>
                <w:rFonts w:ascii="宋体" w:hAnsi="宋体" w:cs="宋体"/>
                <w:kern w:val="0"/>
                <w:sz w:val="20"/>
                <w:szCs w:val="20"/>
              </w:rPr>
            </w:pPr>
            <w:r>
              <w:rPr>
                <w:rFonts w:hint="eastAsia" w:ascii="宋体" w:hAnsi="宋体" w:cs="宋体"/>
                <w:kern w:val="0"/>
                <w:sz w:val="20"/>
                <w:szCs w:val="20"/>
              </w:rPr>
              <w:t>年度金额：</w:t>
            </w:r>
          </w:p>
        </w:tc>
        <w:tc>
          <w:tcPr>
            <w:tcW w:w="5479" w:type="dxa"/>
            <w:gridSpan w:val="2"/>
            <w:tcBorders>
              <w:top w:val="single" w:color="auto" w:sz="4" w:space="0"/>
              <w:left w:val="nil"/>
              <w:bottom w:val="single" w:color="auto" w:sz="4" w:space="0"/>
              <w:right w:val="single" w:color="000000" w:sz="4" w:space="0"/>
            </w:tcBorders>
            <w:shd w:val="clear" w:color="auto" w:fill="auto"/>
            <w:vAlign w:val="center"/>
          </w:tcPr>
          <w:p w14:paraId="43196D99">
            <w:pPr>
              <w:widowControl/>
              <w:jc w:val="center"/>
              <w:rPr>
                <w:rFonts w:ascii="宋体" w:hAnsi="宋体" w:cs="宋体"/>
                <w:kern w:val="0"/>
                <w:sz w:val="20"/>
                <w:szCs w:val="20"/>
              </w:rPr>
            </w:pPr>
            <w:r>
              <w:rPr>
                <w:rFonts w:hint="eastAsia" w:ascii="宋体" w:hAnsi="宋体" w:cs="宋体"/>
                <w:kern w:val="0"/>
                <w:sz w:val="20"/>
                <w:szCs w:val="20"/>
              </w:rPr>
              <w:t>531.46</w:t>
            </w:r>
          </w:p>
        </w:tc>
      </w:tr>
      <w:tr w14:paraId="68148321">
        <w:tblPrEx>
          <w:tblCellMar>
            <w:top w:w="0" w:type="dxa"/>
            <w:left w:w="108" w:type="dxa"/>
            <w:bottom w:w="0" w:type="dxa"/>
            <w:right w:w="108" w:type="dxa"/>
          </w:tblCellMar>
        </w:tblPrEx>
        <w:trPr>
          <w:trHeight w:val="420" w:hRule="atLeast"/>
        </w:trPr>
        <w:tc>
          <w:tcPr>
            <w:tcW w:w="1040" w:type="dxa"/>
            <w:vMerge w:val="continue"/>
            <w:tcBorders>
              <w:top w:val="nil"/>
              <w:left w:val="single" w:color="auto" w:sz="4" w:space="0"/>
              <w:bottom w:val="single" w:color="000000" w:sz="4" w:space="0"/>
              <w:right w:val="single" w:color="auto" w:sz="4" w:space="0"/>
            </w:tcBorders>
            <w:vAlign w:val="center"/>
          </w:tcPr>
          <w:p w14:paraId="582629A0">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14:paraId="65870615">
            <w:pPr>
              <w:widowControl/>
              <w:jc w:val="center"/>
              <w:rPr>
                <w:rFonts w:ascii="宋体" w:hAnsi="宋体" w:cs="宋体"/>
                <w:kern w:val="0"/>
                <w:sz w:val="20"/>
                <w:szCs w:val="20"/>
              </w:rPr>
            </w:pPr>
            <w:r>
              <w:rPr>
                <w:rFonts w:hint="eastAsia" w:ascii="宋体" w:hAnsi="宋体" w:cs="宋体"/>
                <w:kern w:val="0"/>
                <w:sz w:val="20"/>
                <w:szCs w:val="20"/>
              </w:rPr>
              <w:t>其中：中央资金</w:t>
            </w:r>
          </w:p>
        </w:tc>
        <w:tc>
          <w:tcPr>
            <w:tcW w:w="5479" w:type="dxa"/>
            <w:gridSpan w:val="2"/>
            <w:tcBorders>
              <w:top w:val="single" w:color="auto" w:sz="4" w:space="0"/>
              <w:left w:val="nil"/>
              <w:bottom w:val="single" w:color="auto" w:sz="4" w:space="0"/>
              <w:right w:val="single" w:color="000000" w:sz="4" w:space="0"/>
            </w:tcBorders>
            <w:shd w:val="clear" w:color="auto" w:fill="auto"/>
            <w:vAlign w:val="center"/>
          </w:tcPr>
          <w:p w14:paraId="44597A5F">
            <w:pPr>
              <w:widowControl/>
              <w:jc w:val="center"/>
              <w:rPr>
                <w:rFonts w:ascii="宋体" w:hAnsi="宋体" w:cs="宋体"/>
                <w:kern w:val="0"/>
                <w:sz w:val="20"/>
                <w:szCs w:val="20"/>
              </w:rPr>
            </w:pPr>
            <w:r>
              <w:rPr>
                <w:rFonts w:hint="eastAsia" w:ascii="宋体" w:hAnsi="宋体" w:cs="宋体"/>
                <w:kern w:val="0"/>
                <w:sz w:val="20"/>
                <w:szCs w:val="20"/>
              </w:rPr>
              <w:t>445.28</w:t>
            </w:r>
          </w:p>
        </w:tc>
      </w:tr>
      <w:tr w14:paraId="1610BD68">
        <w:tblPrEx>
          <w:tblCellMar>
            <w:top w:w="0" w:type="dxa"/>
            <w:left w:w="108" w:type="dxa"/>
            <w:bottom w:w="0" w:type="dxa"/>
            <w:right w:w="108" w:type="dxa"/>
          </w:tblCellMar>
        </w:tblPrEx>
        <w:trPr>
          <w:trHeight w:val="420" w:hRule="atLeast"/>
        </w:trPr>
        <w:tc>
          <w:tcPr>
            <w:tcW w:w="1040" w:type="dxa"/>
            <w:vMerge w:val="continue"/>
            <w:tcBorders>
              <w:top w:val="nil"/>
              <w:left w:val="single" w:color="auto" w:sz="4" w:space="0"/>
              <w:bottom w:val="single" w:color="000000" w:sz="4" w:space="0"/>
              <w:right w:val="single" w:color="auto" w:sz="4" w:space="0"/>
            </w:tcBorders>
            <w:vAlign w:val="center"/>
          </w:tcPr>
          <w:p w14:paraId="12EA5E34">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14:paraId="72CAE02D">
            <w:pPr>
              <w:widowControl/>
              <w:jc w:val="center"/>
              <w:rPr>
                <w:rFonts w:ascii="宋体" w:hAnsi="宋体" w:cs="宋体"/>
                <w:kern w:val="0"/>
                <w:sz w:val="20"/>
                <w:szCs w:val="20"/>
              </w:rPr>
            </w:pPr>
            <w:r>
              <w:rPr>
                <w:rFonts w:hint="eastAsia" w:ascii="宋体" w:hAnsi="宋体" w:cs="宋体"/>
                <w:kern w:val="0"/>
                <w:sz w:val="20"/>
                <w:szCs w:val="20"/>
              </w:rPr>
              <w:t>省级资金</w:t>
            </w:r>
          </w:p>
        </w:tc>
        <w:tc>
          <w:tcPr>
            <w:tcW w:w="5479" w:type="dxa"/>
            <w:gridSpan w:val="2"/>
            <w:tcBorders>
              <w:top w:val="single" w:color="auto" w:sz="4" w:space="0"/>
              <w:left w:val="nil"/>
              <w:bottom w:val="single" w:color="auto" w:sz="4" w:space="0"/>
              <w:right w:val="single" w:color="000000" w:sz="4" w:space="0"/>
            </w:tcBorders>
            <w:shd w:val="clear" w:color="auto" w:fill="auto"/>
            <w:vAlign w:val="center"/>
          </w:tcPr>
          <w:p w14:paraId="7F74900D">
            <w:pPr>
              <w:widowControl/>
              <w:jc w:val="center"/>
              <w:rPr>
                <w:rFonts w:ascii="宋体" w:hAnsi="宋体" w:cs="宋体"/>
                <w:kern w:val="0"/>
                <w:sz w:val="20"/>
                <w:szCs w:val="20"/>
              </w:rPr>
            </w:pPr>
            <w:r>
              <w:rPr>
                <w:rFonts w:hint="eastAsia" w:ascii="宋体" w:hAnsi="宋体" w:cs="宋体"/>
                <w:kern w:val="0"/>
                <w:sz w:val="20"/>
                <w:szCs w:val="20"/>
              </w:rPr>
              <w:t>86.18</w:t>
            </w:r>
          </w:p>
        </w:tc>
      </w:tr>
      <w:tr w14:paraId="55251FBE">
        <w:tblPrEx>
          <w:tblCellMar>
            <w:top w:w="0" w:type="dxa"/>
            <w:left w:w="108" w:type="dxa"/>
            <w:bottom w:w="0" w:type="dxa"/>
            <w:right w:w="108" w:type="dxa"/>
          </w:tblCellMar>
        </w:tblPrEx>
        <w:trPr>
          <w:trHeight w:val="420" w:hRule="atLeast"/>
        </w:trPr>
        <w:tc>
          <w:tcPr>
            <w:tcW w:w="1040" w:type="dxa"/>
            <w:vMerge w:val="continue"/>
            <w:tcBorders>
              <w:top w:val="nil"/>
              <w:left w:val="single" w:color="auto" w:sz="4" w:space="0"/>
              <w:bottom w:val="single" w:color="000000" w:sz="4" w:space="0"/>
              <w:right w:val="single" w:color="auto" w:sz="4" w:space="0"/>
            </w:tcBorders>
            <w:vAlign w:val="center"/>
          </w:tcPr>
          <w:p w14:paraId="795674D0">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14:paraId="5980A798">
            <w:pPr>
              <w:widowControl/>
              <w:jc w:val="left"/>
              <w:rPr>
                <w:rFonts w:ascii="宋体" w:hAnsi="宋体" w:cs="宋体"/>
                <w:kern w:val="0"/>
                <w:sz w:val="20"/>
                <w:szCs w:val="20"/>
              </w:rPr>
            </w:pPr>
            <w:r>
              <w:rPr>
                <w:rFonts w:hint="eastAsia" w:ascii="宋体" w:hAnsi="宋体" w:cs="宋体"/>
                <w:kern w:val="0"/>
                <w:sz w:val="20"/>
                <w:szCs w:val="20"/>
              </w:rPr>
              <w:t xml:space="preserve">      市县资金</w:t>
            </w:r>
          </w:p>
        </w:tc>
        <w:tc>
          <w:tcPr>
            <w:tcW w:w="5479" w:type="dxa"/>
            <w:gridSpan w:val="2"/>
            <w:tcBorders>
              <w:top w:val="single" w:color="auto" w:sz="4" w:space="0"/>
              <w:left w:val="nil"/>
              <w:bottom w:val="single" w:color="auto" w:sz="4" w:space="0"/>
              <w:right w:val="single" w:color="000000" w:sz="4" w:space="0"/>
            </w:tcBorders>
            <w:shd w:val="clear" w:color="auto" w:fill="auto"/>
            <w:vAlign w:val="center"/>
          </w:tcPr>
          <w:p w14:paraId="302078EA">
            <w:pPr>
              <w:widowControl/>
              <w:jc w:val="center"/>
              <w:rPr>
                <w:rFonts w:ascii="宋体" w:hAnsi="宋体" w:cs="宋体"/>
                <w:kern w:val="0"/>
                <w:sz w:val="20"/>
                <w:szCs w:val="20"/>
              </w:rPr>
            </w:pPr>
            <w:r>
              <w:rPr>
                <w:rFonts w:hint="eastAsia" w:ascii="宋体" w:hAnsi="宋体" w:cs="宋体"/>
                <w:kern w:val="0"/>
                <w:sz w:val="20"/>
                <w:szCs w:val="20"/>
              </w:rPr>
              <w:t>　</w:t>
            </w:r>
          </w:p>
        </w:tc>
      </w:tr>
      <w:tr w14:paraId="40D860CC">
        <w:tblPrEx>
          <w:tblCellMar>
            <w:top w:w="0" w:type="dxa"/>
            <w:left w:w="108" w:type="dxa"/>
            <w:bottom w:w="0" w:type="dxa"/>
            <w:right w:w="108" w:type="dxa"/>
          </w:tblCellMar>
        </w:tblPrEx>
        <w:trPr>
          <w:trHeight w:val="420" w:hRule="atLeast"/>
        </w:trPr>
        <w:tc>
          <w:tcPr>
            <w:tcW w:w="1040" w:type="dxa"/>
            <w:vMerge w:val="continue"/>
            <w:tcBorders>
              <w:top w:val="nil"/>
              <w:left w:val="single" w:color="auto" w:sz="4" w:space="0"/>
              <w:bottom w:val="single" w:color="000000" w:sz="4" w:space="0"/>
              <w:right w:val="single" w:color="auto" w:sz="4" w:space="0"/>
            </w:tcBorders>
            <w:vAlign w:val="center"/>
          </w:tcPr>
          <w:p w14:paraId="38C604CA">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14:paraId="7B25C32F">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5479" w:type="dxa"/>
            <w:gridSpan w:val="2"/>
            <w:tcBorders>
              <w:top w:val="single" w:color="auto" w:sz="4" w:space="0"/>
              <w:left w:val="nil"/>
              <w:bottom w:val="single" w:color="auto" w:sz="4" w:space="0"/>
              <w:right w:val="single" w:color="000000" w:sz="4" w:space="0"/>
            </w:tcBorders>
            <w:shd w:val="clear" w:color="auto" w:fill="auto"/>
            <w:vAlign w:val="center"/>
          </w:tcPr>
          <w:p w14:paraId="63915B37">
            <w:pPr>
              <w:widowControl/>
              <w:jc w:val="center"/>
              <w:rPr>
                <w:rFonts w:ascii="宋体" w:hAnsi="宋体" w:cs="宋体"/>
                <w:kern w:val="0"/>
                <w:sz w:val="20"/>
                <w:szCs w:val="20"/>
              </w:rPr>
            </w:pPr>
            <w:r>
              <w:rPr>
                <w:rFonts w:hint="eastAsia" w:ascii="宋体" w:hAnsi="宋体" w:cs="宋体"/>
                <w:kern w:val="0"/>
                <w:sz w:val="20"/>
                <w:szCs w:val="20"/>
              </w:rPr>
              <w:t>　</w:t>
            </w:r>
          </w:p>
        </w:tc>
      </w:tr>
      <w:tr w14:paraId="37BD7F4A">
        <w:tblPrEx>
          <w:tblCellMar>
            <w:top w:w="0" w:type="dxa"/>
            <w:left w:w="108" w:type="dxa"/>
            <w:bottom w:w="0" w:type="dxa"/>
            <w:right w:w="108" w:type="dxa"/>
          </w:tblCellMar>
        </w:tblPrEx>
        <w:trPr>
          <w:trHeight w:val="117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2B6495BD">
            <w:pPr>
              <w:widowControl/>
              <w:jc w:val="center"/>
              <w:rPr>
                <w:rFonts w:ascii="宋体" w:hAnsi="宋体" w:cs="宋体"/>
                <w:kern w:val="0"/>
                <w:sz w:val="20"/>
                <w:szCs w:val="20"/>
              </w:rPr>
            </w:pPr>
            <w:r>
              <w:rPr>
                <w:rFonts w:hint="eastAsia" w:ascii="宋体" w:hAnsi="宋体" w:cs="宋体"/>
                <w:kern w:val="0"/>
                <w:sz w:val="20"/>
                <w:szCs w:val="20"/>
              </w:rPr>
              <w:t>总体目标</w:t>
            </w:r>
          </w:p>
        </w:tc>
        <w:tc>
          <w:tcPr>
            <w:tcW w:w="7619" w:type="dxa"/>
            <w:gridSpan w:val="4"/>
            <w:tcBorders>
              <w:top w:val="single" w:color="auto" w:sz="4" w:space="0"/>
              <w:left w:val="nil"/>
              <w:bottom w:val="single" w:color="auto" w:sz="4" w:space="0"/>
              <w:right w:val="single" w:color="000000" w:sz="4" w:space="0"/>
            </w:tcBorders>
            <w:shd w:val="clear" w:color="auto" w:fill="auto"/>
            <w:vAlign w:val="center"/>
          </w:tcPr>
          <w:p w14:paraId="19AE22ED">
            <w:pPr>
              <w:widowControl/>
              <w:jc w:val="left"/>
              <w:rPr>
                <w:rFonts w:ascii="宋体" w:hAnsi="宋体" w:cs="宋体"/>
                <w:kern w:val="0"/>
                <w:sz w:val="20"/>
                <w:szCs w:val="20"/>
              </w:rPr>
            </w:pPr>
            <w:r>
              <w:rPr>
                <w:rFonts w:hint="eastAsia" w:ascii="宋体" w:hAnsi="宋体" w:cs="宋体"/>
                <w:kern w:val="0"/>
                <w:sz w:val="20"/>
                <w:szCs w:val="20"/>
              </w:rPr>
              <w:t>与彩票公益金统筹使用，通过实施城乡医疗救助，开展重特大疾病医疗救助工作，将符合条件的救助对象按规定纳入救助范围，重点对象自付费用年度限额内住院救助比例达到70%，符合条件的农村低收入人口资助参保政策覆盖率达99%以上。</w:t>
            </w:r>
          </w:p>
        </w:tc>
      </w:tr>
      <w:tr w14:paraId="2D026C5B">
        <w:tblPrEx>
          <w:tblCellMar>
            <w:top w:w="0" w:type="dxa"/>
            <w:left w:w="108" w:type="dxa"/>
            <w:bottom w:w="0" w:type="dxa"/>
            <w:right w:w="108" w:type="dxa"/>
          </w:tblCellMar>
        </w:tblPrEx>
        <w:trPr>
          <w:trHeight w:val="480" w:hRule="atLeast"/>
        </w:trPr>
        <w:tc>
          <w:tcPr>
            <w:tcW w:w="1040" w:type="dxa"/>
            <w:vMerge w:val="restart"/>
            <w:tcBorders>
              <w:top w:val="nil"/>
              <w:left w:val="single" w:color="auto" w:sz="4" w:space="0"/>
              <w:bottom w:val="single" w:color="auto" w:sz="4" w:space="0"/>
              <w:right w:val="single" w:color="auto" w:sz="4" w:space="0"/>
            </w:tcBorders>
            <w:shd w:val="clear" w:color="auto" w:fill="auto"/>
            <w:vAlign w:val="center"/>
          </w:tcPr>
          <w:p w14:paraId="11C97C9D">
            <w:pPr>
              <w:widowControl/>
              <w:jc w:val="center"/>
              <w:rPr>
                <w:rFonts w:ascii="宋体" w:hAnsi="宋体" w:cs="宋体"/>
                <w:kern w:val="0"/>
                <w:sz w:val="20"/>
                <w:szCs w:val="20"/>
              </w:rPr>
            </w:pPr>
            <w:r>
              <w:rPr>
                <w:rFonts w:hint="eastAsia" w:ascii="宋体" w:hAnsi="宋体" w:cs="宋体"/>
                <w:kern w:val="0"/>
                <w:sz w:val="20"/>
                <w:szCs w:val="20"/>
              </w:rPr>
              <w:t>绩效指标</w:t>
            </w:r>
          </w:p>
        </w:tc>
        <w:tc>
          <w:tcPr>
            <w:tcW w:w="920" w:type="dxa"/>
            <w:tcBorders>
              <w:top w:val="nil"/>
              <w:left w:val="nil"/>
              <w:bottom w:val="single" w:color="auto" w:sz="4" w:space="0"/>
              <w:right w:val="single" w:color="auto" w:sz="4" w:space="0"/>
            </w:tcBorders>
            <w:shd w:val="clear" w:color="auto" w:fill="auto"/>
            <w:vAlign w:val="center"/>
          </w:tcPr>
          <w:p w14:paraId="34E3575D">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20" w:type="dxa"/>
            <w:tcBorders>
              <w:top w:val="nil"/>
              <w:left w:val="nil"/>
              <w:bottom w:val="single" w:color="auto" w:sz="4" w:space="0"/>
              <w:right w:val="single" w:color="auto" w:sz="4" w:space="0"/>
            </w:tcBorders>
            <w:shd w:val="clear" w:color="auto" w:fill="auto"/>
            <w:vAlign w:val="center"/>
          </w:tcPr>
          <w:p w14:paraId="1CC55501">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3353" w:type="dxa"/>
            <w:tcBorders>
              <w:top w:val="single" w:color="auto" w:sz="4" w:space="0"/>
              <w:left w:val="nil"/>
              <w:bottom w:val="single" w:color="auto" w:sz="4" w:space="0"/>
              <w:right w:val="single" w:color="000000" w:sz="4" w:space="0"/>
            </w:tcBorders>
            <w:shd w:val="clear" w:color="auto" w:fill="auto"/>
            <w:vAlign w:val="center"/>
          </w:tcPr>
          <w:p w14:paraId="7B02DCCA">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26" w:type="dxa"/>
            <w:tcBorders>
              <w:top w:val="nil"/>
              <w:left w:val="nil"/>
              <w:bottom w:val="single" w:color="auto" w:sz="4" w:space="0"/>
              <w:right w:val="single" w:color="auto" w:sz="4" w:space="0"/>
            </w:tcBorders>
            <w:shd w:val="clear" w:color="auto" w:fill="auto"/>
            <w:vAlign w:val="center"/>
          </w:tcPr>
          <w:p w14:paraId="2DA55024">
            <w:pPr>
              <w:widowControl/>
              <w:jc w:val="center"/>
              <w:rPr>
                <w:rFonts w:ascii="宋体" w:hAnsi="宋体" w:cs="宋体"/>
                <w:kern w:val="0"/>
                <w:sz w:val="20"/>
                <w:szCs w:val="20"/>
              </w:rPr>
            </w:pPr>
            <w:r>
              <w:rPr>
                <w:rFonts w:hint="eastAsia" w:ascii="宋体" w:hAnsi="宋体" w:cs="宋体"/>
                <w:kern w:val="0"/>
                <w:sz w:val="20"/>
                <w:szCs w:val="20"/>
              </w:rPr>
              <w:t>指标值</w:t>
            </w:r>
          </w:p>
        </w:tc>
      </w:tr>
      <w:tr w14:paraId="199D3089">
        <w:tblPrEx>
          <w:tblCellMar>
            <w:top w:w="0" w:type="dxa"/>
            <w:left w:w="108" w:type="dxa"/>
            <w:bottom w:w="0" w:type="dxa"/>
            <w:right w:w="108" w:type="dxa"/>
          </w:tblCellMar>
        </w:tblPrEx>
        <w:trPr>
          <w:trHeight w:val="1320" w:hRule="atLeast"/>
        </w:trPr>
        <w:tc>
          <w:tcPr>
            <w:tcW w:w="1040" w:type="dxa"/>
            <w:vMerge w:val="continue"/>
            <w:tcBorders>
              <w:top w:val="nil"/>
              <w:left w:val="single" w:color="auto" w:sz="4" w:space="0"/>
              <w:bottom w:val="single" w:color="auto" w:sz="4" w:space="0"/>
              <w:right w:val="single" w:color="auto" w:sz="4" w:space="0"/>
            </w:tcBorders>
            <w:vAlign w:val="center"/>
          </w:tcPr>
          <w:p w14:paraId="408459E2">
            <w:pPr>
              <w:widowControl/>
              <w:jc w:val="left"/>
              <w:rPr>
                <w:rFonts w:ascii="宋体" w:hAnsi="宋体" w:cs="宋体"/>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14:paraId="1C1C128A">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220" w:type="dxa"/>
            <w:tcBorders>
              <w:top w:val="nil"/>
              <w:left w:val="nil"/>
              <w:bottom w:val="single" w:color="auto" w:sz="4" w:space="0"/>
              <w:right w:val="single" w:color="auto" w:sz="4" w:space="0"/>
            </w:tcBorders>
            <w:shd w:val="clear" w:color="auto" w:fill="auto"/>
            <w:vAlign w:val="center"/>
          </w:tcPr>
          <w:p w14:paraId="1B6B9855">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353" w:type="dxa"/>
            <w:tcBorders>
              <w:top w:val="single" w:color="auto" w:sz="4" w:space="0"/>
              <w:left w:val="nil"/>
              <w:bottom w:val="single" w:color="auto" w:sz="4" w:space="0"/>
              <w:right w:val="single" w:color="000000" w:sz="4" w:space="0"/>
            </w:tcBorders>
            <w:shd w:val="clear" w:color="auto" w:fill="auto"/>
            <w:vAlign w:val="center"/>
          </w:tcPr>
          <w:p w14:paraId="46AEA6A8">
            <w:pPr>
              <w:widowControl/>
              <w:jc w:val="center"/>
              <w:rPr>
                <w:rFonts w:ascii="宋体" w:hAnsi="宋体" w:cs="宋体"/>
                <w:kern w:val="0"/>
                <w:sz w:val="20"/>
                <w:szCs w:val="20"/>
              </w:rPr>
            </w:pPr>
            <w:r>
              <w:rPr>
                <w:rFonts w:hint="eastAsia" w:ascii="宋体" w:hAnsi="宋体" w:cs="宋体"/>
                <w:kern w:val="0"/>
                <w:sz w:val="20"/>
                <w:szCs w:val="20"/>
              </w:rPr>
              <w:t>医疗救助对象人次规模</w:t>
            </w:r>
          </w:p>
        </w:tc>
        <w:tc>
          <w:tcPr>
            <w:tcW w:w="2126" w:type="dxa"/>
            <w:tcBorders>
              <w:top w:val="nil"/>
              <w:left w:val="nil"/>
              <w:bottom w:val="single" w:color="auto" w:sz="4" w:space="0"/>
              <w:right w:val="single" w:color="auto" w:sz="4" w:space="0"/>
            </w:tcBorders>
            <w:shd w:val="clear" w:color="auto" w:fill="auto"/>
            <w:vAlign w:val="center"/>
          </w:tcPr>
          <w:p w14:paraId="58C2EF97">
            <w:pPr>
              <w:widowControl/>
              <w:jc w:val="center"/>
              <w:rPr>
                <w:rFonts w:ascii="宋体" w:hAnsi="宋体" w:cs="宋体"/>
                <w:kern w:val="0"/>
                <w:sz w:val="20"/>
                <w:szCs w:val="20"/>
              </w:rPr>
            </w:pPr>
            <w:r>
              <w:rPr>
                <w:rFonts w:hint="eastAsia" w:ascii="宋体" w:hAnsi="宋体" w:cs="宋体"/>
                <w:kern w:val="0"/>
                <w:sz w:val="20"/>
                <w:szCs w:val="20"/>
              </w:rPr>
              <w:t>符合救助条件的低保、低收入、建档立卡贫困户、边缘易致贫户、特困供养人员等对象按规定纳入救助范围。</w:t>
            </w:r>
          </w:p>
        </w:tc>
      </w:tr>
      <w:tr w14:paraId="49008178">
        <w:tblPrEx>
          <w:tblCellMar>
            <w:top w:w="0" w:type="dxa"/>
            <w:left w:w="108" w:type="dxa"/>
            <w:bottom w:w="0" w:type="dxa"/>
            <w:right w:w="108" w:type="dxa"/>
          </w:tblCellMar>
        </w:tblPrEx>
        <w:trPr>
          <w:trHeight w:val="624" w:hRule="atLeast"/>
        </w:trPr>
        <w:tc>
          <w:tcPr>
            <w:tcW w:w="1040" w:type="dxa"/>
            <w:vMerge w:val="continue"/>
            <w:tcBorders>
              <w:top w:val="nil"/>
              <w:left w:val="single" w:color="auto" w:sz="4" w:space="0"/>
              <w:bottom w:val="single" w:color="auto" w:sz="4" w:space="0"/>
              <w:right w:val="single" w:color="auto" w:sz="4" w:space="0"/>
            </w:tcBorders>
            <w:vAlign w:val="center"/>
          </w:tcPr>
          <w:p w14:paraId="436AB0A4">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09714B50">
            <w:pPr>
              <w:widowControl/>
              <w:jc w:val="left"/>
              <w:rPr>
                <w:rFonts w:ascii="宋体" w:hAnsi="宋体" w:cs="宋体"/>
                <w:kern w:val="0"/>
                <w:sz w:val="20"/>
                <w:szCs w:val="20"/>
              </w:rPr>
            </w:pP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00F76404">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3353" w:type="dxa"/>
            <w:tcBorders>
              <w:top w:val="single" w:color="auto" w:sz="4" w:space="0"/>
              <w:left w:val="nil"/>
              <w:bottom w:val="single" w:color="auto" w:sz="4" w:space="0"/>
              <w:right w:val="single" w:color="000000" w:sz="4" w:space="0"/>
            </w:tcBorders>
            <w:shd w:val="clear" w:color="auto" w:fill="auto"/>
            <w:vAlign w:val="center"/>
          </w:tcPr>
          <w:p w14:paraId="7B2E3968">
            <w:pPr>
              <w:widowControl/>
              <w:jc w:val="center"/>
              <w:rPr>
                <w:rFonts w:ascii="宋体" w:hAnsi="宋体" w:cs="宋体"/>
                <w:kern w:val="0"/>
                <w:sz w:val="20"/>
                <w:szCs w:val="20"/>
              </w:rPr>
            </w:pPr>
            <w:r>
              <w:rPr>
                <w:rFonts w:hint="eastAsia" w:ascii="宋体" w:hAnsi="宋体" w:cs="宋体"/>
                <w:kern w:val="0"/>
                <w:sz w:val="20"/>
                <w:szCs w:val="20"/>
              </w:rPr>
              <w:t>重点救助对象政策范围内个人自付费用年度救助限额内住院救助比例</w:t>
            </w:r>
          </w:p>
        </w:tc>
        <w:tc>
          <w:tcPr>
            <w:tcW w:w="2126" w:type="dxa"/>
            <w:tcBorders>
              <w:top w:val="nil"/>
              <w:left w:val="nil"/>
              <w:bottom w:val="single" w:color="auto" w:sz="4" w:space="0"/>
              <w:right w:val="single" w:color="auto" w:sz="4" w:space="0"/>
            </w:tcBorders>
            <w:shd w:val="clear" w:color="000000" w:fill="FFFFFF"/>
            <w:vAlign w:val="center"/>
          </w:tcPr>
          <w:p w14:paraId="4F6357C9">
            <w:pPr>
              <w:widowControl/>
              <w:jc w:val="center"/>
              <w:rPr>
                <w:rFonts w:ascii="宋体" w:hAnsi="宋体" w:cs="宋体"/>
                <w:kern w:val="0"/>
                <w:sz w:val="20"/>
                <w:szCs w:val="20"/>
              </w:rPr>
            </w:pPr>
            <w:r>
              <w:rPr>
                <w:rFonts w:hint="eastAsia" w:ascii="宋体" w:hAnsi="宋体" w:cs="宋体"/>
                <w:kern w:val="0"/>
                <w:sz w:val="20"/>
                <w:szCs w:val="20"/>
              </w:rPr>
              <w:t>≥70%</w:t>
            </w:r>
          </w:p>
        </w:tc>
      </w:tr>
      <w:tr w14:paraId="2C8E33E2">
        <w:tblPrEx>
          <w:tblCellMar>
            <w:top w:w="0" w:type="dxa"/>
            <w:left w:w="108" w:type="dxa"/>
            <w:bottom w:w="0" w:type="dxa"/>
            <w:right w:w="108" w:type="dxa"/>
          </w:tblCellMar>
        </w:tblPrEx>
        <w:trPr>
          <w:trHeight w:val="564" w:hRule="atLeast"/>
        </w:trPr>
        <w:tc>
          <w:tcPr>
            <w:tcW w:w="1040" w:type="dxa"/>
            <w:vMerge w:val="continue"/>
            <w:tcBorders>
              <w:top w:val="nil"/>
              <w:left w:val="single" w:color="auto" w:sz="4" w:space="0"/>
              <w:bottom w:val="single" w:color="auto" w:sz="4" w:space="0"/>
              <w:right w:val="single" w:color="auto" w:sz="4" w:space="0"/>
            </w:tcBorders>
            <w:vAlign w:val="center"/>
          </w:tcPr>
          <w:p w14:paraId="4B8CEABE">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3E203B96">
            <w:pPr>
              <w:widowControl/>
              <w:jc w:val="left"/>
              <w:rPr>
                <w:rFonts w:ascii="宋体" w:hAnsi="宋体" w:cs="宋体"/>
                <w:kern w:val="0"/>
                <w:sz w:val="20"/>
                <w:szCs w:val="20"/>
              </w:rPr>
            </w:pPr>
          </w:p>
        </w:tc>
        <w:tc>
          <w:tcPr>
            <w:tcW w:w="1220" w:type="dxa"/>
            <w:vMerge w:val="continue"/>
            <w:tcBorders>
              <w:top w:val="nil"/>
              <w:left w:val="single" w:color="auto" w:sz="4" w:space="0"/>
              <w:bottom w:val="single" w:color="000000" w:sz="4" w:space="0"/>
              <w:right w:val="single" w:color="auto" w:sz="4" w:space="0"/>
            </w:tcBorders>
            <w:vAlign w:val="center"/>
          </w:tcPr>
          <w:p w14:paraId="5B0F6B6B">
            <w:pPr>
              <w:widowControl/>
              <w:jc w:val="left"/>
              <w:rPr>
                <w:rFonts w:ascii="宋体" w:hAnsi="宋体" w:cs="宋体"/>
                <w:kern w:val="0"/>
                <w:sz w:val="20"/>
                <w:szCs w:val="20"/>
              </w:rPr>
            </w:pPr>
          </w:p>
        </w:tc>
        <w:tc>
          <w:tcPr>
            <w:tcW w:w="3353" w:type="dxa"/>
            <w:tcBorders>
              <w:top w:val="single" w:color="auto" w:sz="4" w:space="0"/>
              <w:left w:val="nil"/>
              <w:bottom w:val="single" w:color="auto" w:sz="4" w:space="0"/>
              <w:right w:val="single" w:color="000000" w:sz="4" w:space="0"/>
            </w:tcBorders>
            <w:shd w:val="clear" w:color="auto" w:fill="auto"/>
            <w:vAlign w:val="center"/>
          </w:tcPr>
          <w:p w14:paraId="2AE66A28">
            <w:pPr>
              <w:widowControl/>
              <w:jc w:val="center"/>
              <w:rPr>
                <w:rFonts w:ascii="宋体" w:hAnsi="宋体" w:cs="宋体"/>
                <w:kern w:val="0"/>
                <w:sz w:val="20"/>
                <w:szCs w:val="20"/>
              </w:rPr>
            </w:pPr>
            <w:r>
              <w:rPr>
                <w:rFonts w:hint="eastAsia" w:ascii="宋体" w:hAnsi="宋体" w:cs="宋体"/>
                <w:kern w:val="0"/>
                <w:sz w:val="20"/>
                <w:szCs w:val="20"/>
              </w:rPr>
              <w:t>符合资助条件的农村低收入人口资助参保政策覆盖率</w:t>
            </w:r>
          </w:p>
        </w:tc>
        <w:tc>
          <w:tcPr>
            <w:tcW w:w="2126" w:type="dxa"/>
            <w:tcBorders>
              <w:top w:val="nil"/>
              <w:left w:val="nil"/>
              <w:bottom w:val="single" w:color="auto" w:sz="4" w:space="0"/>
              <w:right w:val="single" w:color="auto" w:sz="4" w:space="0"/>
            </w:tcBorders>
            <w:shd w:val="clear" w:color="000000" w:fill="FFFFFF"/>
            <w:vAlign w:val="center"/>
          </w:tcPr>
          <w:p w14:paraId="747C2AC7">
            <w:pPr>
              <w:widowControl/>
              <w:jc w:val="center"/>
              <w:rPr>
                <w:rFonts w:ascii="宋体" w:hAnsi="宋体" w:cs="宋体"/>
                <w:kern w:val="0"/>
                <w:sz w:val="20"/>
                <w:szCs w:val="20"/>
              </w:rPr>
            </w:pPr>
            <w:r>
              <w:rPr>
                <w:rFonts w:hint="eastAsia" w:ascii="宋体" w:hAnsi="宋体" w:cs="宋体"/>
                <w:kern w:val="0"/>
                <w:sz w:val="20"/>
                <w:szCs w:val="20"/>
              </w:rPr>
              <w:t>≥99%</w:t>
            </w:r>
          </w:p>
        </w:tc>
      </w:tr>
      <w:tr w14:paraId="73F53FDB">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697BE55C">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3FF572C4">
            <w:pPr>
              <w:widowControl/>
              <w:jc w:val="left"/>
              <w:rPr>
                <w:rFonts w:ascii="宋体" w:hAnsi="宋体" w:cs="宋体"/>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14:paraId="6F978995">
            <w:pPr>
              <w:widowControl/>
              <w:jc w:val="center"/>
              <w:rPr>
                <w:rFonts w:ascii="宋体" w:hAnsi="宋体" w:cs="宋体"/>
                <w:kern w:val="0"/>
                <w:sz w:val="20"/>
                <w:szCs w:val="20"/>
              </w:rPr>
            </w:pPr>
            <w:r>
              <w:rPr>
                <w:rFonts w:hint="eastAsia" w:ascii="宋体" w:hAnsi="宋体" w:cs="宋体"/>
                <w:kern w:val="0"/>
                <w:sz w:val="20"/>
                <w:szCs w:val="20"/>
              </w:rPr>
              <w:t>实效指标</w:t>
            </w:r>
          </w:p>
        </w:tc>
        <w:tc>
          <w:tcPr>
            <w:tcW w:w="3353" w:type="dxa"/>
            <w:tcBorders>
              <w:top w:val="single" w:color="auto" w:sz="4" w:space="0"/>
              <w:left w:val="nil"/>
              <w:bottom w:val="single" w:color="auto" w:sz="4" w:space="0"/>
              <w:right w:val="single" w:color="000000" w:sz="4" w:space="0"/>
            </w:tcBorders>
            <w:shd w:val="clear" w:color="auto" w:fill="auto"/>
            <w:vAlign w:val="center"/>
          </w:tcPr>
          <w:p w14:paraId="4D92B989">
            <w:pPr>
              <w:widowControl/>
              <w:jc w:val="center"/>
              <w:rPr>
                <w:rFonts w:ascii="宋体" w:hAnsi="宋体" w:cs="宋体"/>
                <w:kern w:val="0"/>
                <w:sz w:val="20"/>
                <w:szCs w:val="20"/>
              </w:rPr>
            </w:pPr>
            <w:r>
              <w:rPr>
                <w:rFonts w:hint="eastAsia" w:ascii="宋体" w:hAnsi="宋体" w:cs="宋体"/>
                <w:kern w:val="0"/>
                <w:sz w:val="20"/>
                <w:szCs w:val="20"/>
              </w:rPr>
              <w:t>市域内“一站式”即时结算覆盖率</w:t>
            </w:r>
          </w:p>
        </w:tc>
        <w:tc>
          <w:tcPr>
            <w:tcW w:w="2126" w:type="dxa"/>
            <w:tcBorders>
              <w:top w:val="nil"/>
              <w:left w:val="nil"/>
              <w:bottom w:val="single" w:color="auto" w:sz="4" w:space="0"/>
              <w:right w:val="single" w:color="auto" w:sz="4" w:space="0"/>
            </w:tcBorders>
            <w:shd w:val="clear" w:color="auto" w:fill="auto"/>
            <w:noWrap/>
            <w:vAlign w:val="center"/>
          </w:tcPr>
          <w:p w14:paraId="7B7BD8CC">
            <w:pPr>
              <w:widowControl/>
              <w:jc w:val="center"/>
              <w:rPr>
                <w:rFonts w:ascii="宋体" w:hAnsi="宋体" w:cs="宋体"/>
                <w:kern w:val="0"/>
                <w:sz w:val="24"/>
              </w:rPr>
            </w:pPr>
            <w:r>
              <w:rPr>
                <w:rFonts w:hint="eastAsia" w:ascii="宋体" w:hAnsi="宋体" w:cs="宋体"/>
                <w:kern w:val="0"/>
                <w:sz w:val="24"/>
              </w:rPr>
              <w:t>100%</w:t>
            </w:r>
          </w:p>
        </w:tc>
      </w:tr>
      <w:tr w14:paraId="651AA5B3">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4E095168">
            <w:pPr>
              <w:widowControl/>
              <w:jc w:val="left"/>
              <w:rPr>
                <w:rFonts w:ascii="宋体" w:hAnsi="宋体" w:cs="宋体"/>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14:paraId="36590E0D">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3C0095BB">
            <w:pPr>
              <w:widowControl/>
              <w:jc w:val="center"/>
              <w:rPr>
                <w:rFonts w:ascii="宋体" w:hAnsi="宋体" w:cs="宋体"/>
                <w:kern w:val="0"/>
                <w:sz w:val="20"/>
                <w:szCs w:val="20"/>
              </w:rPr>
            </w:pPr>
            <w:r>
              <w:rPr>
                <w:rFonts w:hint="eastAsia" w:ascii="宋体" w:hAnsi="宋体" w:cs="宋体"/>
                <w:kern w:val="0"/>
                <w:sz w:val="20"/>
                <w:szCs w:val="20"/>
              </w:rPr>
              <w:t>社会效益</w:t>
            </w:r>
          </w:p>
        </w:tc>
        <w:tc>
          <w:tcPr>
            <w:tcW w:w="3353" w:type="dxa"/>
            <w:tcBorders>
              <w:top w:val="single" w:color="auto" w:sz="4" w:space="0"/>
              <w:left w:val="nil"/>
              <w:bottom w:val="single" w:color="auto" w:sz="4" w:space="0"/>
              <w:right w:val="single" w:color="000000" w:sz="4" w:space="0"/>
            </w:tcBorders>
            <w:shd w:val="clear" w:color="auto" w:fill="auto"/>
            <w:vAlign w:val="center"/>
          </w:tcPr>
          <w:p w14:paraId="3F353281">
            <w:pPr>
              <w:widowControl/>
              <w:jc w:val="center"/>
              <w:rPr>
                <w:rFonts w:ascii="宋体" w:hAnsi="宋体" w:cs="宋体"/>
                <w:kern w:val="0"/>
                <w:sz w:val="20"/>
                <w:szCs w:val="20"/>
              </w:rPr>
            </w:pPr>
            <w:r>
              <w:rPr>
                <w:rFonts w:hint="eastAsia" w:ascii="宋体" w:hAnsi="宋体" w:cs="宋体"/>
                <w:kern w:val="0"/>
                <w:sz w:val="20"/>
                <w:szCs w:val="20"/>
              </w:rPr>
              <w:t>医疗救助对象覆盖范围</w:t>
            </w:r>
          </w:p>
        </w:tc>
        <w:tc>
          <w:tcPr>
            <w:tcW w:w="2126" w:type="dxa"/>
            <w:tcBorders>
              <w:top w:val="nil"/>
              <w:left w:val="nil"/>
              <w:bottom w:val="single" w:color="auto" w:sz="4" w:space="0"/>
              <w:right w:val="single" w:color="auto" w:sz="4" w:space="0"/>
            </w:tcBorders>
            <w:shd w:val="clear" w:color="000000" w:fill="FFFFFF"/>
            <w:vAlign w:val="center"/>
          </w:tcPr>
          <w:p w14:paraId="3EB02D2C">
            <w:pPr>
              <w:widowControl/>
              <w:jc w:val="center"/>
              <w:rPr>
                <w:rFonts w:ascii="宋体" w:hAnsi="宋体" w:cs="宋体"/>
                <w:kern w:val="0"/>
                <w:sz w:val="20"/>
                <w:szCs w:val="20"/>
              </w:rPr>
            </w:pPr>
            <w:r>
              <w:rPr>
                <w:rFonts w:hint="eastAsia" w:ascii="宋体" w:hAnsi="宋体" w:cs="宋体"/>
                <w:kern w:val="0"/>
                <w:sz w:val="20"/>
                <w:szCs w:val="20"/>
              </w:rPr>
              <w:t>稳步拓展</w:t>
            </w:r>
          </w:p>
        </w:tc>
      </w:tr>
      <w:tr w14:paraId="4D594672">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30F10573">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63A45CCF">
            <w:pPr>
              <w:widowControl/>
              <w:jc w:val="left"/>
              <w:rPr>
                <w:rFonts w:ascii="宋体" w:hAnsi="宋体" w:cs="宋体"/>
                <w:kern w:val="0"/>
                <w:sz w:val="20"/>
                <w:szCs w:val="20"/>
              </w:rPr>
            </w:pPr>
          </w:p>
        </w:tc>
        <w:tc>
          <w:tcPr>
            <w:tcW w:w="1220" w:type="dxa"/>
            <w:vMerge w:val="continue"/>
            <w:tcBorders>
              <w:top w:val="nil"/>
              <w:left w:val="single" w:color="auto" w:sz="4" w:space="0"/>
              <w:bottom w:val="single" w:color="auto" w:sz="4" w:space="0"/>
              <w:right w:val="single" w:color="auto" w:sz="4" w:space="0"/>
            </w:tcBorders>
            <w:vAlign w:val="center"/>
          </w:tcPr>
          <w:p w14:paraId="734DAABD">
            <w:pPr>
              <w:widowControl/>
              <w:jc w:val="left"/>
              <w:rPr>
                <w:rFonts w:ascii="宋体" w:hAnsi="宋体" w:cs="宋体"/>
                <w:kern w:val="0"/>
                <w:sz w:val="20"/>
                <w:szCs w:val="20"/>
              </w:rPr>
            </w:pPr>
          </w:p>
        </w:tc>
        <w:tc>
          <w:tcPr>
            <w:tcW w:w="3353" w:type="dxa"/>
            <w:tcBorders>
              <w:top w:val="single" w:color="auto" w:sz="4" w:space="0"/>
              <w:left w:val="nil"/>
              <w:bottom w:val="single" w:color="auto" w:sz="4" w:space="0"/>
              <w:right w:val="single" w:color="000000" w:sz="4" w:space="0"/>
            </w:tcBorders>
            <w:shd w:val="clear" w:color="auto" w:fill="auto"/>
            <w:vAlign w:val="center"/>
          </w:tcPr>
          <w:p w14:paraId="57EF4201">
            <w:pPr>
              <w:widowControl/>
              <w:jc w:val="center"/>
              <w:rPr>
                <w:rFonts w:ascii="宋体" w:hAnsi="宋体" w:cs="宋体"/>
                <w:kern w:val="0"/>
                <w:sz w:val="20"/>
                <w:szCs w:val="20"/>
              </w:rPr>
            </w:pPr>
            <w:r>
              <w:rPr>
                <w:rFonts w:hint="eastAsia" w:ascii="宋体" w:hAnsi="宋体" w:cs="宋体"/>
                <w:kern w:val="0"/>
                <w:sz w:val="20"/>
                <w:szCs w:val="20"/>
              </w:rPr>
              <w:t>困难群众看病就医方便程度</w:t>
            </w:r>
          </w:p>
        </w:tc>
        <w:tc>
          <w:tcPr>
            <w:tcW w:w="2126" w:type="dxa"/>
            <w:tcBorders>
              <w:top w:val="nil"/>
              <w:left w:val="nil"/>
              <w:bottom w:val="single" w:color="auto" w:sz="4" w:space="0"/>
              <w:right w:val="single" w:color="auto" w:sz="4" w:space="0"/>
            </w:tcBorders>
            <w:shd w:val="clear" w:color="000000" w:fill="FFFFFF"/>
            <w:vAlign w:val="center"/>
          </w:tcPr>
          <w:p w14:paraId="18D16F46">
            <w:pPr>
              <w:widowControl/>
              <w:jc w:val="center"/>
              <w:rPr>
                <w:rFonts w:ascii="宋体" w:hAnsi="宋体" w:cs="宋体"/>
                <w:kern w:val="0"/>
                <w:sz w:val="20"/>
                <w:szCs w:val="20"/>
              </w:rPr>
            </w:pPr>
            <w:r>
              <w:rPr>
                <w:rFonts w:hint="eastAsia" w:ascii="宋体" w:hAnsi="宋体" w:cs="宋体"/>
                <w:kern w:val="0"/>
                <w:sz w:val="20"/>
                <w:szCs w:val="20"/>
              </w:rPr>
              <w:t>明显提高</w:t>
            </w:r>
          </w:p>
        </w:tc>
      </w:tr>
      <w:tr w14:paraId="18817685">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3197342A">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5EC63115">
            <w:pPr>
              <w:widowControl/>
              <w:jc w:val="left"/>
              <w:rPr>
                <w:rFonts w:ascii="宋体" w:hAnsi="宋体" w:cs="宋体"/>
                <w:kern w:val="0"/>
                <w:sz w:val="20"/>
                <w:szCs w:val="20"/>
              </w:rPr>
            </w:pPr>
          </w:p>
        </w:tc>
        <w:tc>
          <w:tcPr>
            <w:tcW w:w="1220" w:type="dxa"/>
            <w:vMerge w:val="continue"/>
            <w:tcBorders>
              <w:top w:val="nil"/>
              <w:left w:val="single" w:color="auto" w:sz="4" w:space="0"/>
              <w:bottom w:val="single" w:color="auto" w:sz="4" w:space="0"/>
              <w:right w:val="single" w:color="auto" w:sz="4" w:space="0"/>
            </w:tcBorders>
            <w:vAlign w:val="center"/>
          </w:tcPr>
          <w:p w14:paraId="3AC2F471">
            <w:pPr>
              <w:widowControl/>
              <w:jc w:val="left"/>
              <w:rPr>
                <w:rFonts w:ascii="宋体" w:hAnsi="宋体" w:cs="宋体"/>
                <w:kern w:val="0"/>
                <w:sz w:val="20"/>
                <w:szCs w:val="20"/>
              </w:rPr>
            </w:pPr>
          </w:p>
        </w:tc>
        <w:tc>
          <w:tcPr>
            <w:tcW w:w="3353" w:type="dxa"/>
            <w:tcBorders>
              <w:top w:val="single" w:color="auto" w:sz="4" w:space="0"/>
              <w:left w:val="nil"/>
              <w:bottom w:val="single" w:color="auto" w:sz="4" w:space="0"/>
              <w:right w:val="single" w:color="000000" w:sz="4" w:space="0"/>
            </w:tcBorders>
            <w:shd w:val="clear" w:color="auto" w:fill="auto"/>
            <w:vAlign w:val="center"/>
          </w:tcPr>
          <w:p w14:paraId="38867897">
            <w:pPr>
              <w:widowControl/>
              <w:jc w:val="center"/>
              <w:rPr>
                <w:rFonts w:ascii="宋体" w:hAnsi="宋体" w:cs="宋体"/>
                <w:kern w:val="0"/>
                <w:sz w:val="20"/>
                <w:szCs w:val="20"/>
              </w:rPr>
            </w:pPr>
            <w:r>
              <w:rPr>
                <w:rFonts w:hint="eastAsia" w:ascii="宋体" w:hAnsi="宋体" w:cs="宋体"/>
                <w:kern w:val="0"/>
                <w:sz w:val="20"/>
                <w:szCs w:val="20"/>
              </w:rPr>
              <w:t>困难群众医疗费用负担减轻程度</w:t>
            </w:r>
          </w:p>
        </w:tc>
        <w:tc>
          <w:tcPr>
            <w:tcW w:w="2126" w:type="dxa"/>
            <w:tcBorders>
              <w:top w:val="nil"/>
              <w:left w:val="nil"/>
              <w:bottom w:val="single" w:color="auto" w:sz="4" w:space="0"/>
              <w:right w:val="single" w:color="auto" w:sz="4" w:space="0"/>
            </w:tcBorders>
            <w:shd w:val="clear" w:color="000000" w:fill="FFFFFF"/>
            <w:vAlign w:val="center"/>
          </w:tcPr>
          <w:p w14:paraId="637D134A">
            <w:pPr>
              <w:widowControl/>
              <w:jc w:val="center"/>
              <w:rPr>
                <w:rFonts w:ascii="宋体" w:hAnsi="宋体" w:cs="宋体"/>
                <w:kern w:val="0"/>
                <w:sz w:val="20"/>
                <w:szCs w:val="20"/>
              </w:rPr>
            </w:pPr>
            <w:r>
              <w:rPr>
                <w:rFonts w:hint="eastAsia" w:ascii="宋体" w:hAnsi="宋体" w:cs="宋体"/>
                <w:kern w:val="0"/>
                <w:sz w:val="20"/>
                <w:szCs w:val="20"/>
              </w:rPr>
              <w:t>有效减缓</w:t>
            </w:r>
          </w:p>
        </w:tc>
      </w:tr>
      <w:tr w14:paraId="046DA795">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43B52454">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517B9541">
            <w:pPr>
              <w:widowControl/>
              <w:jc w:val="left"/>
              <w:rPr>
                <w:rFonts w:ascii="宋体" w:hAnsi="宋体" w:cs="宋体"/>
                <w:kern w:val="0"/>
                <w:sz w:val="20"/>
                <w:szCs w:val="20"/>
              </w:rPr>
            </w:pP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2B0A2569">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3353" w:type="dxa"/>
            <w:tcBorders>
              <w:top w:val="single" w:color="auto" w:sz="4" w:space="0"/>
              <w:left w:val="nil"/>
              <w:bottom w:val="single" w:color="auto" w:sz="4" w:space="0"/>
              <w:right w:val="single" w:color="000000" w:sz="4" w:space="0"/>
            </w:tcBorders>
            <w:shd w:val="clear" w:color="auto" w:fill="auto"/>
            <w:vAlign w:val="center"/>
          </w:tcPr>
          <w:p w14:paraId="7CCF80CF">
            <w:pPr>
              <w:widowControl/>
              <w:jc w:val="center"/>
              <w:rPr>
                <w:rFonts w:ascii="宋体" w:hAnsi="宋体" w:cs="宋体"/>
                <w:kern w:val="0"/>
                <w:sz w:val="20"/>
                <w:szCs w:val="20"/>
              </w:rPr>
            </w:pPr>
            <w:r>
              <w:rPr>
                <w:rFonts w:hint="eastAsia" w:ascii="宋体" w:hAnsi="宋体" w:cs="宋体"/>
                <w:kern w:val="0"/>
                <w:sz w:val="20"/>
                <w:szCs w:val="20"/>
              </w:rPr>
              <w:t>对健全社会救助体系的影响</w:t>
            </w:r>
          </w:p>
        </w:tc>
        <w:tc>
          <w:tcPr>
            <w:tcW w:w="2126" w:type="dxa"/>
            <w:tcBorders>
              <w:top w:val="nil"/>
              <w:left w:val="nil"/>
              <w:bottom w:val="single" w:color="auto" w:sz="4" w:space="0"/>
              <w:right w:val="single" w:color="auto" w:sz="4" w:space="0"/>
            </w:tcBorders>
            <w:shd w:val="clear" w:color="000000" w:fill="FFFFFF"/>
            <w:vAlign w:val="center"/>
          </w:tcPr>
          <w:p w14:paraId="3AE8F28C">
            <w:pPr>
              <w:widowControl/>
              <w:jc w:val="center"/>
              <w:rPr>
                <w:rFonts w:ascii="宋体" w:hAnsi="宋体" w:cs="宋体"/>
                <w:kern w:val="0"/>
                <w:sz w:val="20"/>
                <w:szCs w:val="20"/>
              </w:rPr>
            </w:pPr>
            <w:r>
              <w:rPr>
                <w:rFonts w:hint="eastAsia" w:ascii="宋体" w:hAnsi="宋体" w:cs="宋体"/>
                <w:kern w:val="0"/>
                <w:sz w:val="20"/>
                <w:szCs w:val="20"/>
              </w:rPr>
              <w:t>成效明显</w:t>
            </w:r>
          </w:p>
        </w:tc>
      </w:tr>
      <w:tr w14:paraId="258B063D">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397F494C">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4E1BB7D1">
            <w:pPr>
              <w:widowControl/>
              <w:jc w:val="left"/>
              <w:rPr>
                <w:rFonts w:ascii="宋体" w:hAnsi="宋体" w:cs="宋体"/>
                <w:kern w:val="0"/>
                <w:sz w:val="20"/>
                <w:szCs w:val="20"/>
              </w:rPr>
            </w:pPr>
          </w:p>
        </w:tc>
        <w:tc>
          <w:tcPr>
            <w:tcW w:w="1220" w:type="dxa"/>
            <w:vMerge w:val="continue"/>
            <w:tcBorders>
              <w:top w:val="nil"/>
              <w:left w:val="single" w:color="auto" w:sz="4" w:space="0"/>
              <w:bottom w:val="single" w:color="000000" w:sz="4" w:space="0"/>
              <w:right w:val="single" w:color="auto" w:sz="4" w:space="0"/>
            </w:tcBorders>
            <w:vAlign w:val="center"/>
          </w:tcPr>
          <w:p w14:paraId="37A0F5AF">
            <w:pPr>
              <w:widowControl/>
              <w:jc w:val="left"/>
              <w:rPr>
                <w:rFonts w:ascii="宋体" w:hAnsi="宋体" w:cs="宋体"/>
                <w:kern w:val="0"/>
                <w:sz w:val="20"/>
                <w:szCs w:val="20"/>
              </w:rPr>
            </w:pPr>
          </w:p>
        </w:tc>
        <w:tc>
          <w:tcPr>
            <w:tcW w:w="3353" w:type="dxa"/>
            <w:tcBorders>
              <w:top w:val="single" w:color="auto" w:sz="4" w:space="0"/>
              <w:left w:val="nil"/>
              <w:bottom w:val="single" w:color="auto" w:sz="4" w:space="0"/>
              <w:right w:val="single" w:color="000000" w:sz="4" w:space="0"/>
            </w:tcBorders>
            <w:shd w:val="clear" w:color="auto" w:fill="auto"/>
            <w:vAlign w:val="center"/>
          </w:tcPr>
          <w:p w14:paraId="7E2A4205">
            <w:pPr>
              <w:widowControl/>
              <w:jc w:val="center"/>
              <w:rPr>
                <w:rFonts w:ascii="宋体" w:hAnsi="宋体" w:cs="宋体"/>
                <w:kern w:val="0"/>
                <w:sz w:val="20"/>
                <w:szCs w:val="20"/>
              </w:rPr>
            </w:pPr>
            <w:r>
              <w:rPr>
                <w:rFonts w:hint="eastAsia" w:ascii="宋体" w:hAnsi="宋体" w:cs="宋体"/>
                <w:kern w:val="0"/>
                <w:sz w:val="20"/>
                <w:szCs w:val="20"/>
              </w:rPr>
              <w:t>对健全医疗保障制度体系的作用</w:t>
            </w:r>
          </w:p>
        </w:tc>
        <w:tc>
          <w:tcPr>
            <w:tcW w:w="2126" w:type="dxa"/>
            <w:tcBorders>
              <w:top w:val="nil"/>
              <w:left w:val="nil"/>
              <w:bottom w:val="single" w:color="auto" w:sz="4" w:space="0"/>
              <w:right w:val="single" w:color="auto" w:sz="4" w:space="0"/>
            </w:tcBorders>
            <w:shd w:val="clear" w:color="000000" w:fill="FFFFFF"/>
            <w:vAlign w:val="center"/>
          </w:tcPr>
          <w:p w14:paraId="1672D02A">
            <w:pPr>
              <w:widowControl/>
              <w:jc w:val="center"/>
              <w:rPr>
                <w:rFonts w:ascii="宋体" w:hAnsi="宋体" w:cs="宋体"/>
                <w:kern w:val="0"/>
                <w:sz w:val="20"/>
                <w:szCs w:val="20"/>
              </w:rPr>
            </w:pPr>
            <w:r>
              <w:rPr>
                <w:rFonts w:hint="eastAsia" w:ascii="宋体" w:hAnsi="宋体" w:cs="宋体"/>
                <w:kern w:val="0"/>
                <w:sz w:val="20"/>
                <w:szCs w:val="20"/>
              </w:rPr>
              <w:t>成效明显</w:t>
            </w:r>
          </w:p>
        </w:tc>
      </w:tr>
      <w:tr w14:paraId="37FF9E4C">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3B8C9FE5">
            <w:pPr>
              <w:widowControl/>
              <w:jc w:val="left"/>
              <w:rPr>
                <w:rFonts w:ascii="宋体" w:hAnsi="宋体" w:cs="宋体"/>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14:paraId="44944125">
            <w:pPr>
              <w:widowControl/>
              <w:jc w:val="center"/>
              <w:rPr>
                <w:rFonts w:ascii="宋体" w:hAnsi="宋体" w:cs="宋体"/>
                <w:kern w:val="0"/>
                <w:sz w:val="20"/>
                <w:szCs w:val="20"/>
              </w:rPr>
            </w:pPr>
            <w:r>
              <w:rPr>
                <w:rFonts w:hint="eastAsia" w:ascii="宋体" w:hAnsi="宋体" w:cs="宋体"/>
                <w:kern w:val="0"/>
                <w:sz w:val="20"/>
                <w:szCs w:val="20"/>
              </w:rPr>
              <w:t>满意度</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2444E70C">
            <w:pPr>
              <w:widowControl/>
              <w:jc w:val="center"/>
              <w:rPr>
                <w:rFonts w:ascii="宋体" w:hAnsi="宋体" w:cs="宋体"/>
                <w:kern w:val="0"/>
                <w:sz w:val="20"/>
                <w:szCs w:val="20"/>
              </w:rPr>
            </w:pPr>
            <w:r>
              <w:rPr>
                <w:rFonts w:hint="eastAsia" w:ascii="宋体" w:hAnsi="宋体" w:cs="宋体"/>
                <w:kern w:val="0"/>
                <w:sz w:val="20"/>
                <w:szCs w:val="20"/>
              </w:rPr>
              <w:t>服务对象满意度指标</w:t>
            </w:r>
          </w:p>
        </w:tc>
        <w:tc>
          <w:tcPr>
            <w:tcW w:w="3353" w:type="dxa"/>
            <w:tcBorders>
              <w:top w:val="single" w:color="auto" w:sz="4" w:space="0"/>
              <w:left w:val="nil"/>
              <w:bottom w:val="single" w:color="auto" w:sz="4" w:space="0"/>
              <w:right w:val="single" w:color="000000" w:sz="4" w:space="0"/>
            </w:tcBorders>
            <w:shd w:val="clear" w:color="auto" w:fill="auto"/>
            <w:vAlign w:val="center"/>
          </w:tcPr>
          <w:p w14:paraId="6A3B56BC">
            <w:pPr>
              <w:widowControl/>
              <w:jc w:val="center"/>
              <w:rPr>
                <w:rFonts w:ascii="宋体" w:hAnsi="宋体" w:cs="宋体"/>
                <w:kern w:val="0"/>
                <w:sz w:val="20"/>
                <w:szCs w:val="20"/>
              </w:rPr>
            </w:pPr>
            <w:r>
              <w:rPr>
                <w:rFonts w:hint="eastAsia" w:ascii="宋体" w:hAnsi="宋体" w:cs="宋体"/>
                <w:kern w:val="0"/>
                <w:sz w:val="20"/>
                <w:szCs w:val="20"/>
              </w:rPr>
              <w:t>政策知晓率</w:t>
            </w:r>
          </w:p>
        </w:tc>
        <w:tc>
          <w:tcPr>
            <w:tcW w:w="2126" w:type="dxa"/>
            <w:tcBorders>
              <w:top w:val="nil"/>
              <w:left w:val="nil"/>
              <w:bottom w:val="single" w:color="auto" w:sz="4" w:space="0"/>
              <w:right w:val="single" w:color="auto" w:sz="4" w:space="0"/>
            </w:tcBorders>
            <w:shd w:val="clear" w:color="auto" w:fill="auto"/>
            <w:noWrap/>
            <w:vAlign w:val="center"/>
          </w:tcPr>
          <w:p w14:paraId="78A7649B">
            <w:pPr>
              <w:widowControl/>
              <w:jc w:val="center"/>
              <w:rPr>
                <w:rFonts w:ascii="宋体" w:hAnsi="宋体" w:cs="宋体"/>
                <w:kern w:val="0"/>
                <w:sz w:val="24"/>
              </w:rPr>
            </w:pPr>
            <w:r>
              <w:rPr>
                <w:rFonts w:hint="eastAsia" w:ascii="宋体" w:hAnsi="宋体" w:cs="宋体"/>
                <w:kern w:val="0"/>
                <w:sz w:val="24"/>
              </w:rPr>
              <w:t>≥90%</w:t>
            </w:r>
          </w:p>
        </w:tc>
      </w:tr>
      <w:tr w14:paraId="43D818E5">
        <w:tblPrEx>
          <w:tblCellMar>
            <w:top w:w="0" w:type="dxa"/>
            <w:left w:w="108" w:type="dxa"/>
            <w:bottom w:w="0" w:type="dxa"/>
            <w:right w:w="108" w:type="dxa"/>
          </w:tblCellMar>
        </w:tblPrEx>
        <w:trPr>
          <w:trHeight w:val="480" w:hRule="atLeast"/>
        </w:trPr>
        <w:tc>
          <w:tcPr>
            <w:tcW w:w="1040" w:type="dxa"/>
            <w:vMerge w:val="continue"/>
            <w:tcBorders>
              <w:top w:val="nil"/>
              <w:left w:val="single" w:color="auto" w:sz="4" w:space="0"/>
              <w:bottom w:val="single" w:color="auto" w:sz="4" w:space="0"/>
              <w:right w:val="single" w:color="auto" w:sz="4" w:space="0"/>
            </w:tcBorders>
            <w:vAlign w:val="center"/>
          </w:tcPr>
          <w:p w14:paraId="7147EAF2">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14:paraId="6CED2B08">
            <w:pPr>
              <w:widowControl/>
              <w:jc w:val="left"/>
              <w:rPr>
                <w:rFonts w:ascii="宋体" w:hAnsi="宋体" w:cs="宋体"/>
                <w:kern w:val="0"/>
                <w:sz w:val="20"/>
                <w:szCs w:val="20"/>
              </w:rPr>
            </w:pPr>
          </w:p>
        </w:tc>
        <w:tc>
          <w:tcPr>
            <w:tcW w:w="1220" w:type="dxa"/>
            <w:vMerge w:val="continue"/>
            <w:tcBorders>
              <w:top w:val="nil"/>
              <w:left w:val="single" w:color="auto" w:sz="4" w:space="0"/>
              <w:bottom w:val="single" w:color="auto" w:sz="4" w:space="0"/>
              <w:right w:val="single" w:color="auto" w:sz="4" w:space="0"/>
            </w:tcBorders>
            <w:vAlign w:val="center"/>
          </w:tcPr>
          <w:p w14:paraId="52B3E89F">
            <w:pPr>
              <w:widowControl/>
              <w:jc w:val="left"/>
              <w:rPr>
                <w:rFonts w:ascii="宋体" w:hAnsi="宋体" w:cs="宋体"/>
                <w:kern w:val="0"/>
                <w:sz w:val="20"/>
                <w:szCs w:val="20"/>
              </w:rPr>
            </w:pPr>
          </w:p>
        </w:tc>
        <w:tc>
          <w:tcPr>
            <w:tcW w:w="3353" w:type="dxa"/>
            <w:tcBorders>
              <w:top w:val="single" w:color="auto" w:sz="4" w:space="0"/>
              <w:left w:val="nil"/>
              <w:bottom w:val="single" w:color="auto" w:sz="4" w:space="0"/>
              <w:right w:val="single" w:color="000000" w:sz="4" w:space="0"/>
            </w:tcBorders>
            <w:shd w:val="clear" w:color="auto" w:fill="auto"/>
            <w:vAlign w:val="center"/>
          </w:tcPr>
          <w:p w14:paraId="209DE45F">
            <w:pPr>
              <w:widowControl/>
              <w:jc w:val="center"/>
              <w:rPr>
                <w:rFonts w:ascii="宋体" w:hAnsi="宋体" w:cs="宋体"/>
                <w:kern w:val="0"/>
                <w:sz w:val="20"/>
                <w:szCs w:val="20"/>
              </w:rPr>
            </w:pPr>
            <w:r>
              <w:rPr>
                <w:rFonts w:hint="eastAsia" w:ascii="宋体" w:hAnsi="宋体" w:cs="宋体"/>
                <w:kern w:val="0"/>
                <w:sz w:val="20"/>
                <w:szCs w:val="20"/>
              </w:rPr>
              <w:t>救助对象满意度</w:t>
            </w:r>
          </w:p>
        </w:tc>
        <w:tc>
          <w:tcPr>
            <w:tcW w:w="2126" w:type="dxa"/>
            <w:tcBorders>
              <w:top w:val="nil"/>
              <w:left w:val="nil"/>
              <w:bottom w:val="single" w:color="auto" w:sz="4" w:space="0"/>
              <w:right w:val="single" w:color="auto" w:sz="4" w:space="0"/>
            </w:tcBorders>
            <w:shd w:val="clear" w:color="auto" w:fill="auto"/>
            <w:noWrap/>
            <w:vAlign w:val="center"/>
          </w:tcPr>
          <w:p w14:paraId="7B875FDA">
            <w:pPr>
              <w:widowControl/>
              <w:jc w:val="center"/>
              <w:rPr>
                <w:rFonts w:ascii="宋体" w:hAnsi="宋体" w:cs="宋体"/>
                <w:kern w:val="0"/>
                <w:sz w:val="24"/>
              </w:rPr>
            </w:pPr>
            <w:r>
              <w:rPr>
                <w:rFonts w:hint="eastAsia" w:ascii="宋体" w:hAnsi="宋体" w:cs="宋体"/>
                <w:kern w:val="0"/>
                <w:sz w:val="24"/>
              </w:rPr>
              <w:t>≥90%</w:t>
            </w:r>
          </w:p>
        </w:tc>
      </w:tr>
    </w:tbl>
    <w:p w14:paraId="63882CB6">
      <w:pPr>
        <w:spacing w:line="54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14:paraId="534FF6A4">
      <w:pPr>
        <w:spacing w:line="540" w:lineRule="exact"/>
        <w:ind w:firstLine="470" w:firstLineChars="147"/>
        <w:rPr>
          <w:rFonts w:ascii="仿宋_GB2312" w:eastAsia="仿宋_GB2312"/>
          <w:sz w:val="32"/>
          <w:szCs w:val="32"/>
        </w:rPr>
      </w:pPr>
      <w:r>
        <w:rPr>
          <w:rFonts w:hint="eastAsia" w:ascii="楷体" w:hAnsi="楷体" w:eastAsia="楷体"/>
          <w:b/>
          <w:sz w:val="32"/>
          <w:szCs w:val="32"/>
        </w:rPr>
        <w:t>（一）评价目的、对象和范围。</w:t>
      </w:r>
      <w:r>
        <w:rPr>
          <w:rFonts w:hint="eastAsia" w:ascii="仿宋" w:hAnsi="仿宋" w:eastAsia="仿宋"/>
          <w:sz w:val="32"/>
          <w:szCs w:val="32"/>
        </w:rPr>
        <w:t>我县绩效目标评价的主要目的是通过资金绩效评价，不断规范落实资金管理，落实医疗救助工作分级管理，按照兜底的工作原则，提高困难群众有效救助水平，进一步减轻困难群众医疗费负担。</w:t>
      </w:r>
    </w:p>
    <w:p w14:paraId="5FBE6D06">
      <w:pPr>
        <w:spacing w:line="540" w:lineRule="exact"/>
        <w:ind w:firstLine="640" w:firstLineChars="200"/>
        <w:rPr>
          <w:rFonts w:ascii="仿宋" w:hAnsi="仿宋" w:eastAsia="仿宋"/>
          <w:sz w:val="32"/>
          <w:szCs w:val="32"/>
        </w:rPr>
      </w:pPr>
      <w:r>
        <w:rPr>
          <w:rFonts w:hint="eastAsia" w:ascii="仿宋" w:hAnsi="仿宋" w:eastAsia="仿宋"/>
          <w:sz w:val="32"/>
          <w:szCs w:val="32"/>
        </w:rPr>
        <w:t>按照国务院《社会救助暂行办法》《四川省社会救助实施办法》规定，2020年医疗救助资金绩效评价对象是各级医疗保障部门；医疗救助资金绩效评价范围是中央、省级资金管理使用情况，县级财政医疗救助预算落实情况。</w:t>
      </w:r>
    </w:p>
    <w:p w14:paraId="2987BED8">
      <w:pPr>
        <w:spacing w:line="540" w:lineRule="exact"/>
        <w:ind w:firstLine="640" w:firstLineChars="200"/>
        <w:rPr>
          <w:rFonts w:ascii="仿宋_GB2312" w:eastAsia="仿宋_GB2312"/>
          <w:sz w:val="32"/>
          <w:szCs w:val="32"/>
        </w:rPr>
      </w:pPr>
      <w:r>
        <w:rPr>
          <w:rFonts w:hint="eastAsia" w:ascii="楷体" w:hAnsi="楷体" w:eastAsia="楷体"/>
          <w:b/>
          <w:sz w:val="32"/>
          <w:szCs w:val="32"/>
        </w:rPr>
        <w:t>（二）评价方法和评价等次。</w:t>
      </w:r>
      <w:r>
        <w:rPr>
          <w:rFonts w:hint="eastAsia" w:ascii="仿宋" w:hAnsi="仿宋" w:eastAsia="仿宋"/>
          <w:sz w:val="32"/>
          <w:szCs w:val="32"/>
        </w:rPr>
        <w:t>2020年医疗救助资金绩效评价方法采用质量指标与数量指标相结合的办法。数量指标依据季报表数据，质量指标依据系统救助实际情况计算。</w:t>
      </w:r>
    </w:p>
    <w:p w14:paraId="636F69DE">
      <w:pPr>
        <w:spacing w:line="540" w:lineRule="exact"/>
        <w:ind w:firstLine="640" w:firstLineChars="200"/>
        <w:rPr>
          <w:rFonts w:ascii="仿宋" w:hAnsi="仿宋" w:eastAsia="仿宋"/>
          <w:sz w:val="32"/>
          <w:szCs w:val="32"/>
        </w:rPr>
      </w:pPr>
      <w:r>
        <w:rPr>
          <w:rFonts w:hint="eastAsia" w:ascii="仿宋" w:hAnsi="仿宋" w:eastAsia="仿宋"/>
          <w:sz w:val="32"/>
          <w:szCs w:val="32"/>
        </w:rPr>
        <w:t>评价等次：合格60-70分，良好71-80分，优秀90分以上。</w:t>
      </w:r>
    </w:p>
    <w:p w14:paraId="74939284">
      <w:pPr>
        <w:spacing w:line="540" w:lineRule="exact"/>
        <w:ind w:firstLine="640" w:firstLineChars="200"/>
        <w:rPr>
          <w:rFonts w:ascii="仿宋_GB2312" w:eastAsia="仿宋_GB2312"/>
          <w:sz w:val="32"/>
          <w:szCs w:val="32"/>
        </w:rPr>
      </w:pPr>
      <w:r>
        <w:rPr>
          <w:rFonts w:hint="eastAsia" w:ascii="楷体" w:hAnsi="楷体" w:eastAsia="楷体"/>
          <w:b/>
          <w:sz w:val="32"/>
          <w:szCs w:val="32"/>
        </w:rPr>
        <w:t>（三）指标体系设置。</w:t>
      </w:r>
      <w:r>
        <w:rPr>
          <w:rFonts w:hint="eastAsia" w:ascii="仿宋" w:hAnsi="仿宋" w:eastAsia="仿宋"/>
          <w:sz w:val="32"/>
          <w:szCs w:val="32"/>
        </w:rPr>
        <w:t>2019年底，按照省财政要求，我县上报了《城乡居民医保补助资金区域绩效目标表》，具体执行指标设置按照省局有关工作布置落实。</w:t>
      </w:r>
    </w:p>
    <w:p w14:paraId="27EF1A62">
      <w:pPr>
        <w:spacing w:line="540" w:lineRule="exact"/>
        <w:ind w:firstLine="640" w:firstLineChars="200"/>
        <w:rPr>
          <w:rFonts w:ascii="仿宋_GB2312" w:eastAsia="仿宋_GB2312"/>
          <w:sz w:val="32"/>
          <w:szCs w:val="32"/>
        </w:rPr>
      </w:pPr>
      <w:r>
        <w:rPr>
          <w:rFonts w:hint="eastAsia" w:ascii="楷体" w:hAnsi="楷体" w:eastAsia="楷体"/>
          <w:b/>
          <w:sz w:val="32"/>
          <w:szCs w:val="32"/>
        </w:rPr>
        <w:t>（四）评价工作过程。</w:t>
      </w:r>
      <w:r>
        <w:rPr>
          <w:rFonts w:hint="eastAsia" w:ascii="仿宋" w:hAnsi="仿宋" w:eastAsia="仿宋"/>
          <w:sz w:val="32"/>
          <w:szCs w:val="32"/>
        </w:rPr>
        <w:t>2021年1月，我县按照省局要求，专项安排布置2020年城乡医疗救助资金绩效评价工作，一是要严格按照省局要求，依据财政部、民政部《城乡医疗救助基金管理办法》（财社〔2013〕217号），四川省财政厅等部门《关于印发&lt;四川省中央和省级财政医疗救助补助资金管理办法&gt;的通知》（川财社【2020】66号）开展绩效评价工作。二是资金数据以财政部门数据为准，业务数据以医疗保障局数据为准。三是在市医疗保障局的指导下完成我县医疗救助资金绩效评价报告。</w:t>
      </w:r>
    </w:p>
    <w:p w14:paraId="4FF8490D">
      <w:pPr>
        <w:spacing w:line="540" w:lineRule="exact"/>
        <w:ind w:firstLine="640" w:firstLineChars="200"/>
        <w:rPr>
          <w:rFonts w:ascii="黑体" w:hAnsi="黑体" w:eastAsia="黑体"/>
          <w:sz w:val="32"/>
          <w:szCs w:val="32"/>
        </w:rPr>
      </w:pPr>
      <w:r>
        <w:rPr>
          <w:rFonts w:hint="eastAsia" w:ascii="黑体" w:hAnsi="黑体" w:eastAsia="黑体"/>
          <w:sz w:val="32"/>
          <w:szCs w:val="32"/>
        </w:rPr>
        <w:t>三、绩效评价结论</w:t>
      </w:r>
    </w:p>
    <w:p w14:paraId="4DE0B16E">
      <w:pPr>
        <w:spacing w:line="540" w:lineRule="exact"/>
        <w:ind w:firstLine="640" w:firstLineChars="200"/>
        <w:rPr>
          <w:rFonts w:ascii="仿宋_GB2312" w:eastAsia="仿宋_GB2312"/>
          <w:sz w:val="32"/>
          <w:szCs w:val="32"/>
        </w:rPr>
      </w:pPr>
      <w:r>
        <w:rPr>
          <w:rFonts w:hint="eastAsia" w:ascii="楷体" w:hAnsi="楷体" w:eastAsia="楷体"/>
          <w:b/>
          <w:sz w:val="32"/>
          <w:szCs w:val="32"/>
        </w:rPr>
        <w:t>（一）评价得分。</w:t>
      </w:r>
      <w:r>
        <w:rPr>
          <w:rFonts w:hint="eastAsia" w:ascii="仿宋" w:hAnsi="仿宋" w:eastAsia="仿宋"/>
          <w:sz w:val="32"/>
          <w:szCs w:val="32"/>
        </w:rPr>
        <w:t>2020年，按照省局文件要求，根据省局《医疗救助补助资金(城乡医疗救助部分)绩效评价指标体系(试行)》，</w:t>
      </w:r>
      <w:r>
        <w:rPr>
          <w:rFonts w:hint="eastAsia" w:ascii="仿宋" w:hAnsi="仿宋" w:eastAsia="仿宋"/>
          <w:color w:val="000000" w:themeColor="text1"/>
          <w:sz w:val="32"/>
          <w:szCs w:val="32"/>
        </w:rPr>
        <w:t>得分100分（见附表1）。</w:t>
      </w:r>
    </w:p>
    <w:p w14:paraId="55BB0A49">
      <w:pPr>
        <w:spacing w:line="540" w:lineRule="exact"/>
        <w:ind w:firstLine="640" w:firstLineChars="200"/>
        <w:rPr>
          <w:rFonts w:ascii="仿宋_GB2312" w:eastAsia="仿宋_GB2312"/>
          <w:sz w:val="32"/>
          <w:szCs w:val="32"/>
        </w:rPr>
      </w:pPr>
      <w:r>
        <w:rPr>
          <w:rFonts w:hint="eastAsia" w:ascii="楷体" w:hAnsi="楷体" w:eastAsia="楷体"/>
          <w:b/>
          <w:sz w:val="32"/>
          <w:szCs w:val="32"/>
        </w:rPr>
        <w:t>（二）评价结论。</w:t>
      </w:r>
      <w:r>
        <w:rPr>
          <w:rFonts w:hint="eastAsia" w:ascii="仿宋" w:hAnsi="仿宋" w:eastAsia="仿宋"/>
          <w:sz w:val="32"/>
          <w:szCs w:val="32"/>
        </w:rPr>
        <w:t>中央、省级财政转移支付对地方医疗救助具有较大支持作用，有力促进了医疗救助制度贯彻实施，较好地落实了“医疗救助资金分级负担”原则，在减轻困难群众医疗费负担的同时，进一步提高了城乡居民收入，确保了法治思想以制度的形式规范落实到具体救助制度，维护了地方社会稳定，有效保障了脱贫攻坚任务如期完成。</w:t>
      </w:r>
    </w:p>
    <w:p w14:paraId="31B1B173">
      <w:pPr>
        <w:spacing w:line="540" w:lineRule="exact"/>
        <w:ind w:firstLine="640" w:firstLineChars="200"/>
        <w:rPr>
          <w:rFonts w:ascii="仿宋" w:hAnsi="仿宋" w:eastAsia="仿宋"/>
          <w:sz w:val="32"/>
          <w:szCs w:val="32"/>
        </w:rPr>
      </w:pPr>
      <w:r>
        <w:rPr>
          <w:rFonts w:hint="eastAsia" w:ascii="仿宋" w:hAnsi="仿宋" w:eastAsia="仿宋"/>
          <w:sz w:val="32"/>
          <w:szCs w:val="32"/>
        </w:rPr>
        <w:t>2020年我县全面落实国务院《社会救助暂行办法》《四川省社会救助实施办法》，财政部、民政部《资金管理办法》，</w:t>
      </w:r>
      <w:r>
        <w:rPr>
          <w:rStyle w:val="40"/>
          <w:rFonts w:hint="default" w:ascii="仿宋" w:hAnsi="仿宋" w:eastAsia="仿宋"/>
        </w:rPr>
        <w:t>四川省财政厅等</w:t>
      </w:r>
      <w:r>
        <w:rPr>
          <w:rFonts w:hint="eastAsia" w:ascii="仿宋" w:hAnsi="仿宋" w:eastAsia="仿宋"/>
          <w:sz w:val="32"/>
          <w:szCs w:val="32"/>
        </w:rPr>
        <w:t>部门</w:t>
      </w:r>
      <w:r>
        <w:rPr>
          <w:rStyle w:val="40"/>
          <w:rFonts w:hint="default" w:ascii="仿宋" w:hAnsi="仿宋" w:eastAsia="仿宋"/>
        </w:rPr>
        <w:t>《关于印发&lt;四川省中央和省级财政医疗救助补助资金管理办法&gt;的通知》（川财社【2020】66号），对经民政部门、扶贫部门认定的救助对象实现了100%救助。按照省局要求，实施了城乡医疗救助“一单制”结算，</w:t>
      </w:r>
      <w:r>
        <w:rPr>
          <w:rFonts w:hint="eastAsia" w:ascii="仿宋" w:hAnsi="仿宋" w:eastAsia="仿宋"/>
          <w:sz w:val="32"/>
          <w:szCs w:val="32"/>
        </w:rPr>
        <w:t>实现了医疗救助“零等待”，提升了医疗救助的时效性，真正落实了减证便民、服务群众的政策规定。</w:t>
      </w:r>
    </w:p>
    <w:p w14:paraId="321D6168">
      <w:pPr>
        <w:spacing w:line="54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14:paraId="474723BD">
      <w:pPr>
        <w:spacing w:line="540" w:lineRule="exact"/>
        <w:ind w:firstLine="640" w:firstLineChars="200"/>
        <w:rPr>
          <w:rFonts w:ascii="楷体" w:hAnsi="楷体" w:eastAsia="楷体"/>
          <w:b/>
          <w:sz w:val="32"/>
          <w:szCs w:val="32"/>
        </w:rPr>
      </w:pPr>
      <w:r>
        <w:rPr>
          <w:rFonts w:hint="eastAsia" w:ascii="楷体" w:hAnsi="楷体" w:eastAsia="楷体"/>
          <w:b/>
          <w:sz w:val="32"/>
          <w:szCs w:val="32"/>
        </w:rPr>
        <w:t>（一）项目决策</w:t>
      </w:r>
    </w:p>
    <w:p w14:paraId="68FB1998">
      <w:pPr>
        <w:autoSpaceDE w:val="0"/>
        <w:autoSpaceDN w:val="0"/>
        <w:adjustRightInd w:val="0"/>
        <w:spacing w:line="540" w:lineRule="exact"/>
        <w:ind w:firstLine="640"/>
        <w:rPr>
          <w:rFonts w:ascii="仿宋" w:hAnsi="仿宋" w:eastAsia="仿宋"/>
          <w:sz w:val="32"/>
          <w:szCs w:val="32"/>
        </w:rPr>
      </w:pPr>
      <w:r>
        <w:rPr>
          <w:rFonts w:hint="eastAsia" w:ascii="仿宋_GB2312" w:eastAsia="仿宋_GB2312"/>
          <w:b/>
          <w:sz w:val="32"/>
          <w:szCs w:val="32"/>
        </w:rPr>
        <w:t>1．决策依据。</w:t>
      </w:r>
      <w:r>
        <w:rPr>
          <w:rFonts w:hint="eastAsia" w:ascii="仿宋" w:hAnsi="仿宋" w:eastAsia="仿宋"/>
          <w:sz w:val="32"/>
          <w:szCs w:val="32"/>
        </w:rPr>
        <w:t>我县医疗救助工作政策依据为国务院《社会救助暂行办法》《四川省社会救助实施办法》，</w:t>
      </w:r>
      <w:r>
        <w:rPr>
          <w:rFonts w:hint="eastAsia" w:ascii="仿宋" w:hAnsi="仿宋" w:eastAsia="仿宋" w:cs="仿宋_GB2312"/>
          <w:color w:val="000000"/>
          <w:kern w:val="0"/>
          <w:sz w:val="32"/>
          <w:szCs w:val="32"/>
          <w:lang w:val="zh-CN"/>
        </w:rPr>
        <w:t>国务院办公厅《转发民政部等部门关于进一步完善医疗救助制度全面开展重特大疾病医疗救助工作的意</w:t>
      </w:r>
      <w:r>
        <w:rPr>
          <w:rFonts w:hint="eastAsia" w:ascii="仿宋" w:hAnsi="仿宋" w:eastAsia="仿宋" w:cs="仿宋_GB2312"/>
          <w:kern w:val="0"/>
          <w:sz w:val="32"/>
          <w:szCs w:val="32"/>
          <w:lang w:val="zh-CN"/>
        </w:rPr>
        <w:t>见》（国办发〔2015</w:t>
      </w:r>
      <w:r>
        <w:rPr>
          <w:rFonts w:hint="eastAsia" w:ascii="仿宋" w:hAnsi="仿宋" w:eastAsia="仿宋" w:cs="仿宋_GB2312"/>
          <w:color w:val="000000"/>
          <w:kern w:val="0"/>
          <w:sz w:val="32"/>
          <w:szCs w:val="32"/>
          <w:lang w:val="zh-CN"/>
        </w:rPr>
        <w:t>〕</w:t>
      </w:r>
      <w:r>
        <w:rPr>
          <w:rFonts w:hint="eastAsia" w:ascii="仿宋" w:hAnsi="仿宋" w:eastAsia="仿宋" w:cs="仿宋_GB2312"/>
          <w:kern w:val="0"/>
          <w:sz w:val="32"/>
          <w:szCs w:val="32"/>
          <w:lang w:val="zh-CN"/>
        </w:rPr>
        <w:t>30</w:t>
      </w:r>
      <w:r>
        <w:rPr>
          <w:rFonts w:hint="eastAsia" w:ascii="仿宋" w:hAnsi="仿宋" w:eastAsia="仿宋" w:cs="仿宋_GB2312"/>
          <w:color w:val="000000"/>
          <w:kern w:val="0"/>
          <w:sz w:val="32"/>
          <w:szCs w:val="32"/>
          <w:lang w:val="zh-CN"/>
        </w:rPr>
        <w:t>号）、</w:t>
      </w:r>
      <w:r>
        <w:rPr>
          <w:rFonts w:hint="eastAsia" w:ascii="仿宋" w:hAnsi="仿宋" w:eastAsia="仿宋"/>
          <w:sz w:val="32"/>
          <w:szCs w:val="32"/>
        </w:rPr>
        <w:t>财政部、民政部《</w:t>
      </w:r>
      <w:r>
        <w:rPr>
          <w:rFonts w:hint="eastAsia" w:ascii="仿宋" w:hAnsi="仿宋" w:eastAsia="仿宋" w:cs="宋体"/>
          <w:kern w:val="36"/>
          <w:sz w:val="32"/>
          <w:szCs w:val="32"/>
        </w:rPr>
        <w:t>城乡医疗救助基金管理办法</w:t>
      </w:r>
      <w:r>
        <w:rPr>
          <w:rFonts w:hint="eastAsia" w:ascii="仿宋" w:hAnsi="仿宋" w:eastAsia="仿宋"/>
          <w:sz w:val="32"/>
          <w:szCs w:val="32"/>
        </w:rPr>
        <w:t>》（</w:t>
      </w:r>
      <w:r>
        <w:rPr>
          <w:rFonts w:hint="eastAsia" w:ascii="仿宋" w:hAnsi="仿宋" w:eastAsia="仿宋" w:cs="Arial"/>
          <w:kern w:val="0"/>
          <w:sz w:val="32"/>
          <w:szCs w:val="32"/>
        </w:rPr>
        <w:t>财社〔2013〕217号</w:t>
      </w:r>
      <w:r>
        <w:rPr>
          <w:rFonts w:hint="eastAsia" w:ascii="仿宋" w:hAnsi="仿宋" w:eastAsia="仿宋"/>
          <w:sz w:val="32"/>
          <w:szCs w:val="32"/>
        </w:rPr>
        <w:t>）、</w:t>
      </w:r>
      <w:r>
        <w:rPr>
          <w:rFonts w:hint="eastAsia" w:ascii="仿宋" w:hAnsi="仿宋" w:eastAsia="仿宋" w:cs="仿宋_GB2312"/>
          <w:color w:val="000000"/>
          <w:kern w:val="0"/>
          <w:sz w:val="32"/>
          <w:szCs w:val="32"/>
          <w:lang w:val="zh-CN"/>
        </w:rPr>
        <w:t>四川省人民政府办公厅《关于进一步做好医疗救助工作的通知》（川办函〔2015〕186号）、</w:t>
      </w:r>
      <w:r>
        <w:rPr>
          <w:rStyle w:val="40"/>
          <w:rFonts w:hint="default" w:ascii="仿宋" w:hAnsi="仿宋" w:eastAsia="仿宋"/>
        </w:rPr>
        <w:t>四川省财政厅等</w:t>
      </w:r>
      <w:r>
        <w:rPr>
          <w:rFonts w:hint="eastAsia" w:ascii="仿宋" w:hAnsi="仿宋" w:eastAsia="仿宋"/>
          <w:sz w:val="32"/>
          <w:szCs w:val="32"/>
        </w:rPr>
        <w:t>部门</w:t>
      </w:r>
      <w:r>
        <w:rPr>
          <w:rStyle w:val="40"/>
          <w:rFonts w:hint="default" w:ascii="仿宋" w:hAnsi="仿宋" w:eastAsia="仿宋"/>
        </w:rPr>
        <w:t>《关于印发&lt;四川省中央和省级财政医疗救助补助资金管理办法&gt;的通知》（川财社【2020】66号），以及我市、县医疗救助制度。</w:t>
      </w:r>
    </w:p>
    <w:p w14:paraId="602AE5DB">
      <w:pPr>
        <w:spacing w:line="540" w:lineRule="exact"/>
        <w:ind w:firstLine="640" w:firstLineChars="200"/>
        <w:rPr>
          <w:rFonts w:ascii="仿宋_GB2312" w:eastAsia="仿宋_GB2312"/>
          <w:sz w:val="32"/>
          <w:szCs w:val="32"/>
        </w:rPr>
      </w:pPr>
      <w:r>
        <w:rPr>
          <w:rFonts w:hint="eastAsia" w:ascii="仿宋_GB2312" w:eastAsia="仿宋_GB2312"/>
          <w:b/>
          <w:sz w:val="32"/>
          <w:szCs w:val="32"/>
        </w:rPr>
        <w:t>2．决策过程。</w:t>
      </w:r>
      <w:r>
        <w:rPr>
          <w:rFonts w:hint="eastAsia" w:ascii="仿宋" w:hAnsi="仿宋" w:eastAsia="仿宋"/>
          <w:sz w:val="32"/>
          <w:szCs w:val="32"/>
        </w:rPr>
        <w:t>我县医疗保障局按照市医疗保障局确定的医疗救助资金年度绩效管理目标任务，会同县级财政局推进绩效管理具体要求，一是编制资金预算，二是定期核对资金使用情况，三是规范落实医疗救助政策。</w:t>
      </w:r>
    </w:p>
    <w:p w14:paraId="2DA5E880">
      <w:pPr>
        <w:spacing w:line="540" w:lineRule="exact"/>
        <w:ind w:firstLine="640" w:firstLineChars="200"/>
        <w:rPr>
          <w:rFonts w:ascii="仿宋_GB2312" w:eastAsia="仿宋_GB2312"/>
          <w:snapToGrid w:val="0"/>
          <w:kern w:val="0"/>
          <w:sz w:val="32"/>
          <w:szCs w:val="32"/>
        </w:rPr>
      </w:pPr>
      <w:r>
        <w:rPr>
          <w:rFonts w:hint="eastAsia" w:ascii="仿宋_GB2312" w:eastAsia="仿宋_GB2312"/>
          <w:b/>
          <w:snapToGrid w:val="0"/>
          <w:kern w:val="0"/>
          <w:sz w:val="32"/>
          <w:szCs w:val="32"/>
        </w:rPr>
        <w:t>3.绩效目标。</w:t>
      </w:r>
      <w:r>
        <w:rPr>
          <w:rFonts w:hint="eastAsia" w:ascii="仿宋" w:hAnsi="仿宋" w:eastAsia="仿宋"/>
          <w:snapToGrid w:val="0"/>
          <w:kern w:val="0"/>
          <w:sz w:val="32"/>
          <w:szCs w:val="32"/>
        </w:rPr>
        <w:t>2020年全市持续做好困难群众参保资助工作，经民政部门提供的救助对象，实现了100%参保；重点救助对象自付医疗费用按规定年度限额内住院救助比例达到70%。2020年度救助对象人次实现了应保尽保；2020年全年我市全面落实医疗救助“一单制”结算促进规范管理。2020年，我县无结余资金，落实了资金预算职责。</w:t>
      </w:r>
    </w:p>
    <w:p w14:paraId="7F69F9CE">
      <w:pPr>
        <w:spacing w:line="540" w:lineRule="exact"/>
        <w:ind w:firstLine="640" w:firstLineChars="200"/>
        <w:rPr>
          <w:rFonts w:ascii="仿宋" w:hAnsi="仿宋" w:eastAsia="仿宋"/>
          <w:sz w:val="32"/>
          <w:szCs w:val="32"/>
        </w:rPr>
      </w:pPr>
      <w:r>
        <w:rPr>
          <w:rFonts w:hint="eastAsia" w:ascii="仿宋_GB2312" w:eastAsia="仿宋_GB2312"/>
          <w:b/>
          <w:snapToGrid w:val="0"/>
          <w:kern w:val="0"/>
          <w:sz w:val="32"/>
          <w:szCs w:val="32"/>
        </w:rPr>
        <w:t>4．资金分配。</w:t>
      </w:r>
      <w:r>
        <w:rPr>
          <w:rFonts w:hint="eastAsia" w:ascii="仿宋" w:hAnsi="仿宋" w:eastAsia="仿宋"/>
          <w:snapToGrid w:val="0"/>
          <w:kern w:val="0"/>
          <w:sz w:val="32"/>
          <w:szCs w:val="32"/>
        </w:rPr>
        <w:t>2020年，</w:t>
      </w:r>
      <w:r>
        <w:rPr>
          <w:rFonts w:hint="eastAsia" w:ascii="仿宋" w:hAnsi="仿宋" w:eastAsia="仿宋"/>
          <w:sz w:val="32"/>
          <w:szCs w:val="32"/>
        </w:rPr>
        <w:t>我县按照省级、中央资金下达情况进行资金分配。</w:t>
      </w:r>
    </w:p>
    <w:p w14:paraId="096B7FE9">
      <w:pPr>
        <w:spacing w:line="540" w:lineRule="exact"/>
        <w:ind w:firstLine="640" w:firstLineChars="200"/>
        <w:rPr>
          <w:rFonts w:ascii="仿宋_GB2312" w:eastAsia="仿宋_GB2312"/>
          <w:b/>
          <w:sz w:val="32"/>
          <w:szCs w:val="32"/>
        </w:rPr>
      </w:pPr>
      <w:r>
        <w:rPr>
          <w:rFonts w:hint="eastAsia" w:ascii="仿宋_GB2312" w:eastAsia="仿宋_GB2312"/>
          <w:b/>
          <w:sz w:val="32"/>
          <w:szCs w:val="32"/>
        </w:rPr>
        <w:t>（二）过程管理</w:t>
      </w:r>
    </w:p>
    <w:p w14:paraId="13AE7BEC">
      <w:pPr>
        <w:spacing w:line="540" w:lineRule="exact"/>
        <w:ind w:firstLine="640" w:firstLineChars="200"/>
        <w:rPr>
          <w:rFonts w:ascii="仿宋" w:hAnsi="仿宋" w:eastAsia="仿宋"/>
          <w:sz w:val="32"/>
          <w:szCs w:val="32"/>
        </w:rPr>
      </w:pPr>
      <w:r>
        <w:rPr>
          <w:rFonts w:hint="eastAsia" w:ascii="仿宋_GB2312" w:eastAsia="仿宋_GB2312"/>
          <w:b/>
          <w:sz w:val="32"/>
          <w:szCs w:val="32"/>
        </w:rPr>
        <w:t>1．资金管理。</w:t>
      </w:r>
      <w:r>
        <w:rPr>
          <w:rFonts w:hint="eastAsia" w:ascii="仿宋" w:hAnsi="仿宋" w:eastAsia="仿宋"/>
          <w:sz w:val="32"/>
          <w:szCs w:val="32"/>
        </w:rPr>
        <w:t>2020年，我县医疗保障局主动衔接同级财政部门加强资金预算管理。一是按照《城乡医疗救助基金管理办法》做好医疗救助资金管理工作。二是按时拨付救助对象的医疗救助报销，以缓解救助对象的医疗负担。三是我局定期与县财政核对资金使用情况。</w:t>
      </w:r>
    </w:p>
    <w:p w14:paraId="3C19603B">
      <w:pPr>
        <w:spacing w:line="540" w:lineRule="exact"/>
        <w:ind w:firstLine="627" w:firstLineChars="196"/>
        <w:rPr>
          <w:rFonts w:ascii="仿宋_GB2312" w:hAnsi="仿宋_GB2312" w:eastAsia="仿宋_GB2312" w:cs="仿宋_GB2312"/>
          <w:sz w:val="32"/>
          <w:szCs w:val="32"/>
        </w:rPr>
      </w:pPr>
      <w:r>
        <w:rPr>
          <w:rFonts w:hint="eastAsia" w:ascii="仿宋_GB2312" w:eastAsia="仿宋_GB2312"/>
          <w:b/>
          <w:sz w:val="32"/>
          <w:szCs w:val="32"/>
        </w:rPr>
        <w:t>2.组织管理。</w:t>
      </w:r>
      <w:r>
        <w:rPr>
          <w:rFonts w:hint="eastAsia" w:ascii="仿宋" w:hAnsi="仿宋" w:eastAsia="仿宋" w:cs="仿宋_GB2312"/>
          <w:sz w:val="32"/>
          <w:szCs w:val="32"/>
        </w:rPr>
        <w:t>我县按照全面依法治县和法治政府建设规定，2020年，医疗救助加强了医疗救助信息化建设，落实省局“医疗救助+信息化”工作要求，在我局门户网站公布了医疗救助政策规定，方便群众了解医疗救助政策。实施“一单制”结算，取消了村（居）委会、乡镇（街道）等中间层面审核，杜绝了群众申请救助往返跑路、审核等待现象，实现了医疗救助“零成本”，“零等待”，极大提高了救助效率。</w:t>
      </w:r>
    </w:p>
    <w:p w14:paraId="35F1C52F">
      <w:pPr>
        <w:spacing w:line="540" w:lineRule="exact"/>
        <w:ind w:firstLine="640" w:firstLineChars="200"/>
        <w:rPr>
          <w:rFonts w:ascii="楷体" w:hAnsi="楷体" w:eastAsia="楷体"/>
          <w:b/>
          <w:sz w:val="32"/>
          <w:szCs w:val="32"/>
        </w:rPr>
      </w:pPr>
      <w:r>
        <w:rPr>
          <w:rFonts w:hint="eastAsia" w:ascii="楷体" w:hAnsi="楷体" w:eastAsia="楷体"/>
          <w:b/>
          <w:sz w:val="32"/>
          <w:szCs w:val="32"/>
        </w:rPr>
        <w:t>（三）项目产出</w:t>
      </w:r>
    </w:p>
    <w:p w14:paraId="6BE2682F">
      <w:pPr>
        <w:tabs>
          <w:tab w:val="left" w:pos="8222"/>
        </w:tabs>
        <w:spacing w:line="540" w:lineRule="exact"/>
        <w:ind w:firstLine="640" w:firstLineChars="200"/>
        <w:rPr>
          <w:rFonts w:ascii="仿宋" w:hAnsi="仿宋" w:eastAsia="仿宋"/>
          <w:sz w:val="32"/>
          <w:szCs w:val="32"/>
        </w:rPr>
      </w:pPr>
      <w:r>
        <w:rPr>
          <w:rFonts w:hint="eastAsia" w:ascii="仿宋_GB2312" w:eastAsia="仿宋_GB2312"/>
          <w:b/>
          <w:sz w:val="32"/>
          <w:szCs w:val="32"/>
        </w:rPr>
        <w:t>1.数量指标。</w:t>
      </w:r>
      <w:r>
        <w:rPr>
          <w:rFonts w:hint="eastAsia" w:ascii="仿宋" w:hAnsi="仿宋" w:eastAsia="仿宋"/>
          <w:sz w:val="32"/>
          <w:szCs w:val="32"/>
        </w:rPr>
        <w:t>2020年，我县资助参保人数11319人，支出257.07万元；门诊救助2503人次，支出97.42万元；住院救助9931人次，支出604.33万元；直接救助人次数占总救助人次数的43.5%。全县1-12月累计医疗救助23753人次，合计医疗救助支出958.82万元。</w:t>
      </w:r>
    </w:p>
    <w:p w14:paraId="45DBBAC4">
      <w:pPr>
        <w:spacing w:line="540" w:lineRule="exact"/>
        <w:ind w:right="-1" w:firstLine="640" w:firstLineChars="200"/>
        <w:contextualSpacing/>
        <w:rPr>
          <w:rFonts w:ascii="仿宋_GB2312" w:hAnsi="仿宋_GB2312" w:eastAsia="仿宋_GB2312" w:cs="仿宋_GB2312"/>
          <w:sz w:val="32"/>
          <w:szCs w:val="32"/>
        </w:rPr>
      </w:pPr>
      <w:r>
        <w:rPr>
          <w:rFonts w:hint="eastAsia" w:ascii="仿宋_GB2312" w:eastAsia="仿宋_GB2312"/>
          <w:sz w:val="32"/>
          <w:szCs w:val="32"/>
        </w:rPr>
        <w:t>2.质量指标。</w:t>
      </w:r>
      <w:r>
        <w:rPr>
          <w:rFonts w:hint="eastAsia" w:ascii="仿宋" w:hAnsi="仿宋" w:eastAsia="仿宋"/>
          <w:sz w:val="32"/>
          <w:szCs w:val="32"/>
        </w:rPr>
        <w:t>2020年我县</w:t>
      </w:r>
      <w:r>
        <w:rPr>
          <w:rFonts w:hint="eastAsia" w:ascii="仿宋" w:hAnsi="仿宋" w:eastAsia="仿宋" w:cs="宋体"/>
          <w:kern w:val="0"/>
          <w:sz w:val="32"/>
          <w:szCs w:val="32"/>
        </w:rPr>
        <w:t>门诊医疗费用救助没有设定具体救助比例，通过定额发放的方式实施；重点救助对象自付费用按规定年度限</w:t>
      </w:r>
      <w:r>
        <w:rPr>
          <w:rFonts w:hint="eastAsia" w:ascii="仿宋" w:hAnsi="仿宋" w:eastAsia="仿宋" w:cs="宋体"/>
          <w:color w:val="000000"/>
          <w:kern w:val="0"/>
          <w:sz w:val="32"/>
          <w:szCs w:val="32"/>
        </w:rPr>
        <w:t>额内住院救助比例</w:t>
      </w:r>
      <w:r>
        <w:rPr>
          <w:rFonts w:hint="eastAsia" w:ascii="仿宋" w:hAnsi="仿宋" w:eastAsia="仿宋" w:cs="宋体"/>
          <w:kern w:val="0"/>
          <w:sz w:val="32"/>
          <w:szCs w:val="32"/>
        </w:rPr>
        <w:t>79.3</w:t>
      </w:r>
      <w:r>
        <w:rPr>
          <w:rFonts w:hint="eastAsia" w:ascii="仿宋" w:hAnsi="仿宋" w:eastAsia="仿宋" w:cs="宋体"/>
          <w:color w:val="000000"/>
          <w:kern w:val="0"/>
          <w:sz w:val="32"/>
          <w:szCs w:val="32"/>
        </w:rPr>
        <w:t>%。</w:t>
      </w:r>
    </w:p>
    <w:p w14:paraId="0A090767">
      <w:pPr>
        <w:spacing w:line="540" w:lineRule="exact"/>
        <w:ind w:firstLine="640" w:firstLineChars="200"/>
        <w:rPr>
          <w:rFonts w:ascii="楷体" w:hAnsi="楷体" w:eastAsia="楷体"/>
          <w:b/>
          <w:sz w:val="32"/>
          <w:szCs w:val="32"/>
        </w:rPr>
      </w:pPr>
      <w:r>
        <w:rPr>
          <w:rFonts w:hint="eastAsia" w:ascii="楷体" w:hAnsi="楷体" w:eastAsia="楷体"/>
          <w:b/>
          <w:sz w:val="32"/>
          <w:szCs w:val="32"/>
        </w:rPr>
        <w:t>（四）项目效益</w:t>
      </w:r>
    </w:p>
    <w:p w14:paraId="1EB1AC84">
      <w:pPr>
        <w:spacing w:line="540" w:lineRule="exact"/>
        <w:ind w:firstLine="640" w:firstLineChars="200"/>
        <w:rPr>
          <w:rFonts w:ascii="仿宋_GB2312" w:hAnsi="宋体" w:eastAsia="仿宋_GB2312"/>
          <w:sz w:val="32"/>
          <w:szCs w:val="32"/>
        </w:rPr>
      </w:pPr>
      <w:r>
        <w:rPr>
          <w:rFonts w:hint="eastAsia" w:ascii="仿宋_GB2312" w:hAnsi="仿宋_GB2312" w:eastAsia="仿宋_GB2312" w:cs="仿宋_GB2312"/>
          <w:b/>
          <w:sz w:val="32"/>
          <w:szCs w:val="32"/>
        </w:rPr>
        <w:t>1.社会效益。</w:t>
      </w:r>
      <w:r>
        <w:rPr>
          <w:rFonts w:hint="eastAsia" w:ascii="仿宋" w:hAnsi="仿宋" w:eastAsia="仿宋"/>
          <w:sz w:val="32"/>
          <w:szCs w:val="32"/>
        </w:rPr>
        <w:t>医疗救助是各级党委、政府解决困难群众医疗负担问题的制度性安排，是社会救助体系内的基本内容之一。</w:t>
      </w:r>
      <w:r>
        <w:rPr>
          <w:rFonts w:hint="eastAsia" w:ascii="仿宋" w:hAnsi="仿宋" w:eastAsia="仿宋" w:cs="宋体"/>
          <w:kern w:val="0"/>
          <w:sz w:val="32"/>
          <w:szCs w:val="32"/>
        </w:rPr>
        <w:t>困难群众看病就医方便程度持续提高，有效健全了社会救助体系</w:t>
      </w:r>
      <w:r>
        <w:rPr>
          <w:rFonts w:hint="eastAsia" w:ascii="仿宋" w:hAnsi="仿宋" w:eastAsia="仿宋"/>
          <w:sz w:val="32"/>
          <w:szCs w:val="32"/>
        </w:rPr>
        <w:t>。2020年，全县</w:t>
      </w:r>
      <w:r>
        <w:rPr>
          <w:rFonts w:hint="eastAsia" w:ascii="仿宋" w:hAnsi="仿宋" w:eastAsia="仿宋" w:cs="宋体"/>
          <w:kern w:val="0"/>
          <w:sz w:val="32"/>
          <w:szCs w:val="32"/>
        </w:rPr>
        <w:t>医疗救助对象覆盖范围100%，</w:t>
      </w:r>
      <w:r>
        <w:rPr>
          <w:rFonts w:hint="eastAsia" w:ascii="仿宋" w:hAnsi="仿宋" w:eastAsia="仿宋"/>
          <w:sz w:val="32"/>
          <w:szCs w:val="32"/>
        </w:rPr>
        <w:t>通过一站式住院救助有效缓解了贫困对象自负医疗费高，住不起院，“看病难”，“看病贵”等问题。医疗救助与基本医疗保险形成了分层次递进的医疗保障体系，为全社会编织了一张相对完整的医疗保障网络，维护了社会稳定。</w:t>
      </w:r>
    </w:p>
    <w:p w14:paraId="2DB0F47F">
      <w:pPr>
        <w:spacing w:line="540" w:lineRule="exact"/>
        <w:ind w:firstLine="640" w:firstLineChars="200"/>
        <w:rPr>
          <w:rFonts w:ascii="仿宋" w:hAnsi="仿宋" w:eastAsia="仿宋" w:cs="仿宋_GB2312"/>
          <w:sz w:val="32"/>
          <w:szCs w:val="32"/>
        </w:rPr>
      </w:pPr>
      <w:r>
        <w:rPr>
          <w:rFonts w:hint="eastAsia" w:ascii="仿宋_GB2312" w:hAnsi="仿宋_GB2312" w:eastAsia="仿宋_GB2312" w:cs="仿宋_GB2312"/>
          <w:b/>
          <w:sz w:val="32"/>
          <w:szCs w:val="32"/>
        </w:rPr>
        <w:t>2.可持续影响。</w:t>
      </w:r>
      <w:r>
        <w:rPr>
          <w:rFonts w:hint="eastAsia" w:ascii="仿宋" w:hAnsi="仿宋" w:eastAsia="仿宋" w:cs="仿宋_GB2312"/>
          <w:sz w:val="32"/>
          <w:szCs w:val="32"/>
        </w:rPr>
        <w:t>2020年，我县医疗救助全面落实</w:t>
      </w:r>
      <w:r>
        <w:rPr>
          <w:rFonts w:hint="eastAsia" w:ascii="仿宋" w:hAnsi="仿宋" w:eastAsia="仿宋" w:cs="楷体_GB2312"/>
          <w:bCs/>
          <w:sz w:val="32"/>
          <w:szCs w:val="32"/>
        </w:rPr>
        <w:t>国务院《社会救助暂行办法》、四川省《社会救助实施办法》、</w:t>
      </w:r>
      <w:r>
        <w:rPr>
          <w:rFonts w:hint="eastAsia" w:ascii="仿宋" w:hAnsi="仿宋" w:eastAsia="仿宋" w:cs="仿宋_GB2312"/>
          <w:sz w:val="32"/>
          <w:szCs w:val="32"/>
        </w:rPr>
        <w:t>《民政事业发展第十三个五年规划》、市委、市政府《关于进一步健全城乡社会救助体系建设的意见》，医疗救助与城乡低保、城乡特困人员、脱贫攻坚、残疾人保障等制度有效衔接，深度融合，困难群众看病就医方便程度显著提高，进一步完善了我市社会救助体系。“医疗救助+信息化”对健全社会保障体系，提高社会保障水平起到积极的促进作用。2020年，我县全面贯彻落实国家、省医疗救助政策，切实履行了医疗救助工作分级管理，医疗救助资金分级负担的职责，县医疗保障部门做好救助对象管理，规范执行政策，会同县级有关部门建立并实施了部门间数据交换制度，有效维护了困难群众利益，医疗救助可持续性发展得到保障。</w:t>
      </w:r>
    </w:p>
    <w:p w14:paraId="245D100A">
      <w:pPr>
        <w:tabs>
          <w:tab w:val="left" w:pos="312"/>
        </w:tabs>
        <w:spacing w:line="540" w:lineRule="exact"/>
        <w:ind w:firstLine="640" w:firstLineChars="200"/>
        <w:rPr>
          <w:rFonts w:ascii="仿宋_GB2312" w:hAnsi="宋体" w:eastAsia="仿宋_GB2312" w:cs="宋体"/>
          <w:kern w:val="0"/>
          <w:sz w:val="32"/>
          <w:szCs w:val="32"/>
        </w:rPr>
      </w:pPr>
      <w:r>
        <w:rPr>
          <w:rFonts w:hint="eastAsia" w:ascii="仿宋_GB2312" w:hAnsi="楷体_GB2312" w:eastAsia="仿宋_GB2312" w:cs="楷体_GB2312"/>
          <w:b/>
          <w:bCs/>
          <w:sz w:val="32"/>
          <w:szCs w:val="32"/>
        </w:rPr>
        <w:t>3.满意度指标完成情况分析。</w:t>
      </w:r>
      <w:r>
        <w:rPr>
          <w:rFonts w:hint="eastAsia" w:ascii="仿宋" w:hAnsi="仿宋" w:eastAsia="仿宋" w:cs="宋体"/>
          <w:kern w:val="0"/>
          <w:sz w:val="32"/>
          <w:szCs w:val="32"/>
        </w:rPr>
        <w:t>2020年，我县在“米易县医疗保障局”门户网站公开发布了医疗救助政策，方便了群众对医疗救助的理解。2019年，我县救助对象对医疗救助政策知晓度超过95%，对政策执行的满意度超过95%。</w:t>
      </w:r>
    </w:p>
    <w:p w14:paraId="15868062">
      <w:pPr>
        <w:spacing w:line="540" w:lineRule="exact"/>
        <w:ind w:firstLine="640" w:firstLineChars="200"/>
        <w:rPr>
          <w:rFonts w:ascii="黑体" w:hAnsi="黑体" w:eastAsia="黑体"/>
          <w:sz w:val="32"/>
          <w:szCs w:val="32"/>
        </w:rPr>
      </w:pPr>
      <w:r>
        <w:rPr>
          <w:rFonts w:hint="eastAsia" w:ascii="黑体" w:hAnsi="黑体" w:eastAsia="黑体"/>
          <w:sz w:val="32"/>
          <w:szCs w:val="32"/>
        </w:rPr>
        <w:t>五、存在问题</w:t>
      </w:r>
    </w:p>
    <w:p w14:paraId="5CF1BBE1">
      <w:pPr>
        <w:spacing w:line="540" w:lineRule="exact"/>
        <w:ind w:firstLine="615"/>
        <w:rPr>
          <w:rFonts w:ascii="仿宋_GB2312" w:eastAsia="仿宋_GB2312"/>
          <w:sz w:val="32"/>
          <w:szCs w:val="32"/>
        </w:rPr>
      </w:pPr>
      <w:r>
        <w:rPr>
          <w:rFonts w:hint="eastAsia" w:ascii="楷体" w:hAnsi="楷体" w:eastAsia="楷体"/>
          <w:b/>
          <w:sz w:val="32"/>
          <w:szCs w:val="32"/>
        </w:rPr>
        <w:t>（一）医疗救助资金不足，县级财力窘困，资金兜底困难大。</w:t>
      </w:r>
      <w:r>
        <w:rPr>
          <w:rFonts w:hint="eastAsia" w:ascii="仿宋" w:hAnsi="仿宋" w:eastAsia="仿宋"/>
          <w:sz w:val="32"/>
          <w:szCs w:val="32"/>
        </w:rPr>
        <w:t>2020年中央、省财政厅共4次下达我县医疗救助补助资金657.79万元。2020年全县医疗救助总支出为958.82万元，资金需求大。米易县为旅游型县城，受疫情影响，县级财政收入大幅减少。按照国家“抓六稳促六保”刚性要求，我县困难群体医疗救助列为社会救助必须确保的刚性支出内容，社会救助需求进一步增加。2020年我县医疗救助资金没有结余。如上级不继续加大对我县资金支持力度，会导致现有财力支持医疗救助工作的难度急剧加大。</w:t>
      </w:r>
    </w:p>
    <w:p w14:paraId="4C83641A">
      <w:pPr>
        <w:spacing w:line="540" w:lineRule="exact"/>
        <w:ind w:firstLine="640" w:firstLineChars="200"/>
        <w:rPr>
          <w:rFonts w:ascii="仿宋" w:hAnsi="仿宋" w:eastAsia="仿宋"/>
          <w:sz w:val="32"/>
          <w:szCs w:val="32"/>
        </w:rPr>
      </w:pPr>
      <w:r>
        <w:rPr>
          <w:rFonts w:hint="eastAsia" w:ascii="楷体" w:hAnsi="楷体" w:eastAsia="楷体"/>
          <w:sz w:val="32"/>
          <w:szCs w:val="32"/>
        </w:rPr>
        <w:t>（二）</w:t>
      </w:r>
      <w:r>
        <w:rPr>
          <w:rFonts w:hint="eastAsia" w:ascii="楷体" w:hAnsi="楷体" w:eastAsia="楷体"/>
          <w:b/>
          <w:sz w:val="32"/>
          <w:szCs w:val="32"/>
        </w:rPr>
        <w:t>建档立卡贫困户与非建档立卡特殊困难户医疗救助资金没有纳入省对我县转移支付补助范围。</w:t>
      </w:r>
      <w:r>
        <w:rPr>
          <w:rFonts w:hint="eastAsia" w:ascii="仿宋" w:hAnsi="仿宋" w:eastAsia="仿宋"/>
          <w:sz w:val="32"/>
          <w:szCs w:val="32"/>
        </w:rPr>
        <w:t>2019年-2020年，根据省委、省政府《关于进一步加快推进凉山自发搬迁贫困人口精准扶贫精准脱贫工作的指导意见》（川委办〔2018〕24号）文件精神，</w:t>
      </w:r>
      <w:r>
        <w:rPr>
          <w:rFonts w:hint="eastAsia" w:ascii="仿宋" w:hAnsi="仿宋" w:eastAsia="仿宋"/>
          <w:color w:val="000000" w:themeColor="text1"/>
          <w:sz w:val="32"/>
          <w:szCs w:val="32"/>
        </w:rPr>
        <w:t>经扶贫移民部门精准识别，我县凉山自发搬迁贫困人口有2921人纳入脱贫攻坚范围。</w:t>
      </w:r>
      <w:r>
        <w:rPr>
          <w:rFonts w:hint="eastAsia" w:ascii="仿宋" w:hAnsi="仿宋" w:eastAsia="仿宋"/>
          <w:sz w:val="32"/>
          <w:szCs w:val="32"/>
        </w:rPr>
        <w:t>2020年，将全县非建档立卡特殊困难户1136人纳入医疗救助，两项合计新增医疗救助对象4057</w:t>
      </w:r>
      <w:r>
        <w:rPr>
          <w:rFonts w:hint="eastAsia" w:ascii="仿宋" w:hAnsi="仿宋" w:eastAsia="仿宋"/>
          <w:color w:val="000000" w:themeColor="text1"/>
          <w:sz w:val="32"/>
          <w:szCs w:val="32"/>
        </w:rPr>
        <w:t>人</w:t>
      </w:r>
      <w:r>
        <w:rPr>
          <w:rFonts w:hint="eastAsia" w:ascii="仿宋" w:hAnsi="仿宋" w:eastAsia="仿宋"/>
          <w:sz w:val="32"/>
          <w:szCs w:val="32"/>
        </w:rPr>
        <w:t>，这部分人员具有家庭人口多，救助资金需求大，救助时间长等特点。根据我县医疗救助水平测算，仅靠地方财力救助资金兜底难度大。</w:t>
      </w:r>
    </w:p>
    <w:p w14:paraId="1C4D2FBE">
      <w:pPr>
        <w:spacing w:line="540" w:lineRule="exact"/>
        <w:ind w:firstLine="640" w:firstLineChars="200"/>
        <w:rPr>
          <w:rFonts w:ascii="黑体" w:hAnsi="黑体" w:eastAsia="黑体"/>
          <w:sz w:val="32"/>
          <w:szCs w:val="32"/>
        </w:rPr>
      </w:pPr>
      <w:r>
        <w:rPr>
          <w:rFonts w:hint="eastAsia" w:ascii="黑体" w:hAnsi="黑体" w:eastAsia="黑体"/>
          <w:sz w:val="32"/>
          <w:szCs w:val="32"/>
        </w:rPr>
        <w:t>六、有关建议</w:t>
      </w:r>
    </w:p>
    <w:p w14:paraId="3F375E8C">
      <w:pPr>
        <w:spacing w:line="540" w:lineRule="exact"/>
        <w:ind w:firstLine="640" w:firstLineChars="200"/>
        <w:rPr>
          <w:rFonts w:ascii="仿宋" w:hAnsi="仿宋" w:eastAsia="仿宋"/>
          <w:sz w:val="32"/>
          <w:szCs w:val="32"/>
        </w:rPr>
      </w:pPr>
      <w:r>
        <w:rPr>
          <w:rFonts w:hint="eastAsia" w:ascii="仿宋" w:hAnsi="仿宋" w:eastAsia="仿宋"/>
          <w:sz w:val="32"/>
          <w:szCs w:val="32"/>
        </w:rPr>
        <w:t>恳请省局继续加大对我县资金支持力度，将上级医疗救助补助资金额度调整为不低于总支出的80%。按照国家、省政府脱贫攻坚与乡村振兴战略有效衔接精神，进一步加大对我县医疗救助资金支持力度。</w:t>
      </w:r>
    </w:p>
    <w:p w14:paraId="51D1F33C">
      <w:pPr>
        <w:widowControl/>
        <w:jc w:val="left"/>
        <w:rPr>
          <w:rStyle w:val="26"/>
          <w:rFonts w:ascii="黑体" w:hAnsi="黑体" w:eastAsia="黑体"/>
          <w:b w:val="0"/>
        </w:rPr>
      </w:pPr>
    </w:p>
    <w:p w14:paraId="38D21705">
      <w:pPr>
        <w:widowControl/>
        <w:jc w:val="left"/>
        <w:rPr>
          <w:rStyle w:val="26"/>
          <w:rFonts w:ascii="黑体" w:hAnsi="黑体" w:eastAsia="黑体"/>
          <w:b w:val="0"/>
        </w:rPr>
      </w:pPr>
      <w:r>
        <w:rPr>
          <w:rStyle w:val="26"/>
          <w:rFonts w:ascii="黑体" w:hAnsi="黑体" w:eastAsia="黑体"/>
          <w:b w:val="0"/>
        </w:rPr>
        <w:br w:type="page"/>
      </w:r>
    </w:p>
    <w:p w14:paraId="1306F626">
      <w:pPr>
        <w:spacing w:line="600" w:lineRule="exact"/>
        <w:jc w:val="center"/>
        <w:outlineLvl w:val="0"/>
        <w:rPr>
          <w:rStyle w:val="26"/>
          <w:rFonts w:ascii="黑体" w:hAnsi="黑体" w:eastAsia="黑体"/>
          <w:b w:val="0"/>
        </w:rPr>
      </w:pPr>
    </w:p>
    <w:p w14:paraId="71AC45EC">
      <w:pPr>
        <w:spacing w:line="600" w:lineRule="exact"/>
        <w:jc w:val="center"/>
        <w:outlineLvl w:val="0"/>
        <w:rPr>
          <w:rStyle w:val="26"/>
          <w:rFonts w:ascii="黑体" w:hAnsi="黑体" w:eastAsia="黑体"/>
          <w:b w:val="0"/>
        </w:rPr>
      </w:pPr>
      <w:bookmarkStart w:id="53"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1"/>
      <w:bookmarkEnd w:id="53"/>
    </w:p>
    <w:p w14:paraId="640769C7">
      <w:pPr>
        <w:pStyle w:val="3"/>
        <w:spacing w:line="560" w:lineRule="exact"/>
        <w:rPr>
          <w:rFonts w:ascii="仿宋" w:hAnsi="仿宋" w:eastAsia="仿宋"/>
          <w:color w:val="000000"/>
        </w:rPr>
      </w:pPr>
      <w:bookmarkStart w:id="54"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54"/>
    </w:p>
    <w:p w14:paraId="6500BDD6">
      <w:pPr>
        <w:pStyle w:val="3"/>
        <w:spacing w:line="560" w:lineRule="exact"/>
        <w:rPr>
          <w:rFonts w:ascii="仿宋" w:hAnsi="仿宋" w:eastAsia="仿宋"/>
          <w:color w:val="000000"/>
        </w:rPr>
      </w:pPr>
      <w:bookmarkStart w:id="55"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55"/>
    </w:p>
    <w:p w14:paraId="33427898">
      <w:pPr>
        <w:pStyle w:val="3"/>
        <w:spacing w:line="560" w:lineRule="exact"/>
        <w:rPr>
          <w:rFonts w:ascii="仿宋" w:hAnsi="仿宋" w:eastAsia="仿宋"/>
          <w:color w:val="000000"/>
        </w:rPr>
      </w:pPr>
      <w:bookmarkStart w:id="56"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56"/>
    </w:p>
    <w:p w14:paraId="20F5964B">
      <w:pPr>
        <w:pStyle w:val="3"/>
        <w:spacing w:line="560" w:lineRule="exact"/>
        <w:rPr>
          <w:rFonts w:ascii="仿宋" w:hAnsi="仿宋" w:eastAsia="仿宋"/>
          <w:b w:val="0"/>
          <w:color w:val="000000"/>
        </w:rPr>
      </w:pPr>
      <w:bookmarkStart w:id="57"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57"/>
    </w:p>
    <w:p w14:paraId="578378AC">
      <w:pPr>
        <w:pStyle w:val="3"/>
        <w:spacing w:line="560" w:lineRule="exact"/>
        <w:rPr>
          <w:rStyle w:val="27"/>
          <w:rFonts w:ascii="仿宋" w:hAnsi="仿宋" w:eastAsia="仿宋"/>
          <w:b w:val="0"/>
          <w:bCs w:val="0"/>
        </w:rPr>
      </w:pPr>
      <w:bookmarkStart w:id="58"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58"/>
      <w:bookmarkStart w:id="59" w:name="_Toc15396624"/>
    </w:p>
    <w:p w14:paraId="691E009F">
      <w:pPr>
        <w:pStyle w:val="3"/>
        <w:spacing w:line="560" w:lineRule="exact"/>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59"/>
    </w:p>
    <w:p w14:paraId="0C6B5BA2">
      <w:pPr>
        <w:pStyle w:val="3"/>
        <w:spacing w:line="560" w:lineRule="exact"/>
        <w:rPr>
          <w:rFonts w:ascii="仿宋" w:hAnsi="仿宋" w:eastAsia="仿宋"/>
          <w:color w:val="000000"/>
        </w:rPr>
      </w:pPr>
      <w:bookmarkStart w:id="60"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0"/>
    </w:p>
    <w:p w14:paraId="26C3FF7C">
      <w:pPr>
        <w:pStyle w:val="3"/>
        <w:spacing w:line="560" w:lineRule="exact"/>
        <w:rPr>
          <w:rFonts w:ascii="仿宋" w:hAnsi="仿宋" w:eastAsia="仿宋"/>
          <w:color w:val="000000"/>
        </w:rPr>
      </w:pPr>
      <w:bookmarkStart w:id="61"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1"/>
    </w:p>
    <w:p w14:paraId="0107D265">
      <w:pPr>
        <w:pStyle w:val="3"/>
        <w:spacing w:line="560" w:lineRule="exact"/>
        <w:rPr>
          <w:rFonts w:ascii="仿宋" w:hAnsi="仿宋" w:eastAsia="仿宋"/>
          <w:color w:val="000000"/>
        </w:rPr>
      </w:pPr>
      <w:bookmarkStart w:id="62"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2"/>
    </w:p>
    <w:p w14:paraId="30BD3E6F">
      <w:pPr>
        <w:pStyle w:val="3"/>
        <w:spacing w:line="560" w:lineRule="exact"/>
        <w:rPr>
          <w:rFonts w:ascii="仿宋" w:hAnsi="仿宋" w:eastAsia="仿宋"/>
          <w:color w:val="000000"/>
        </w:rPr>
      </w:pPr>
      <w:bookmarkStart w:id="63"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3"/>
    </w:p>
    <w:p w14:paraId="1835C0E9">
      <w:pPr>
        <w:pStyle w:val="3"/>
        <w:spacing w:line="560" w:lineRule="exact"/>
        <w:rPr>
          <w:rFonts w:ascii="仿宋" w:hAnsi="仿宋" w:eastAsia="仿宋"/>
          <w:color w:val="000000"/>
        </w:rPr>
      </w:pPr>
      <w:bookmarkStart w:id="64"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64"/>
    </w:p>
    <w:p w14:paraId="6C919E31">
      <w:pPr>
        <w:pStyle w:val="3"/>
        <w:spacing w:line="560" w:lineRule="exact"/>
        <w:rPr>
          <w:rFonts w:ascii="仿宋" w:hAnsi="仿宋" w:eastAsia="仿宋"/>
          <w:color w:val="000000"/>
        </w:rPr>
      </w:pPr>
      <w:bookmarkStart w:id="65"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65"/>
    </w:p>
    <w:p w14:paraId="3D507C90">
      <w:pPr>
        <w:pStyle w:val="3"/>
        <w:spacing w:line="560" w:lineRule="exact"/>
        <w:rPr>
          <w:rStyle w:val="27"/>
          <w:rFonts w:ascii="仿宋" w:hAnsi="仿宋" w:eastAsia="仿宋"/>
          <w:b w:val="0"/>
          <w:bCs w:val="0"/>
        </w:rPr>
      </w:pPr>
      <w:bookmarkStart w:id="66"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66"/>
    </w:p>
    <w:p w14:paraId="277B0E34">
      <w:pPr>
        <w:pStyle w:val="3"/>
        <w:spacing w:line="560" w:lineRule="exact"/>
        <w:rPr>
          <w:rStyle w:val="27"/>
          <w:rFonts w:ascii="仿宋" w:hAnsi="仿宋" w:eastAsia="仿宋"/>
          <w:b w:val="0"/>
          <w:bCs/>
        </w:rPr>
      </w:pPr>
      <w:r>
        <w:rPr>
          <w:rStyle w:val="27"/>
          <w:rFonts w:hint="eastAsia" w:ascii="仿宋" w:hAnsi="仿宋" w:eastAsia="仿宋"/>
          <w:b w:val="0"/>
          <w:bCs/>
        </w:rPr>
        <w:t>十四</w:t>
      </w:r>
      <w:r>
        <w:rPr>
          <w:rStyle w:val="27"/>
          <w:rFonts w:hint="eastAsia" w:ascii="仿宋" w:hAnsi="仿宋" w:eastAsia="仿宋"/>
          <w:b w:val="0"/>
          <w:bCs w:val="0"/>
        </w:rPr>
        <w:t>、</w:t>
      </w:r>
      <w:r>
        <w:rPr>
          <w:rFonts w:hint="eastAsia" w:ascii="仿宋" w:hAnsi="仿宋" w:eastAsia="仿宋"/>
          <w:b w:val="0"/>
          <w:color w:val="000000"/>
        </w:rPr>
        <w:t>国</w:t>
      </w:r>
      <w:r>
        <w:rPr>
          <w:rStyle w:val="27"/>
          <w:rFonts w:hint="eastAsia" w:ascii="仿宋" w:hAnsi="仿宋" w:eastAsia="仿宋"/>
          <w:b w:val="0"/>
          <w:bCs/>
        </w:rPr>
        <w:t>有资本经营预算财政拨款支出决算表</w:t>
      </w:r>
    </w:p>
    <w:p w14:paraId="6A1E2A18">
      <w:pPr>
        <w:spacing w:line="560" w:lineRule="exact"/>
        <w:rPr>
          <w:rFonts w:eastAsia="仿宋"/>
        </w:rPr>
      </w:pPr>
      <w:r>
        <w:rPr>
          <w:rStyle w:val="27"/>
          <w:rFonts w:hint="eastAsia" w:ascii="仿宋" w:hAnsi="仿宋" w:eastAsia="仿宋"/>
          <w:b w:val="0"/>
        </w:rPr>
        <w:t>十五、机关运行经费、资产占用情况及政府采购支出信息表</w:t>
      </w:r>
    </w:p>
    <w:p w14:paraId="776988ED"/>
    <w:sectPr>
      <w:pgSz w:w="11906" w:h="16838"/>
      <w:pgMar w:top="1134" w:right="1797" w:bottom="1440" w:left="1797" w:header="851" w:footer="992"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842568"/>
      <w:docPartObj>
        <w:docPartGallery w:val="AutoText"/>
      </w:docPartObj>
    </w:sdtPr>
    <w:sdtContent>
      <w:p w14:paraId="05531245">
        <w:pPr>
          <w:pStyle w:val="9"/>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14:paraId="5A224FC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842564"/>
      <w:docPartObj>
        <w:docPartGallery w:val="AutoText"/>
      </w:docPartObj>
    </w:sdtPr>
    <w:sdtEndPr>
      <w:rPr>
        <w:rFonts w:asciiTheme="minorEastAsia" w:hAnsiTheme="minorEastAsia" w:eastAsiaTheme="minorEastAsia"/>
        <w:sz w:val="28"/>
        <w:szCs w:val="28"/>
      </w:rPr>
    </w:sdtEndPr>
    <w:sdtContent>
      <w:p w14:paraId="45DFE433">
        <w:pPr>
          <w:pStyle w:val="9"/>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p w14:paraId="050321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842563"/>
      <w:docPartObj>
        <w:docPartGallery w:val="AutoText"/>
      </w:docPartObj>
    </w:sdtPr>
    <w:sdtContent>
      <w:p w14:paraId="1F1B092F">
        <w:pPr>
          <w:pStyle w:val="9"/>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1E4A18E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842571"/>
      <w:docPartObj>
        <w:docPartGallery w:val="AutoText"/>
      </w:docPartObj>
    </w:sdtPr>
    <w:sdtContent>
      <w:p w14:paraId="4AE8D7D8">
        <w:pPr>
          <w:pStyle w:val="9"/>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p>
    </w:sdtContent>
  </w:sdt>
  <w:p w14:paraId="07A2C02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B2EE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301D"/>
    <w:rsid w:val="0001333A"/>
    <w:rsid w:val="000222C6"/>
    <w:rsid w:val="0002549F"/>
    <w:rsid w:val="00035617"/>
    <w:rsid w:val="00042840"/>
    <w:rsid w:val="00043188"/>
    <w:rsid w:val="000468DB"/>
    <w:rsid w:val="0006487A"/>
    <w:rsid w:val="00065F8F"/>
    <w:rsid w:val="0006779F"/>
    <w:rsid w:val="00067A53"/>
    <w:rsid w:val="00070A43"/>
    <w:rsid w:val="00076807"/>
    <w:rsid w:val="000768F2"/>
    <w:rsid w:val="00080717"/>
    <w:rsid w:val="0009184B"/>
    <w:rsid w:val="00091ACF"/>
    <w:rsid w:val="00094236"/>
    <w:rsid w:val="0009593C"/>
    <w:rsid w:val="00097322"/>
    <w:rsid w:val="000A0B3D"/>
    <w:rsid w:val="000A6A92"/>
    <w:rsid w:val="000B047F"/>
    <w:rsid w:val="000B3142"/>
    <w:rsid w:val="000B46E7"/>
    <w:rsid w:val="000B5923"/>
    <w:rsid w:val="000B5A48"/>
    <w:rsid w:val="000B6FF3"/>
    <w:rsid w:val="000C3467"/>
    <w:rsid w:val="000C3CA6"/>
    <w:rsid w:val="000D1267"/>
    <w:rsid w:val="000D1D50"/>
    <w:rsid w:val="000D3382"/>
    <w:rsid w:val="000D5782"/>
    <w:rsid w:val="000E424A"/>
    <w:rsid w:val="000E6613"/>
    <w:rsid w:val="000E7119"/>
    <w:rsid w:val="00112910"/>
    <w:rsid w:val="00114E9B"/>
    <w:rsid w:val="001152FE"/>
    <w:rsid w:val="00121A09"/>
    <w:rsid w:val="00142216"/>
    <w:rsid w:val="00144D6A"/>
    <w:rsid w:val="0014689A"/>
    <w:rsid w:val="0014729F"/>
    <w:rsid w:val="00157BAB"/>
    <w:rsid w:val="00162C05"/>
    <w:rsid w:val="001654D1"/>
    <w:rsid w:val="00172982"/>
    <w:rsid w:val="00174518"/>
    <w:rsid w:val="001765A5"/>
    <w:rsid w:val="0018106D"/>
    <w:rsid w:val="00181C41"/>
    <w:rsid w:val="001877A7"/>
    <w:rsid w:val="00191536"/>
    <w:rsid w:val="00196687"/>
    <w:rsid w:val="001C0962"/>
    <w:rsid w:val="001C5B17"/>
    <w:rsid w:val="001D4167"/>
    <w:rsid w:val="001D7531"/>
    <w:rsid w:val="001E737D"/>
    <w:rsid w:val="001F0592"/>
    <w:rsid w:val="001F7506"/>
    <w:rsid w:val="002006CD"/>
    <w:rsid w:val="00202B36"/>
    <w:rsid w:val="00204B7A"/>
    <w:rsid w:val="00204CDE"/>
    <w:rsid w:val="002055E2"/>
    <w:rsid w:val="0021101A"/>
    <w:rsid w:val="002169BD"/>
    <w:rsid w:val="00220536"/>
    <w:rsid w:val="00235629"/>
    <w:rsid w:val="00253747"/>
    <w:rsid w:val="00260C38"/>
    <w:rsid w:val="002616C0"/>
    <w:rsid w:val="00264023"/>
    <w:rsid w:val="00265372"/>
    <w:rsid w:val="002662AA"/>
    <w:rsid w:val="00266546"/>
    <w:rsid w:val="00280496"/>
    <w:rsid w:val="002929E9"/>
    <w:rsid w:val="00294DC9"/>
    <w:rsid w:val="00295495"/>
    <w:rsid w:val="002A31DE"/>
    <w:rsid w:val="002B2613"/>
    <w:rsid w:val="002D19B0"/>
    <w:rsid w:val="002D6D05"/>
    <w:rsid w:val="002F058F"/>
    <w:rsid w:val="002F1818"/>
    <w:rsid w:val="002F1AA2"/>
    <w:rsid w:val="002F567B"/>
    <w:rsid w:val="0031145A"/>
    <w:rsid w:val="003136B5"/>
    <w:rsid w:val="0031526E"/>
    <w:rsid w:val="003216A9"/>
    <w:rsid w:val="00335A74"/>
    <w:rsid w:val="003369C6"/>
    <w:rsid w:val="00342010"/>
    <w:rsid w:val="00355105"/>
    <w:rsid w:val="0036561B"/>
    <w:rsid w:val="0037013F"/>
    <w:rsid w:val="0037043F"/>
    <w:rsid w:val="00372A8F"/>
    <w:rsid w:val="00380C92"/>
    <w:rsid w:val="00394E02"/>
    <w:rsid w:val="003A484F"/>
    <w:rsid w:val="003A4883"/>
    <w:rsid w:val="003B0BE0"/>
    <w:rsid w:val="003B0C1B"/>
    <w:rsid w:val="003B2FA9"/>
    <w:rsid w:val="003B688C"/>
    <w:rsid w:val="003C0291"/>
    <w:rsid w:val="003C39AE"/>
    <w:rsid w:val="003C3BB8"/>
    <w:rsid w:val="003C7B60"/>
    <w:rsid w:val="003D09C5"/>
    <w:rsid w:val="003D0C0F"/>
    <w:rsid w:val="003D1FB2"/>
    <w:rsid w:val="003D66DA"/>
    <w:rsid w:val="003E1310"/>
    <w:rsid w:val="003E6F55"/>
    <w:rsid w:val="00406254"/>
    <w:rsid w:val="00416CD4"/>
    <w:rsid w:val="004223DE"/>
    <w:rsid w:val="00424FB0"/>
    <w:rsid w:val="00434489"/>
    <w:rsid w:val="004363C9"/>
    <w:rsid w:val="00437085"/>
    <w:rsid w:val="004402BD"/>
    <w:rsid w:val="00443880"/>
    <w:rsid w:val="004464F4"/>
    <w:rsid w:val="0045435C"/>
    <w:rsid w:val="00455768"/>
    <w:rsid w:val="00471401"/>
    <w:rsid w:val="00473F31"/>
    <w:rsid w:val="0048263A"/>
    <w:rsid w:val="00487E5D"/>
    <w:rsid w:val="00491900"/>
    <w:rsid w:val="00494314"/>
    <w:rsid w:val="004A290E"/>
    <w:rsid w:val="004A3428"/>
    <w:rsid w:val="004A711F"/>
    <w:rsid w:val="004B199D"/>
    <w:rsid w:val="004B4690"/>
    <w:rsid w:val="004B74EE"/>
    <w:rsid w:val="004D1A4F"/>
    <w:rsid w:val="004E0A2D"/>
    <w:rsid w:val="004E206B"/>
    <w:rsid w:val="004E6DF7"/>
    <w:rsid w:val="004F0FBD"/>
    <w:rsid w:val="004F403E"/>
    <w:rsid w:val="00505A47"/>
    <w:rsid w:val="00512FDA"/>
    <w:rsid w:val="00520DA0"/>
    <w:rsid w:val="0052384F"/>
    <w:rsid w:val="00533B2B"/>
    <w:rsid w:val="0054749A"/>
    <w:rsid w:val="005664BB"/>
    <w:rsid w:val="00566FFA"/>
    <w:rsid w:val="00571295"/>
    <w:rsid w:val="0057481D"/>
    <w:rsid w:val="00575012"/>
    <w:rsid w:val="00575F0B"/>
    <w:rsid w:val="0058486E"/>
    <w:rsid w:val="00585B33"/>
    <w:rsid w:val="0059014D"/>
    <w:rsid w:val="00592820"/>
    <w:rsid w:val="005A2883"/>
    <w:rsid w:val="005B5C64"/>
    <w:rsid w:val="005C6BD0"/>
    <w:rsid w:val="005C6C4C"/>
    <w:rsid w:val="005D1C8B"/>
    <w:rsid w:val="005D468D"/>
    <w:rsid w:val="005D5CED"/>
    <w:rsid w:val="005E7512"/>
    <w:rsid w:val="005F1A4C"/>
    <w:rsid w:val="00605688"/>
    <w:rsid w:val="006070AF"/>
    <w:rsid w:val="00607E6C"/>
    <w:rsid w:val="006101B1"/>
    <w:rsid w:val="00614E44"/>
    <w:rsid w:val="00617774"/>
    <w:rsid w:val="0062270A"/>
    <w:rsid w:val="00622830"/>
    <w:rsid w:val="00623DA0"/>
    <w:rsid w:val="00630AEF"/>
    <w:rsid w:val="006325F8"/>
    <w:rsid w:val="00633463"/>
    <w:rsid w:val="00634C9A"/>
    <w:rsid w:val="006440E4"/>
    <w:rsid w:val="00652A30"/>
    <w:rsid w:val="0066343B"/>
    <w:rsid w:val="00664777"/>
    <w:rsid w:val="00671FB2"/>
    <w:rsid w:val="00672D53"/>
    <w:rsid w:val="0067441D"/>
    <w:rsid w:val="006748A4"/>
    <w:rsid w:val="00676D45"/>
    <w:rsid w:val="00681A31"/>
    <w:rsid w:val="00683E73"/>
    <w:rsid w:val="006863F6"/>
    <w:rsid w:val="0069797F"/>
    <w:rsid w:val="006A3141"/>
    <w:rsid w:val="006A5E34"/>
    <w:rsid w:val="006B2422"/>
    <w:rsid w:val="006B2B9A"/>
    <w:rsid w:val="006C1937"/>
    <w:rsid w:val="006C74B1"/>
    <w:rsid w:val="006D6FD3"/>
    <w:rsid w:val="006F020C"/>
    <w:rsid w:val="006F3111"/>
    <w:rsid w:val="00710DE3"/>
    <w:rsid w:val="007127B7"/>
    <w:rsid w:val="00716D12"/>
    <w:rsid w:val="0071798E"/>
    <w:rsid w:val="00727533"/>
    <w:rsid w:val="0073256E"/>
    <w:rsid w:val="00737950"/>
    <w:rsid w:val="007416B6"/>
    <w:rsid w:val="00746F48"/>
    <w:rsid w:val="00752589"/>
    <w:rsid w:val="0075404D"/>
    <w:rsid w:val="00754FB9"/>
    <w:rsid w:val="00755263"/>
    <w:rsid w:val="00757CC7"/>
    <w:rsid w:val="0076182A"/>
    <w:rsid w:val="00767B7E"/>
    <w:rsid w:val="00771B26"/>
    <w:rsid w:val="007770C3"/>
    <w:rsid w:val="00784D24"/>
    <w:rsid w:val="00785FBA"/>
    <w:rsid w:val="00786E4A"/>
    <w:rsid w:val="007873D5"/>
    <w:rsid w:val="007875EB"/>
    <w:rsid w:val="0079426B"/>
    <w:rsid w:val="007A1862"/>
    <w:rsid w:val="007C3536"/>
    <w:rsid w:val="007D1682"/>
    <w:rsid w:val="007D312A"/>
    <w:rsid w:val="007D3F19"/>
    <w:rsid w:val="007E23B0"/>
    <w:rsid w:val="007F1991"/>
    <w:rsid w:val="007F2C2F"/>
    <w:rsid w:val="007F3E45"/>
    <w:rsid w:val="007F55FC"/>
    <w:rsid w:val="007F5665"/>
    <w:rsid w:val="00800112"/>
    <w:rsid w:val="00813348"/>
    <w:rsid w:val="008141D5"/>
    <w:rsid w:val="008253BB"/>
    <w:rsid w:val="00833962"/>
    <w:rsid w:val="0083706E"/>
    <w:rsid w:val="008408F6"/>
    <w:rsid w:val="00841325"/>
    <w:rsid w:val="008423A5"/>
    <w:rsid w:val="00844F46"/>
    <w:rsid w:val="00850625"/>
    <w:rsid w:val="00853718"/>
    <w:rsid w:val="00855221"/>
    <w:rsid w:val="00860645"/>
    <w:rsid w:val="00871F71"/>
    <w:rsid w:val="00872FD8"/>
    <w:rsid w:val="00876372"/>
    <w:rsid w:val="008811FA"/>
    <w:rsid w:val="00885AF4"/>
    <w:rsid w:val="008939CD"/>
    <w:rsid w:val="0089524B"/>
    <w:rsid w:val="00895D09"/>
    <w:rsid w:val="008A0CB5"/>
    <w:rsid w:val="008A6E7F"/>
    <w:rsid w:val="008B768C"/>
    <w:rsid w:val="008C4DB1"/>
    <w:rsid w:val="008C4EAF"/>
    <w:rsid w:val="008C5176"/>
    <w:rsid w:val="008C74DD"/>
    <w:rsid w:val="008C7FD0"/>
    <w:rsid w:val="008E1DE7"/>
    <w:rsid w:val="008E707C"/>
    <w:rsid w:val="008F12B0"/>
    <w:rsid w:val="008F2F01"/>
    <w:rsid w:val="008F6779"/>
    <w:rsid w:val="008F7E69"/>
    <w:rsid w:val="00900B08"/>
    <w:rsid w:val="00900C20"/>
    <w:rsid w:val="00902155"/>
    <w:rsid w:val="00902FA3"/>
    <w:rsid w:val="00917297"/>
    <w:rsid w:val="00923564"/>
    <w:rsid w:val="0092392E"/>
    <w:rsid w:val="00926FF5"/>
    <w:rsid w:val="009315F9"/>
    <w:rsid w:val="00933499"/>
    <w:rsid w:val="00935C98"/>
    <w:rsid w:val="00946945"/>
    <w:rsid w:val="00951248"/>
    <w:rsid w:val="0095152F"/>
    <w:rsid w:val="00953349"/>
    <w:rsid w:val="00954C49"/>
    <w:rsid w:val="00955E37"/>
    <w:rsid w:val="0097099F"/>
    <w:rsid w:val="00971997"/>
    <w:rsid w:val="00971FFC"/>
    <w:rsid w:val="00975162"/>
    <w:rsid w:val="009759E7"/>
    <w:rsid w:val="0098660A"/>
    <w:rsid w:val="00986F14"/>
    <w:rsid w:val="009931C3"/>
    <w:rsid w:val="009B2C43"/>
    <w:rsid w:val="009B4EAE"/>
    <w:rsid w:val="009B7164"/>
    <w:rsid w:val="009B7573"/>
    <w:rsid w:val="009C22F4"/>
    <w:rsid w:val="009C2E98"/>
    <w:rsid w:val="009C37FB"/>
    <w:rsid w:val="009D3447"/>
    <w:rsid w:val="009D4711"/>
    <w:rsid w:val="009E73D2"/>
    <w:rsid w:val="009F1185"/>
    <w:rsid w:val="009F18CD"/>
    <w:rsid w:val="009F2017"/>
    <w:rsid w:val="009F2A13"/>
    <w:rsid w:val="009F7527"/>
    <w:rsid w:val="00A039ED"/>
    <w:rsid w:val="00A04EB0"/>
    <w:rsid w:val="00A13CC1"/>
    <w:rsid w:val="00A16847"/>
    <w:rsid w:val="00A237D8"/>
    <w:rsid w:val="00A268C4"/>
    <w:rsid w:val="00A27C1D"/>
    <w:rsid w:val="00A307CD"/>
    <w:rsid w:val="00A331C8"/>
    <w:rsid w:val="00A35117"/>
    <w:rsid w:val="00A40A00"/>
    <w:rsid w:val="00A40B72"/>
    <w:rsid w:val="00A4142F"/>
    <w:rsid w:val="00A422EB"/>
    <w:rsid w:val="00A44FCB"/>
    <w:rsid w:val="00A45BB7"/>
    <w:rsid w:val="00A56DF2"/>
    <w:rsid w:val="00A56E6E"/>
    <w:rsid w:val="00A67AB5"/>
    <w:rsid w:val="00A733B2"/>
    <w:rsid w:val="00A741C2"/>
    <w:rsid w:val="00A83A88"/>
    <w:rsid w:val="00A842F5"/>
    <w:rsid w:val="00A856B1"/>
    <w:rsid w:val="00A91760"/>
    <w:rsid w:val="00A92545"/>
    <w:rsid w:val="00A93B00"/>
    <w:rsid w:val="00A93C21"/>
    <w:rsid w:val="00AA120A"/>
    <w:rsid w:val="00AA769A"/>
    <w:rsid w:val="00AB5992"/>
    <w:rsid w:val="00AB64C9"/>
    <w:rsid w:val="00AB7591"/>
    <w:rsid w:val="00AC3C6A"/>
    <w:rsid w:val="00AD0F83"/>
    <w:rsid w:val="00AD5620"/>
    <w:rsid w:val="00AD656B"/>
    <w:rsid w:val="00AD7C1B"/>
    <w:rsid w:val="00AE16BA"/>
    <w:rsid w:val="00AE1EBE"/>
    <w:rsid w:val="00B03974"/>
    <w:rsid w:val="00B03C9D"/>
    <w:rsid w:val="00B060AE"/>
    <w:rsid w:val="00B10517"/>
    <w:rsid w:val="00B14E76"/>
    <w:rsid w:val="00B161B8"/>
    <w:rsid w:val="00B2048C"/>
    <w:rsid w:val="00B22067"/>
    <w:rsid w:val="00B301D6"/>
    <w:rsid w:val="00B310B9"/>
    <w:rsid w:val="00B34EFF"/>
    <w:rsid w:val="00B35F3F"/>
    <w:rsid w:val="00B36CBB"/>
    <w:rsid w:val="00B425E0"/>
    <w:rsid w:val="00B440AA"/>
    <w:rsid w:val="00B44B70"/>
    <w:rsid w:val="00B53C56"/>
    <w:rsid w:val="00B57DAF"/>
    <w:rsid w:val="00B75672"/>
    <w:rsid w:val="00B75B03"/>
    <w:rsid w:val="00B77EA6"/>
    <w:rsid w:val="00B81598"/>
    <w:rsid w:val="00B841F1"/>
    <w:rsid w:val="00B944D6"/>
    <w:rsid w:val="00BA20CF"/>
    <w:rsid w:val="00BB4DF0"/>
    <w:rsid w:val="00BC289F"/>
    <w:rsid w:val="00BC2D50"/>
    <w:rsid w:val="00BC3412"/>
    <w:rsid w:val="00BC5361"/>
    <w:rsid w:val="00BC5460"/>
    <w:rsid w:val="00BC6593"/>
    <w:rsid w:val="00BC6A8C"/>
    <w:rsid w:val="00BC6B50"/>
    <w:rsid w:val="00BD0E25"/>
    <w:rsid w:val="00BD6477"/>
    <w:rsid w:val="00BD7165"/>
    <w:rsid w:val="00BF5BD6"/>
    <w:rsid w:val="00BF5F0E"/>
    <w:rsid w:val="00C03E31"/>
    <w:rsid w:val="00C16B74"/>
    <w:rsid w:val="00C228D5"/>
    <w:rsid w:val="00C30E69"/>
    <w:rsid w:val="00C32F48"/>
    <w:rsid w:val="00C32FCE"/>
    <w:rsid w:val="00C33E72"/>
    <w:rsid w:val="00C354B2"/>
    <w:rsid w:val="00C35554"/>
    <w:rsid w:val="00C42522"/>
    <w:rsid w:val="00C42709"/>
    <w:rsid w:val="00C43828"/>
    <w:rsid w:val="00C4574B"/>
    <w:rsid w:val="00C533CC"/>
    <w:rsid w:val="00C5751C"/>
    <w:rsid w:val="00C61BFC"/>
    <w:rsid w:val="00C62B85"/>
    <w:rsid w:val="00C65438"/>
    <w:rsid w:val="00C7309D"/>
    <w:rsid w:val="00C7561C"/>
    <w:rsid w:val="00C91CBB"/>
    <w:rsid w:val="00CB4E70"/>
    <w:rsid w:val="00CC09B6"/>
    <w:rsid w:val="00CC3DC6"/>
    <w:rsid w:val="00CC4EA7"/>
    <w:rsid w:val="00CC666F"/>
    <w:rsid w:val="00CD1E3F"/>
    <w:rsid w:val="00CE27DD"/>
    <w:rsid w:val="00CE44F6"/>
    <w:rsid w:val="00CE49DA"/>
    <w:rsid w:val="00CE7B61"/>
    <w:rsid w:val="00D00095"/>
    <w:rsid w:val="00D02B41"/>
    <w:rsid w:val="00D058FF"/>
    <w:rsid w:val="00D114F0"/>
    <w:rsid w:val="00D15C4F"/>
    <w:rsid w:val="00D20620"/>
    <w:rsid w:val="00D254F7"/>
    <w:rsid w:val="00D26091"/>
    <w:rsid w:val="00D2685C"/>
    <w:rsid w:val="00D34E7C"/>
    <w:rsid w:val="00D35489"/>
    <w:rsid w:val="00D36AFE"/>
    <w:rsid w:val="00D51276"/>
    <w:rsid w:val="00D51EA0"/>
    <w:rsid w:val="00D54527"/>
    <w:rsid w:val="00D618CF"/>
    <w:rsid w:val="00D64A20"/>
    <w:rsid w:val="00D7035F"/>
    <w:rsid w:val="00D84320"/>
    <w:rsid w:val="00D9593D"/>
    <w:rsid w:val="00DA634F"/>
    <w:rsid w:val="00DA65AC"/>
    <w:rsid w:val="00DB1913"/>
    <w:rsid w:val="00DC410D"/>
    <w:rsid w:val="00DC5A81"/>
    <w:rsid w:val="00DC68CA"/>
    <w:rsid w:val="00DC7CBA"/>
    <w:rsid w:val="00DD0996"/>
    <w:rsid w:val="00DD0F87"/>
    <w:rsid w:val="00DD73B7"/>
    <w:rsid w:val="00DD79E1"/>
    <w:rsid w:val="00DE4590"/>
    <w:rsid w:val="00DF14AE"/>
    <w:rsid w:val="00DF28BC"/>
    <w:rsid w:val="00DF34B9"/>
    <w:rsid w:val="00E01053"/>
    <w:rsid w:val="00E06F91"/>
    <w:rsid w:val="00E07ACF"/>
    <w:rsid w:val="00E15B5D"/>
    <w:rsid w:val="00E164D7"/>
    <w:rsid w:val="00E26957"/>
    <w:rsid w:val="00E331A1"/>
    <w:rsid w:val="00E33202"/>
    <w:rsid w:val="00E336A9"/>
    <w:rsid w:val="00E472B1"/>
    <w:rsid w:val="00E50624"/>
    <w:rsid w:val="00E568DF"/>
    <w:rsid w:val="00E57815"/>
    <w:rsid w:val="00E60168"/>
    <w:rsid w:val="00E60C1C"/>
    <w:rsid w:val="00E64269"/>
    <w:rsid w:val="00E66797"/>
    <w:rsid w:val="00E82267"/>
    <w:rsid w:val="00E8357E"/>
    <w:rsid w:val="00E853CE"/>
    <w:rsid w:val="00E8637E"/>
    <w:rsid w:val="00E867B6"/>
    <w:rsid w:val="00E87F08"/>
    <w:rsid w:val="00E9706A"/>
    <w:rsid w:val="00EA010F"/>
    <w:rsid w:val="00EA1935"/>
    <w:rsid w:val="00EB0B59"/>
    <w:rsid w:val="00EC2CC5"/>
    <w:rsid w:val="00ED1B63"/>
    <w:rsid w:val="00ED3C1F"/>
    <w:rsid w:val="00ED4085"/>
    <w:rsid w:val="00ED420E"/>
    <w:rsid w:val="00ED6FBE"/>
    <w:rsid w:val="00EE2F57"/>
    <w:rsid w:val="00EE3374"/>
    <w:rsid w:val="00EF1FFF"/>
    <w:rsid w:val="00EF4C34"/>
    <w:rsid w:val="00EF7244"/>
    <w:rsid w:val="00EF7464"/>
    <w:rsid w:val="00EF77C6"/>
    <w:rsid w:val="00F05438"/>
    <w:rsid w:val="00F072B0"/>
    <w:rsid w:val="00F1361C"/>
    <w:rsid w:val="00F156F0"/>
    <w:rsid w:val="00F158BB"/>
    <w:rsid w:val="00F160C7"/>
    <w:rsid w:val="00F2408F"/>
    <w:rsid w:val="00F240E9"/>
    <w:rsid w:val="00F30370"/>
    <w:rsid w:val="00F36D8F"/>
    <w:rsid w:val="00F417B1"/>
    <w:rsid w:val="00F45853"/>
    <w:rsid w:val="00F46E34"/>
    <w:rsid w:val="00F602DF"/>
    <w:rsid w:val="00F754A1"/>
    <w:rsid w:val="00F80589"/>
    <w:rsid w:val="00F81EA8"/>
    <w:rsid w:val="00F81FD9"/>
    <w:rsid w:val="00F841AA"/>
    <w:rsid w:val="00F84A94"/>
    <w:rsid w:val="00F87E96"/>
    <w:rsid w:val="00FA23E8"/>
    <w:rsid w:val="00FA4A64"/>
    <w:rsid w:val="00FC5C25"/>
    <w:rsid w:val="00FC5D83"/>
    <w:rsid w:val="00FD3CC1"/>
    <w:rsid w:val="00FF1240"/>
    <w:rsid w:val="00FF1E02"/>
    <w:rsid w:val="00FF30B4"/>
    <w:rsid w:val="10C055FF"/>
    <w:rsid w:val="16BB723D"/>
    <w:rsid w:val="240371BF"/>
    <w:rsid w:val="29FD04D3"/>
    <w:rsid w:val="319F7F4E"/>
    <w:rsid w:val="4ECE2238"/>
    <w:rsid w:val="72163897"/>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Date"/>
    <w:basedOn w:val="1"/>
    <w:next w:val="1"/>
    <w:link w:val="47"/>
    <w:semiHidden/>
    <w:unhideWhenUsed/>
    <w:uiPriority w:val="99"/>
    <w:pPr>
      <w:ind w:left="100" w:leftChars="2500"/>
    </w:pPr>
    <w:rPr>
      <w:rFonts w:ascii="Calibri" w:hAnsi="Calibri"/>
      <w:szCs w:val="22"/>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Footer Char1"/>
    <w:basedOn w:val="15"/>
    <w:semiHidden/>
    <w:locked/>
    <w:uiPriority w:val="0"/>
    <w:rPr>
      <w:rFonts w:cs="Times New Roman"/>
      <w:kern w:val="2"/>
      <w:sz w:val="18"/>
      <w:szCs w:val="18"/>
    </w:rPr>
  </w:style>
  <w:style w:type="paragraph" w:customStyle="1" w:styleId="33">
    <w:name w:val="Char"/>
    <w:basedOn w:val="1"/>
    <w:next w:val="1"/>
    <w:autoRedefine/>
    <w:qFormat/>
    <w:uiPriority w:val="0"/>
    <w:pPr>
      <w:spacing w:line="240" w:lineRule="atLeast"/>
      <w:ind w:left="420" w:firstLine="420"/>
      <w:jc w:val="left"/>
    </w:pPr>
    <w:rPr>
      <w:kern w:val="0"/>
      <w:szCs w:val="21"/>
    </w:rPr>
  </w:style>
  <w:style w:type="character" w:customStyle="1" w:styleId="34">
    <w:name w:val="15"/>
    <w:basedOn w:val="15"/>
    <w:qFormat/>
    <w:uiPriority w:val="0"/>
    <w:rPr>
      <w:rFonts w:hint="eastAsia" w:ascii="仿宋_GB2312" w:eastAsia="仿宋_GB2312" w:cs="Times New Roman"/>
      <w:color w:val="000000"/>
      <w:sz w:val="32"/>
      <w:szCs w:val="32"/>
    </w:rPr>
  </w:style>
  <w:style w:type="paragraph" w:customStyle="1" w:styleId="35">
    <w:name w:val="列出段落1"/>
    <w:basedOn w:val="1"/>
    <w:qFormat/>
    <w:uiPriority w:val="0"/>
    <w:pPr>
      <w:ind w:firstLine="420" w:firstLineChars="200"/>
    </w:pPr>
    <w:rPr>
      <w:rFonts w:ascii="Calibri" w:hAnsi="Calibri"/>
      <w:szCs w:val="22"/>
    </w:rPr>
  </w:style>
  <w:style w:type="character" w:customStyle="1" w:styleId="36">
    <w:name w:val="17"/>
    <w:basedOn w:val="15"/>
    <w:uiPriority w:val="0"/>
    <w:rPr>
      <w:rFonts w:hint="eastAsia" w:ascii="仿宋_GB2312" w:eastAsia="仿宋_GB2312"/>
      <w:color w:val="000000"/>
      <w:sz w:val="32"/>
      <w:szCs w:val="32"/>
    </w:rPr>
  </w:style>
  <w:style w:type="character" w:customStyle="1" w:styleId="37">
    <w:name w:val="16"/>
    <w:basedOn w:val="15"/>
    <w:qFormat/>
    <w:uiPriority w:val="0"/>
    <w:rPr>
      <w:rFonts w:hint="eastAsia" w:ascii="仿宋_GB2312" w:eastAsia="仿宋_GB2312"/>
      <w:color w:val="000000"/>
      <w:sz w:val="32"/>
      <w:szCs w:val="32"/>
    </w:rPr>
  </w:style>
  <w:style w:type="character" w:customStyle="1" w:styleId="38">
    <w:name w:val="fontstyle01"/>
    <w:qFormat/>
    <w:uiPriority w:val="0"/>
    <w:rPr>
      <w:rFonts w:hint="eastAsia" w:ascii="方正小标宋_GBK" w:eastAsia="方正小标宋_GBK"/>
      <w:color w:val="000000"/>
      <w:sz w:val="44"/>
      <w:szCs w:val="44"/>
    </w:rPr>
  </w:style>
  <w:style w:type="character" w:customStyle="1" w:styleId="39">
    <w:name w:val="fontstyle11"/>
    <w:qFormat/>
    <w:uiPriority w:val="0"/>
    <w:rPr>
      <w:rFonts w:hint="default" w:ascii="TimesNewRoman" w:hAnsi="TimesNewRoman"/>
      <w:color w:val="000000"/>
      <w:sz w:val="44"/>
      <w:szCs w:val="44"/>
    </w:rPr>
  </w:style>
  <w:style w:type="character" w:customStyle="1" w:styleId="40">
    <w:name w:val="fontstyle31"/>
    <w:qFormat/>
    <w:uiPriority w:val="0"/>
    <w:rPr>
      <w:rFonts w:hint="eastAsia" w:ascii="黑体" w:hAnsi="黑体" w:eastAsia="黑体"/>
      <w:color w:val="000000"/>
      <w:sz w:val="32"/>
      <w:szCs w:val="32"/>
    </w:rPr>
  </w:style>
  <w:style w:type="character" w:customStyle="1" w:styleId="41">
    <w:name w:val="fontstyle41"/>
    <w:qFormat/>
    <w:uiPriority w:val="0"/>
    <w:rPr>
      <w:rFonts w:hint="eastAsia" w:ascii="仿宋_GB2312" w:eastAsia="仿宋_GB2312"/>
      <w:color w:val="000000"/>
      <w:sz w:val="32"/>
      <w:szCs w:val="32"/>
    </w:rPr>
  </w:style>
  <w:style w:type="character" w:customStyle="1" w:styleId="42">
    <w:name w:val="fontstyle51"/>
    <w:uiPriority w:val="0"/>
    <w:rPr>
      <w:rFonts w:hint="eastAsia" w:ascii="宋体" w:hAnsi="宋体" w:eastAsia="宋体"/>
      <w:color w:val="000000"/>
      <w:sz w:val="28"/>
      <w:szCs w:val="28"/>
    </w:rPr>
  </w:style>
  <w:style w:type="character" w:customStyle="1" w:styleId="43">
    <w:name w:val="fontstyle61"/>
    <w:qFormat/>
    <w:uiPriority w:val="0"/>
    <w:rPr>
      <w:rFonts w:hint="eastAsia" w:ascii="楷体_GB2312" w:eastAsia="楷体_GB2312"/>
      <w:color w:val="000000"/>
      <w:sz w:val="32"/>
      <w:szCs w:val="32"/>
    </w:rPr>
  </w:style>
  <w:style w:type="character" w:customStyle="1" w:styleId="44">
    <w:name w:val="fontstyle71"/>
    <w:uiPriority w:val="0"/>
    <w:rPr>
      <w:rFonts w:hint="default" w:ascii="TimesNewRoman" w:hAnsi="TimesNewRoman"/>
      <w:b/>
      <w:bCs/>
      <w:color w:val="000000"/>
      <w:sz w:val="32"/>
      <w:szCs w:val="32"/>
    </w:rPr>
  </w:style>
  <w:style w:type="character" w:customStyle="1" w:styleId="45">
    <w:name w:val="fontstyle81"/>
    <w:uiPriority w:val="0"/>
    <w:rPr>
      <w:rFonts w:hint="eastAsia" w:ascii="新宋体" w:hAnsi="新宋体" w:eastAsia="新宋体"/>
      <w:color w:val="000000"/>
      <w:sz w:val="32"/>
      <w:szCs w:val="32"/>
    </w:rPr>
  </w:style>
  <w:style w:type="paragraph" w:customStyle="1" w:styleId="46">
    <w:name w:val="列出段落2"/>
    <w:basedOn w:val="1"/>
    <w:qFormat/>
    <w:uiPriority w:val="0"/>
    <w:pPr>
      <w:ind w:firstLine="420" w:firstLineChars="200"/>
    </w:pPr>
    <w:rPr>
      <w:rFonts w:ascii="Calibri" w:hAnsi="Calibri"/>
      <w:szCs w:val="22"/>
    </w:rPr>
  </w:style>
  <w:style w:type="character" w:customStyle="1" w:styleId="47">
    <w:name w:val="日期 Char"/>
    <w:basedOn w:val="15"/>
    <w:link w:val="7"/>
    <w:semiHidden/>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6D7AB-D713-4A6E-93E1-5F028E6D8207}">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60</Pages>
  <Words>296</Words>
  <Characters>505</Characters>
  <Lines>229</Lines>
  <Paragraphs>64</Paragraphs>
  <TotalTime>2359</TotalTime>
  <ScaleCrop>false</ScaleCrop>
  <LinksUpToDate>false</LinksUpToDate>
  <CharactersWithSpaces>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南城琉璃月不堪回首1382690704</cp:lastModifiedBy>
  <cp:lastPrinted>2020-09-01T09:44:00Z</cp:lastPrinted>
  <dcterms:modified xsi:type="dcterms:W3CDTF">2025-03-04T01:06:00Z</dcterms:modified>
  <dc:title>四川省***</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eyJoZGlkIjoiNjk0NjExOTgxYmI3MGZmM2NhYjYzNGIyYTljMjY1NjgiLCJ1c2VySWQiOiI2ODIyNDc3In0=</vt:lpwstr>
  </property>
  <property fmtid="{D5CDD505-2E9C-101B-9397-08002B2CF9AE}" pid="4" name="ICV">
    <vt:lpwstr>8E07CBC86A57405A8C552B9AD2376D6D_12</vt:lpwstr>
  </property>
</Properties>
</file>