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AC653">
      <w:pPr>
        <w:spacing w:line="600" w:lineRule="exact"/>
        <w:jc w:val="center"/>
        <w:outlineLvl w:val="0"/>
        <w:rPr>
          <w:rFonts w:hint="eastAsia" w:eastAsia="方正小标宋简体"/>
          <w:sz w:val="72"/>
          <w:szCs w:val="72"/>
          <w:lang w:val="en-US" w:eastAsia="zh-CN"/>
        </w:rPr>
      </w:pPr>
      <w:bookmarkStart w:id="0" w:name="_Toc15378441"/>
      <w:bookmarkStart w:id="1" w:name="_Toc15396475"/>
      <w:bookmarkStart w:id="2" w:name="_Toc15377425"/>
      <w:bookmarkStart w:id="3" w:name="_Toc15396597"/>
      <w:bookmarkStart w:id="4" w:name="_Toc15377193"/>
      <w:bookmarkStart w:id="5" w:name="_Toc15306267"/>
      <w:r>
        <w:rPr>
          <w:rFonts w:hint="eastAsia" w:eastAsia="方正小标宋简体"/>
          <w:sz w:val="72"/>
          <w:szCs w:val="72"/>
          <w:lang w:val="en-US" w:eastAsia="zh-CN"/>
        </w:rPr>
        <w:t xml:space="preserve"> </w:t>
      </w:r>
    </w:p>
    <w:p w14:paraId="5A28B6B1">
      <w:pPr>
        <w:spacing w:line="600" w:lineRule="exact"/>
        <w:jc w:val="center"/>
        <w:outlineLvl w:val="0"/>
        <w:rPr>
          <w:rFonts w:eastAsia="方正小标宋简体"/>
          <w:sz w:val="72"/>
          <w:szCs w:val="72"/>
        </w:rPr>
      </w:pPr>
    </w:p>
    <w:p w14:paraId="66109AF5">
      <w:pPr>
        <w:spacing w:line="600" w:lineRule="exact"/>
        <w:jc w:val="center"/>
        <w:outlineLvl w:val="0"/>
        <w:rPr>
          <w:rFonts w:eastAsia="方正小标宋简体"/>
          <w:sz w:val="52"/>
          <w:szCs w:val="52"/>
        </w:rPr>
      </w:pPr>
    </w:p>
    <w:bookmarkEnd w:id="0"/>
    <w:bookmarkEnd w:id="1"/>
    <w:bookmarkEnd w:id="2"/>
    <w:bookmarkEnd w:id="3"/>
    <w:bookmarkEnd w:id="4"/>
    <w:p w14:paraId="034D1291">
      <w:pPr>
        <w:adjustRightInd w:val="0"/>
        <w:snapToGrid w:val="0"/>
        <w:spacing w:line="360" w:lineRule="auto"/>
        <w:jc w:val="center"/>
        <w:outlineLvl w:val="0"/>
        <w:rPr>
          <w:rFonts w:eastAsia="方正小标宋简体"/>
          <w:sz w:val="52"/>
          <w:szCs w:val="52"/>
        </w:rPr>
      </w:pPr>
      <w:bookmarkStart w:id="6" w:name="_Toc15396598"/>
      <w:bookmarkStart w:id="7" w:name="_Toc15377194"/>
      <w:bookmarkStart w:id="8" w:name="_Toc15378442"/>
      <w:bookmarkStart w:id="9" w:name="_Toc15377426"/>
      <w:bookmarkStart w:id="10" w:name="_Toc15396476"/>
      <w:r>
        <w:rPr>
          <w:rFonts w:eastAsia="方正小标宋简体"/>
          <w:sz w:val="52"/>
          <w:szCs w:val="52"/>
        </w:rPr>
        <w:t>2022年度</w:t>
      </w:r>
    </w:p>
    <w:p w14:paraId="351866E6">
      <w:pPr>
        <w:adjustRightInd w:val="0"/>
        <w:snapToGrid w:val="0"/>
        <w:spacing w:line="360" w:lineRule="auto"/>
        <w:jc w:val="center"/>
        <w:outlineLvl w:val="0"/>
        <w:rPr>
          <w:rFonts w:eastAsia="方正小标宋简体"/>
          <w:sz w:val="52"/>
          <w:szCs w:val="52"/>
        </w:rPr>
      </w:pPr>
      <w:r>
        <w:rPr>
          <w:rFonts w:eastAsia="方正小标宋简体"/>
          <w:sz w:val="52"/>
          <w:szCs w:val="52"/>
        </w:rPr>
        <w:t>米易县</w:t>
      </w:r>
      <w:bookmarkEnd w:id="5"/>
      <w:bookmarkStart w:id="11" w:name="_Toc15306268"/>
      <w:r>
        <w:rPr>
          <w:rFonts w:eastAsia="方正小标宋简体"/>
          <w:sz w:val="52"/>
          <w:szCs w:val="52"/>
        </w:rPr>
        <w:t>综合行政执法局</w:t>
      </w:r>
    </w:p>
    <w:p w14:paraId="570F6CEC">
      <w:pPr>
        <w:adjustRightInd w:val="0"/>
        <w:snapToGrid w:val="0"/>
        <w:spacing w:line="360" w:lineRule="auto"/>
        <w:jc w:val="center"/>
        <w:outlineLvl w:val="0"/>
        <w:rPr>
          <w:rFonts w:eastAsia="方正小标宋简体"/>
          <w:sz w:val="52"/>
          <w:szCs w:val="52"/>
        </w:rPr>
      </w:pPr>
      <w:r>
        <w:rPr>
          <w:rFonts w:eastAsia="方正小标宋简体"/>
          <w:sz w:val="52"/>
          <w:szCs w:val="52"/>
        </w:rPr>
        <w:t>部门决算</w:t>
      </w:r>
      <w:bookmarkEnd w:id="6"/>
      <w:bookmarkEnd w:id="7"/>
      <w:bookmarkEnd w:id="8"/>
      <w:bookmarkEnd w:id="9"/>
      <w:bookmarkEnd w:id="10"/>
      <w:bookmarkEnd w:id="11"/>
      <w:r>
        <w:rPr>
          <w:rFonts w:eastAsia="方正小标宋简体"/>
          <w:sz w:val="52"/>
          <w:szCs w:val="52"/>
        </w:rPr>
        <w:t>公开编制说明</w:t>
      </w:r>
    </w:p>
    <w:p w14:paraId="220DA20A">
      <w:pPr>
        <w:adjustRightInd w:val="0"/>
        <w:snapToGrid w:val="0"/>
        <w:spacing w:line="360" w:lineRule="auto"/>
        <w:jc w:val="center"/>
        <w:outlineLvl w:val="0"/>
        <w:rPr>
          <w:rFonts w:eastAsia="方正小标宋简体"/>
          <w:sz w:val="52"/>
          <w:szCs w:val="52"/>
        </w:rPr>
      </w:pPr>
    </w:p>
    <w:p w14:paraId="25B783BE">
      <w:pPr>
        <w:widowControl/>
        <w:spacing w:line="560" w:lineRule="exact"/>
        <w:jc w:val="center"/>
        <w:rPr>
          <w:rFonts w:eastAsia="黑体"/>
          <w:sz w:val="48"/>
          <w:szCs w:val="48"/>
        </w:rPr>
      </w:pPr>
      <w:r>
        <w:rPr>
          <w:rFonts w:eastAsia="方正小标宋简体"/>
          <w:sz w:val="36"/>
          <w:szCs w:val="36"/>
        </w:rPr>
        <w:br w:type="page"/>
      </w:r>
      <w:bookmarkStart w:id="12" w:name="_Toc15377196"/>
      <w:bookmarkStart w:id="13" w:name="_Toc15396599"/>
      <w:r>
        <w:rPr>
          <w:rFonts w:eastAsia="方正小标宋简体"/>
          <w:sz w:val="48"/>
          <w:szCs w:val="48"/>
        </w:rPr>
        <w:t>目录</w:t>
      </w:r>
    </w:p>
    <w:p w14:paraId="01E11669">
      <w:pPr>
        <w:widowControl/>
        <w:spacing w:line="560" w:lineRule="exact"/>
        <w:jc w:val="center"/>
        <w:rPr>
          <w:rFonts w:eastAsia="黑体"/>
          <w:sz w:val="28"/>
          <w:szCs w:val="28"/>
        </w:rPr>
      </w:pPr>
    </w:p>
    <w:p w14:paraId="29829E39">
      <w:pPr>
        <w:pStyle w:val="13"/>
        <w:spacing w:line="560" w:lineRule="exact"/>
        <w:rPr>
          <w:rFonts w:ascii="Times New Roman" w:hAnsi="Times New Roman"/>
          <w:sz w:val="32"/>
          <w:szCs w:val="32"/>
        </w:rPr>
      </w:pPr>
      <w:r>
        <w:rPr>
          <w:rFonts w:ascii="Times New Roman" w:hAnsi="Times New Roman"/>
          <w:sz w:val="32"/>
          <w:szCs w:val="32"/>
        </w:rPr>
        <w:t>公开时间：2023年10月27日</w:t>
      </w:r>
    </w:p>
    <w:p w14:paraId="62D6D159">
      <w:pPr>
        <w:spacing w:line="560" w:lineRule="exact"/>
        <w:rPr>
          <w:sz w:val="32"/>
          <w:szCs w:val="32"/>
        </w:rPr>
      </w:pPr>
    </w:p>
    <w:p w14:paraId="0D35C603">
      <w:pPr>
        <w:pStyle w:val="13"/>
        <w:adjustRightInd w:val="0"/>
        <w:snapToGrid w:val="0"/>
        <w:spacing w:before="0" w:line="560" w:lineRule="exact"/>
        <w:jc w:val="left"/>
        <w:rPr>
          <w:rFonts w:ascii="Times New Roman" w:hAnsi="Times New Roman" w:eastAsia="仿宋_GB2312"/>
          <w:sz w:val="32"/>
          <w:szCs w:val="32"/>
        </w:rPr>
      </w:pPr>
      <w:r>
        <w:rPr>
          <w:rFonts w:ascii="Times New Roman" w:hAnsi="Times New Roman" w:eastAsia="仿宋_GB2312"/>
          <w:sz w:val="32"/>
          <w:szCs w:val="32"/>
        </w:rPr>
        <w:t>第一部分 部门概况................................................................4</w:t>
      </w:r>
    </w:p>
    <w:p w14:paraId="502415FD">
      <w:pPr>
        <w:pStyle w:val="14"/>
        <w:adjustRightInd w:val="0"/>
        <w:snapToGrid w:val="0"/>
        <w:spacing w:line="560" w:lineRule="exact"/>
        <w:jc w:val="left"/>
        <w:rPr>
          <w:rFonts w:eastAsia="仿宋_GB2312"/>
          <w:sz w:val="32"/>
          <w:szCs w:val="32"/>
        </w:rPr>
      </w:pPr>
      <w:r>
        <w:rPr>
          <w:rFonts w:eastAsia="仿宋_GB2312"/>
          <w:sz w:val="32"/>
          <w:szCs w:val="32"/>
        </w:rPr>
        <w:t>一、部门职责.....................................................................4</w:t>
      </w:r>
    </w:p>
    <w:p w14:paraId="745581E2">
      <w:pPr>
        <w:pStyle w:val="14"/>
        <w:adjustRightInd w:val="0"/>
        <w:snapToGrid w:val="0"/>
        <w:spacing w:line="560" w:lineRule="exact"/>
        <w:jc w:val="left"/>
        <w:rPr>
          <w:rFonts w:eastAsia="仿宋_GB2312"/>
          <w:sz w:val="32"/>
          <w:szCs w:val="32"/>
        </w:rPr>
      </w:pPr>
      <w:r>
        <w:rPr>
          <w:rFonts w:eastAsia="仿宋_GB2312"/>
          <w:sz w:val="32"/>
          <w:szCs w:val="32"/>
        </w:rPr>
        <w:t>二、机构设置.....................................................................7</w:t>
      </w:r>
    </w:p>
    <w:p w14:paraId="12246754">
      <w:pPr>
        <w:pStyle w:val="14"/>
        <w:adjustRightInd w:val="0"/>
        <w:snapToGrid w:val="0"/>
        <w:spacing w:line="560" w:lineRule="exact"/>
        <w:jc w:val="left"/>
        <w:rPr>
          <w:rFonts w:eastAsia="仿宋_GB2312"/>
          <w:sz w:val="32"/>
          <w:szCs w:val="32"/>
        </w:rPr>
      </w:pPr>
      <w:r>
        <w:rPr>
          <w:rFonts w:eastAsia="仿宋_GB2312"/>
          <w:sz w:val="32"/>
          <w:szCs w:val="32"/>
        </w:rPr>
        <w:t>三、2022年重点工作完成情况........................................7</w:t>
      </w:r>
    </w:p>
    <w:p w14:paraId="689BDFD4">
      <w:pPr>
        <w:pStyle w:val="13"/>
        <w:adjustRightInd w:val="0"/>
        <w:snapToGrid w:val="0"/>
        <w:spacing w:before="0" w:line="560" w:lineRule="exact"/>
        <w:jc w:val="left"/>
        <w:rPr>
          <w:rFonts w:ascii="Times New Roman" w:hAnsi="Times New Roman" w:eastAsia="仿宋_GB2312"/>
          <w:sz w:val="32"/>
          <w:szCs w:val="32"/>
        </w:rPr>
      </w:pPr>
      <w:r>
        <w:rPr>
          <w:rFonts w:ascii="Times New Roman" w:hAnsi="Times New Roman" w:eastAsia="仿宋_GB2312"/>
          <w:sz w:val="32"/>
          <w:szCs w:val="32"/>
        </w:rPr>
        <w:t>第二部分 2022年度部门决算情况说明..............................12</w:t>
      </w:r>
    </w:p>
    <w:p w14:paraId="3BD34585">
      <w:pPr>
        <w:pStyle w:val="14"/>
        <w:adjustRightInd w:val="0"/>
        <w:snapToGrid w:val="0"/>
        <w:spacing w:line="560" w:lineRule="exact"/>
        <w:jc w:val="left"/>
        <w:rPr>
          <w:rFonts w:eastAsia="仿宋_GB2312"/>
          <w:sz w:val="32"/>
          <w:szCs w:val="32"/>
        </w:rPr>
      </w:pPr>
      <w:r>
        <w:rPr>
          <w:rFonts w:eastAsia="仿宋_GB2312"/>
          <w:sz w:val="32"/>
          <w:szCs w:val="32"/>
        </w:rPr>
        <w:t>一、收入支出决算总体情况说明....................................12</w:t>
      </w:r>
    </w:p>
    <w:p w14:paraId="6F1F4BC4">
      <w:pPr>
        <w:pStyle w:val="14"/>
        <w:adjustRightInd w:val="0"/>
        <w:snapToGrid w:val="0"/>
        <w:spacing w:line="560" w:lineRule="exact"/>
        <w:jc w:val="left"/>
        <w:rPr>
          <w:rFonts w:eastAsia="仿宋_GB2312"/>
          <w:sz w:val="32"/>
          <w:szCs w:val="32"/>
        </w:rPr>
      </w:pPr>
      <w:r>
        <w:rPr>
          <w:rFonts w:eastAsia="仿宋_GB2312"/>
          <w:sz w:val="32"/>
          <w:szCs w:val="32"/>
        </w:rPr>
        <w:t>二、收入决算情况说明....................................................13</w:t>
      </w:r>
    </w:p>
    <w:p w14:paraId="4FAF89B1">
      <w:pPr>
        <w:pStyle w:val="14"/>
        <w:adjustRightInd w:val="0"/>
        <w:snapToGrid w:val="0"/>
        <w:spacing w:line="560" w:lineRule="exact"/>
        <w:jc w:val="left"/>
        <w:rPr>
          <w:rFonts w:eastAsia="仿宋_GB2312"/>
          <w:sz w:val="32"/>
          <w:szCs w:val="32"/>
        </w:rPr>
      </w:pPr>
      <w:r>
        <w:rPr>
          <w:rFonts w:eastAsia="仿宋_GB2312"/>
          <w:sz w:val="32"/>
          <w:szCs w:val="32"/>
        </w:rPr>
        <w:t>三、支出决算情况说明....................................................1</w:t>
      </w:r>
      <w:r>
        <w:rPr>
          <w:rFonts w:hint="eastAsia" w:eastAsia="仿宋_GB2312"/>
          <w:sz w:val="32"/>
          <w:szCs w:val="32"/>
        </w:rPr>
        <w:t>3</w:t>
      </w:r>
    </w:p>
    <w:p w14:paraId="53885858">
      <w:pPr>
        <w:pStyle w:val="14"/>
        <w:adjustRightInd w:val="0"/>
        <w:snapToGrid w:val="0"/>
        <w:spacing w:line="560" w:lineRule="exact"/>
        <w:jc w:val="left"/>
        <w:rPr>
          <w:rFonts w:eastAsia="仿宋_GB2312"/>
          <w:sz w:val="32"/>
          <w:szCs w:val="32"/>
        </w:rPr>
      </w:pPr>
      <w:r>
        <w:rPr>
          <w:rFonts w:eastAsia="仿宋_GB2312"/>
          <w:sz w:val="32"/>
          <w:szCs w:val="32"/>
        </w:rPr>
        <w:t>四、财政拨款收入支出决算总体情况说明....................14</w:t>
      </w:r>
    </w:p>
    <w:p w14:paraId="571DAA26">
      <w:pPr>
        <w:pStyle w:val="14"/>
        <w:adjustRightInd w:val="0"/>
        <w:snapToGrid w:val="0"/>
        <w:spacing w:line="560" w:lineRule="exact"/>
        <w:jc w:val="left"/>
        <w:rPr>
          <w:rFonts w:eastAsia="仿宋_GB2312"/>
          <w:sz w:val="32"/>
          <w:szCs w:val="32"/>
        </w:rPr>
      </w:pPr>
      <w:r>
        <w:rPr>
          <w:rFonts w:eastAsia="仿宋_GB2312"/>
          <w:sz w:val="32"/>
          <w:szCs w:val="32"/>
        </w:rPr>
        <w:t>五、一般公共预算财政拨款支出决算情况说明............14六、一般公共预算财政拨款基本支出决算情况说明....18</w:t>
      </w:r>
    </w:p>
    <w:p w14:paraId="0C20074E">
      <w:pPr>
        <w:pStyle w:val="14"/>
        <w:adjustRightInd w:val="0"/>
        <w:snapToGrid w:val="0"/>
        <w:spacing w:line="560" w:lineRule="exact"/>
        <w:jc w:val="left"/>
        <w:rPr>
          <w:rFonts w:eastAsia="仿宋_GB2312"/>
          <w:sz w:val="32"/>
          <w:szCs w:val="32"/>
        </w:rPr>
      </w:pPr>
      <w:r>
        <w:rPr>
          <w:rFonts w:eastAsia="仿宋_GB2312"/>
          <w:sz w:val="32"/>
          <w:szCs w:val="32"/>
        </w:rPr>
        <w:t>七、财政拨款“三公”经费支出决算情况说明.................19</w:t>
      </w:r>
    </w:p>
    <w:p w14:paraId="5CFB7B98">
      <w:pPr>
        <w:pStyle w:val="14"/>
        <w:adjustRightInd w:val="0"/>
        <w:snapToGrid w:val="0"/>
        <w:spacing w:line="560" w:lineRule="exact"/>
        <w:jc w:val="left"/>
        <w:rPr>
          <w:rFonts w:eastAsia="仿宋_GB2312"/>
          <w:sz w:val="32"/>
          <w:szCs w:val="32"/>
        </w:rPr>
      </w:pPr>
      <w:r>
        <w:rPr>
          <w:rFonts w:eastAsia="仿宋_GB2312"/>
          <w:sz w:val="32"/>
          <w:szCs w:val="32"/>
        </w:rPr>
        <w:t>八、政府性基金预算支出决算情况说明.........................21</w:t>
      </w:r>
    </w:p>
    <w:p w14:paraId="02EF230C">
      <w:pPr>
        <w:pStyle w:val="14"/>
        <w:adjustRightInd w:val="0"/>
        <w:snapToGrid w:val="0"/>
        <w:spacing w:line="560" w:lineRule="exact"/>
        <w:ind w:leftChars="0"/>
        <w:jc w:val="left"/>
        <w:rPr>
          <w:rFonts w:eastAsia="仿宋_GB2312"/>
          <w:sz w:val="32"/>
          <w:szCs w:val="32"/>
        </w:rPr>
      </w:pPr>
      <w:r>
        <w:rPr>
          <w:rFonts w:eastAsia="仿宋_GB2312"/>
          <w:sz w:val="32"/>
          <w:szCs w:val="32"/>
        </w:rPr>
        <w:t>九、国有资本经营预算支出决算情况说明.....................21</w:t>
      </w:r>
    </w:p>
    <w:p w14:paraId="01B0E5B8">
      <w:pPr>
        <w:pStyle w:val="14"/>
        <w:adjustRightInd w:val="0"/>
        <w:snapToGrid w:val="0"/>
        <w:spacing w:line="560" w:lineRule="exact"/>
        <w:ind w:leftChars="0"/>
        <w:jc w:val="left"/>
        <w:rPr>
          <w:rFonts w:eastAsia="仿宋_GB2312"/>
          <w:sz w:val="32"/>
          <w:szCs w:val="32"/>
        </w:rPr>
      </w:pPr>
      <w:r>
        <w:rPr>
          <w:rStyle w:val="19"/>
          <w:rFonts w:eastAsia="仿宋_GB2312"/>
          <w:color w:val="auto"/>
          <w:sz w:val="32"/>
          <w:szCs w:val="32"/>
          <w:u w:val="none"/>
        </w:rPr>
        <w:t>十、</w:t>
      </w:r>
      <w:r>
        <w:rPr>
          <w:rFonts w:eastAsia="仿宋_GB2312"/>
          <w:sz w:val="32"/>
          <w:szCs w:val="32"/>
        </w:rPr>
        <w:t>其他重要事项的情况说明.........................................21</w:t>
      </w:r>
    </w:p>
    <w:p w14:paraId="3B3E83FE">
      <w:pPr>
        <w:pStyle w:val="13"/>
        <w:adjustRightInd w:val="0"/>
        <w:snapToGrid w:val="0"/>
        <w:spacing w:before="0" w:line="560" w:lineRule="exact"/>
        <w:jc w:val="left"/>
        <w:rPr>
          <w:rFonts w:ascii="Times New Roman" w:hAnsi="Times New Roman" w:eastAsia="仿宋_GB2312"/>
          <w:sz w:val="32"/>
          <w:szCs w:val="32"/>
        </w:rPr>
      </w:pPr>
      <w:r>
        <w:rPr>
          <w:rFonts w:ascii="Times New Roman" w:hAnsi="Times New Roman" w:eastAsia="仿宋_GB2312"/>
          <w:sz w:val="32"/>
          <w:szCs w:val="32"/>
        </w:rPr>
        <w:t>第三部分 名词解释................................................................</w:t>
      </w:r>
      <w:r>
        <w:rPr>
          <w:rFonts w:hint="eastAsia" w:ascii="Times New Roman" w:hAnsi="Times New Roman" w:eastAsia="仿宋_GB2312"/>
          <w:sz w:val="32"/>
          <w:szCs w:val="32"/>
        </w:rPr>
        <w:t>25</w:t>
      </w:r>
    </w:p>
    <w:p w14:paraId="05DC73ED">
      <w:pPr>
        <w:pStyle w:val="13"/>
        <w:adjustRightInd w:val="0"/>
        <w:snapToGrid w:val="0"/>
        <w:spacing w:before="0" w:line="560" w:lineRule="exact"/>
        <w:jc w:val="left"/>
        <w:rPr>
          <w:rFonts w:ascii="Times New Roman" w:hAnsi="Times New Roman" w:eastAsia="仿宋_GB2312"/>
          <w:sz w:val="32"/>
          <w:szCs w:val="32"/>
        </w:rPr>
      </w:pPr>
      <w:r>
        <w:rPr>
          <w:rFonts w:ascii="Times New Roman" w:hAnsi="Times New Roman" w:eastAsia="仿宋_GB2312"/>
          <w:sz w:val="32"/>
          <w:szCs w:val="32"/>
        </w:rPr>
        <w:t>第四部分 附件........................................................................</w:t>
      </w:r>
      <w:r>
        <w:rPr>
          <w:rFonts w:hint="eastAsia" w:ascii="Times New Roman" w:hAnsi="Times New Roman" w:eastAsia="仿宋_GB2312"/>
          <w:sz w:val="32"/>
          <w:szCs w:val="32"/>
        </w:rPr>
        <w:t>30</w:t>
      </w:r>
    </w:p>
    <w:p w14:paraId="6C841951">
      <w:pPr>
        <w:pStyle w:val="13"/>
        <w:adjustRightInd w:val="0"/>
        <w:snapToGrid w:val="0"/>
        <w:spacing w:before="0" w:line="560" w:lineRule="exact"/>
        <w:jc w:val="left"/>
        <w:rPr>
          <w:rFonts w:ascii="Times New Roman" w:hAnsi="Times New Roman" w:eastAsia="仿宋_GB2312"/>
          <w:sz w:val="32"/>
          <w:szCs w:val="32"/>
        </w:rPr>
      </w:pPr>
      <w:r>
        <w:rPr>
          <w:rFonts w:ascii="Times New Roman" w:hAnsi="Times New Roman" w:eastAsia="仿宋_GB2312"/>
          <w:sz w:val="32"/>
          <w:szCs w:val="32"/>
        </w:rPr>
        <w:t>第五部分 附表........................................................................6</w:t>
      </w:r>
      <w:r>
        <w:rPr>
          <w:rFonts w:hint="eastAsia" w:ascii="Times New Roman" w:hAnsi="Times New Roman" w:eastAsia="仿宋_GB2312"/>
          <w:sz w:val="32"/>
          <w:szCs w:val="32"/>
        </w:rPr>
        <w:t>0</w:t>
      </w:r>
    </w:p>
    <w:p w14:paraId="7AC67F21">
      <w:pPr>
        <w:pStyle w:val="14"/>
        <w:adjustRightInd w:val="0"/>
        <w:snapToGrid w:val="0"/>
        <w:spacing w:line="560" w:lineRule="exact"/>
        <w:jc w:val="left"/>
        <w:rPr>
          <w:rFonts w:eastAsia="仿宋_GB2312"/>
          <w:sz w:val="32"/>
          <w:szCs w:val="32"/>
        </w:rPr>
      </w:pPr>
      <w:r>
        <w:rPr>
          <w:rFonts w:eastAsia="仿宋_GB2312"/>
          <w:sz w:val="32"/>
          <w:szCs w:val="32"/>
        </w:rPr>
        <w:t>一、收入支出决算总表.....................................................6</w:t>
      </w:r>
      <w:r>
        <w:rPr>
          <w:rFonts w:hint="eastAsia" w:eastAsia="仿宋_GB2312"/>
          <w:sz w:val="32"/>
          <w:szCs w:val="32"/>
        </w:rPr>
        <w:t>0</w:t>
      </w:r>
    </w:p>
    <w:p w14:paraId="3B6362B6">
      <w:pPr>
        <w:pStyle w:val="14"/>
        <w:adjustRightInd w:val="0"/>
        <w:snapToGrid w:val="0"/>
        <w:spacing w:line="560" w:lineRule="exact"/>
        <w:jc w:val="left"/>
        <w:rPr>
          <w:rFonts w:eastAsia="仿宋_GB2312"/>
          <w:sz w:val="32"/>
          <w:szCs w:val="32"/>
        </w:rPr>
      </w:pPr>
      <w:r>
        <w:rPr>
          <w:rFonts w:eastAsia="仿宋_GB2312"/>
          <w:sz w:val="32"/>
          <w:szCs w:val="32"/>
        </w:rPr>
        <w:t>二、收入决算表.................................................................6</w:t>
      </w:r>
      <w:r>
        <w:rPr>
          <w:rFonts w:hint="eastAsia" w:eastAsia="仿宋_GB2312"/>
          <w:sz w:val="32"/>
          <w:szCs w:val="32"/>
        </w:rPr>
        <w:t>0</w:t>
      </w:r>
    </w:p>
    <w:p w14:paraId="6C94788E">
      <w:pPr>
        <w:pStyle w:val="14"/>
        <w:adjustRightInd w:val="0"/>
        <w:snapToGrid w:val="0"/>
        <w:spacing w:line="560" w:lineRule="exact"/>
        <w:jc w:val="left"/>
        <w:rPr>
          <w:rFonts w:eastAsia="仿宋_GB2312"/>
          <w:sz w:val="32"/>
          <w:szCs w:val="32"/>
        </w:rPr>
      </w:pPr>
      <w:r>
        <w:rPr>
          <w:rFonts w:eastAsia="仿宋_GB2312"/>
          <w:sz w:val="32"/>
          <w:szCs w:val="32"/>
        </w:rPr>
        <w:t>三、支出决算表.................................................................6</w:t>
      </w:r>
      <w:r>
        <w:rPr>
          <w:rFonts w:hint="eastAsia" w:eastAsia="仿宋_GB2312"/>
          <w:sz w:val="32"/>
          <w:szCs w:val="32"/>
        </w:rPr>
        <w:t>0</w:t>
      </w:r>
    </w:p>
    <w:p w14:paraId="4824ECDC">
      <w:pPr>
        <w:pStyle w:val="14"/>
        <w:adjustRightInd w:val="0"/>
        <w:snapToGrid w:val="0"/>
        <w:spacing w:line="560" w:lineRule="exact"/>
        <w:jc w:val="left"/>
        <w:rPr>
          <w:rFonts w:eastAsia="仿宋_GB2312"/>
          <w:sz w:val="32"/>
          <w:szCs w:val="32"/>
        </w:rPr>
      </w:pPr>
      <w:r>
        <w:rPr>
          <w:rFonts w:eastAsia="仿宋_GB2312"/>
          <w:sz w:val="32"/>
          <w:szCs w:val="32"/>
        </w:rPr>
        <w:t>四、财政拨款收入支出决算总表.....................................6</w:t>
      </w:r>
      <w:r>
        <w:rPr>
          <w:rFonts w:hint="eastAsia" w:eastAsia="仿宋_GB2312"/>
          <w:sz w:val="32"/>
          <w:szCs w:val="32"/>
        </w:rPr>
        <w:t>0</w:t>
      </w:r>
      <w:r>
        <w:rPr>
          <w:rFonts w:eastAsia="仿宋_GB2312"/>
          <w:sz w:val="32"/>
          <w:szCs w:val="32"/>
        </w:rPr>
        <w:t>五、财政拨款支出决算明细表.........................................6</w:t>
      </w:r>
      <w:r>
        <w:rPr>
          <w:rFonts w:hint="eastAsia" w:eastAsia="仿宋_GB2312"/>
          <w:sz w:val="32"/>
          <w:szCs w:val="32"/>
        </w:rPr>
        <w:t>0</w:t>
      </w:r>
    </w:p>
    <w:p w14:paraId="3F0B4665">
      <w:pPr>
        <w:pStyle w:val="14"/>
        <w:adjustRightInd w:val="0"/>
        <w:snapToGrid w:val="0"/>
        <w:spacing w:line="560" w:lineRule="exact"/>
        <w:jc w:val="left"/>
        <w:rPr>
          <w:rFonts w:eastAsia="仿宋_GB2312"/>
          <w:sz w:val="32"/>
          <w:szCs w:val="32"/>
        </w:rPr>
      </w:pPr>
      <w:r>
        <w:rPr>
          <w:rFonts w:eastAsia="仿宋_GB2312"/>
          <w:sz w:val="32"/>
          <w:szCs w:val="32"/>
        </w:rPr>
        <w:t>六、一般公共预算财政拨款支出决算表.........................6</w:t>
      </w:r>
      <w:r>
        <w:rPr>
          <w:rFonts w:hint="eastAsia" w:eastAsia="仿宋_GB2312"/>
          <w:sz w:val="32"/>
          <w:szCs w:val="32"/>
        </w:rPr>
        <w:t>0</w:t>
      </w:r>
    </w:p>
    <w:p w14:paraId="4F691419">
      <w:pPr>
        <w:pStyle w:val="14"/>
        <w:adjustRightInd w:val="0"/>
        <w:snapToGrid w:val="0"/>
        <w:spacing w:line="560" w:lineRule="exact"/>
        <w:jc w:val="left"/>
        <w:rPr>
          <w:rFonts w:eastAsia="仿宋_GB2312"/>
          <w:sz w:val="32"/>
          <w:szCs w:val="32"/>
        </w:rPr>
      </w:pPr>
      <w:r>
        <w:rPr>
          <w:rFonts w:eastAsia="仿宋_GB2312"/>
          <w:sz w:val="32"/>
          <w:szCs w:val="32"/>
        </w:rPr>
        <w:t>七、一般公共预算财政拨款支出决算明细表.................6</w:t>
      </w:r>
      <w:r>
        <w:rPr>
          <w:rFonts w:hint="eastAsia" w:eastAsia="仿宋_GB2312"/>
          <w:sz w:val="32"/>
          <w:szCs w:val="32"/>
        </w:rPr>
        <w:t>0</w:t>
      </w:r>
    </w:p>
    <w:p w14:paraId="76B86A53">
      <w:pPr>
        <w:pStyle w:val="14"/>
        <w:adjustRightInd w:val="0"/>
        <w:snapToGrid w:val="0"/>
        <w:spacing w:line="560" w:lineRule="exact"/>
        <w:jc w:val="left"/>
        <w:rPr>
          <w:rFonts w:eastAsia="仿宋_GB2312"/>
          <w:sz w:val="32"/>
          <w:szCs w:val="32"/>
        </w:rPr>
      </w:pPr>
      <w:r>
        <w:rPr>
          <w:rFonts w:eastAsia="仿宋_GB2312"/>
          <w:sz w:val="32"/>
          <w:szCs w:val="32"/>
        </w:rPr>
        <w:t>八、一般公共预算财政拨款基本支出决算明细表.........6</w:t>
      </w:r>
      <w:r>
        <w:rPr>
          <w:rFonts w:hint="eastAsia" w:eastAsia="仿宋_GB2312"/>
          <w:sz w:val="32"/>
          <w:szCs w:val="32"/>
        </w:rPr>
        <w:t>0</w:t>
      </w:r>
    </w:p>
    <w:p w14:paraId="42091B4E">
      <w:pPr>
        <w:pStyle w:val="14"/>
        <w:adjustRightInd w:val="0"/>
        <w:snapToGrid w:val="0"/>
        <w:spacing w:line="560" w:lineRule="exact"/>
        <w:jc w:val="left"/>
        <w:rPr>
          <w:rFonts w:eastAsia="仿宋_GB2312"/>
          <w:sz w:val="32"/>
          <w:szCs w:val="32"/>
        </w:rPr>
      </w:pPr>
      <w:r>
        <w:rPr>
          <w:rFonts w:eastAsia="仿宋_GB2312"/>
          <w:sz w:val="32"/>
          <w:szCs w:val="32"/>
        </w:rPr>
        <w:t>九、一般公共预算财政拨款项目支出决算表.................6</w:t>
      </w:r>
      <w:r>
        <w:rPr>
          <w:rFonts w:hint="eastAsia" w:eastAsia="仿宋_GB2312"/>
          <w:sz w:val="32"/>
          <w:szCs w:val="32"/>
        </w:rPr>
        <w:t>0</w:t>
      </w:r>
    </w:p>
    <w:p w14:paraId="07D962E9">
      <w:pPr>
        <w:pStyle w:val="14"/>
        <w:adjustRightInd w:val="0"/>
        <w:snapToGrid w:val="0"/>
        <w:spacing w:line="560" w:lineRule="exact"/>
        <w:jc w:val="left"/>
        <w:rPr>
          <w:rFonts w:eastAsia="仿宋_GB2312"/>
          <w:sz w:val="32"/>
          <w:szCs w:val="32"/>
        </w:rPr>
      </w:pPr>
      <w:r>
        <w:rPr>
          <w:rFonts w:eastAsia="仿宋_GB2312"/>
          <w:sz w:val="32"/>
          <w:szCs w:val="32"/>
        </w:rPr>
        <w:t>十、政府性基金预算财政拨款收入支出决算表.............6</w:t>
      </w:r>
      <w:r>
        <w:rPr>
          <w:rFonts w:hint="eastAsia" w:eastAsia="仿宋_GB2312"/>
          <w:sz w:val="32"/>
          <w:szCs w:val="32"/>
        </w:rPr>
        <w:t>0</w:t>
      </w:r>
    </w:p>
    <w:p w14:paraId="261E96B1">
      <w:pPr>
        <w:pStyle w:val="14"/>
        <w:adjustRightInd w:val="0"/>
        <w:snapToGrid w:val="0"/>
        <w:spacing w:line="560" w:lineRule="exact"/>
        <w:jc w:val="left"/>
        <w:rPr>
          <w:rFonts w:eastAsia="仿宋_GB2312"/>
          <w:sz w:val="32"/>
          <w:szCs w:val="32"/>
        </w:rPr>
      </w:pPr>
      <w:r>
        <w:rPr>
          <w:rFonts w:eastAsia="仿宋_GB2312"/>
          <w:sz w:val="32"/>
          <w:szCs w:val="32"/>
        </w:rPr>
        <w:t>十一、国有资本经营预算财政拨款收入支出决算表.....6</w:t>
      </w:r>
      <w:r>
        <w:rPr>
          <w:rFonts w:hint="eastAsia" w:eastAsia="仿宋_GB2312"/>
          <w:sz w:val="32"/>
          <w:szCs w:val="32"/>
        </w:rPr>
        <w:t>0</w:t>
      </w:r>
    </w:p>
    <w:p w14:paraId="57D464CD">
      <w:pPr>
        <w:pStyle w:val="14"/>
        <w:adjustRightInd w:val="0"/>
        <w:snapToGrid w:val="0"/>
        <w:spacing w:line="560" w:lineRule="exact"/>
        <w:jc w:val="left"/>
        <w:rPr>
          <w:rFonts w:eastAsia="仿宋_GB2312"/>
          <w:sz w:val="32"/>
          <w:szCs w:val="32"/>
        </w:rPr>
      </w:pPr>
      <w:r>
        <w:rPr>
          <w:rFonts w:eastAsia="仿宋_GB2312"/>
          <w:sz w:val="32"/>
          <w:szCs w:val="32"/>
        </w:rPr>
        <w:t>十二、国有资本经营预算财政拨款支出决算表.............6</w:t>
      </w:r>
      <w:r>
        <w:rPr>
          <w:rFonts w:hint="eastAsia" w:eastAsia="仿宋_GB2312"/>
          <w:sz w:val="32"/>
          <w:szCs w:val="32"/>
        </w:rPr>
        <w:t>0</w:t>
      </w:r>
    </w:p>
    <w:p w14:paraId="58186505">
      <w:pPr>
        <w:pStyle w:val="14"/>
        <w:adjustRightInd w:val="0"/>
        <w:snapToGrid w:val="0"/>
        <w:spacing w:line="560" w:lineRule="exact"/>
        <w:jc w:val="left"/>
        <w:rPr>
          <w:rFonts w:eastAsia="仿宋_GB2312"/>
          <w:sz w:val="32"/>
          <w:szCs w:val="32"/>
        </w:rPr>
      </w:pPr>
      <w:r>
        <w:rPr>
          <w:rFonts w:eastAsia="仿宋_GB2312"/>
          <w:sz w:val="32"/>
          <w:szCs w:val="32"/>
        </w:rPr>
        <w:t>十三、财政拨款“三公”经费支出决算表.........................6</w:t>
      </w:r>
      <w:r>
        <w:rPr>
          <w:rFonts w:hint="eastAsia" w:eastAsia="仿宋_GB2312"/>
          <w:sz w:val="32"/>
          <w:szCs w:val="32"/>
        </w:rPr>
        <w:t>0</w:t>
      </w:r>
    </w:p>
    <w:p w14:paraId="22B5304E">
      <w:pPr>
        <w:widowControl/>
        <w:spacing w:line="560" w:lineRule="exact"/>
        <w:jc w:val="left"/>
        <w:rPr>
          <w:rFonts w:eastAsia="仿宋"/>
          <w:bCs/>
          <w:kern w:val="44"/>
          <w:sz w:val="24"/>
        </w:rPr>
      </w:pPr>
      <w:r>
        <w:rPr>
          <w:rFonts w:eastAsia="仿宋"/>
          <w:b/>
          <w:sz w:val="32"/>
          <w:szCs w:val="32"/>
        </w:rPr>
        <w:br w:type="page"/>
      </w:r>
    </w:p>
    <w:p w14:paraId="5467D698">
      <w:pPr>
        <w:pStyle w:val="3"/>
        <w:spacing w:line="560" w:lineRule="exact"/>
        <w:jc w:val="center"/>
        <w:rPr>
          <w:rFonts w:eastAsia="黑体"/>
        </w:rPr>
      </w:pPr>
      <w:r>
        <w:rPr>
          <w:rFonts w:eastAsia="方正小标宋简体"/>
          <w:b w:val="0"/>
        </w:rPr>
        <w:t>第一部分 部门概况</w:t>
      </w:r>
      <w:bookmarkEnd w:id="12"/>
      <w:bookmarkEnd w:id="13"/>
    </w:p>
    <w:p w14:paraId="70377C99">
      <w:pPr>
        <w:pStyle w:val="4"/>
        <w:numPr>
          <w:ilvl w:val="0"/>
          <w:numId w:val="1"/>
        </w:numPr>
        <w:rPr>
          <w:rFonts w:ascii="Times New Roman" w:hAnsi="Times New Roman" w:eastAsia="黑体" w:cs="Times New Roman"/>
          <w:b w:val="0"/>
        </w:rPr>
      </w:pPr>
      <w:r>
        <w:rPr>
          <w:rFonts w:ascii="Times New Roman" w:hAnsi="Times New Roman" w:eastAsia="黑体" w:cs="Times New Roman"/>
          <w:b w:val="0"/>
        </w:rPr>
        <w:t>部门职责</w:t>
      </w:r>
    </w:p>
    <w:p w14:paraId="1411BE4F">
      <w:pPr>
        <w:spacing w:line="560" w:lineRule="exact"/>
        <w:ind w:firstLine="640" w:firstLineChars="200"/>
        <w:jc w:val="left"/>
        <w:rPr>
          <w:rFonts w:eastAsia="仿宋_GB2312"/>
          <w:kern w:val="0"/>
          <w:sz w:val="32"/>
          <w:szCs w:val="32"/>
        </w:rPr>
      </w:pPr>
      <w:r>
        <w:rPr>
          <w:rFonts w:eastAsia="仿宋_GB2312"/>
          <w:kern w:val="0"/>
          <w:sz w:val="32"/>
          <w:szCs w:val="32"/>
        </w:rPr>
        <w:t>2019年3月25日，按照米委办发〔2019〕25号，米易县综合行政执法局（简称县综合执法局）是米易县人民政府工作部门，为正科级。加挂县城市管理局（简称县城管局）牌子。2019年6月4日，根据米编发〔2019〕14 号，将原作为县政府直属事业单位设置的米易县城市管理局更名为米易县城市公用事业服务中心，为县政府直属公益一类事业单位，由县综合行政执法局代管。</w:t>
      </w:r>
    </w:p>
    <w:p w14:paraId="4983B2F9">
      <w:pPr>
        <w:spacing w:line="560" w:lineRule="exact"/>
        <w:ind w:firstLine="640" w:firstLineChars="200"/>
        <w:jc w:val="left"/>
        <w:rPr>
          <w:rFonts w:eastAsia="仿宋_GB2312"/>
          <w:kern w:val="0"/>
          <w:sz w:val="32"/>
          <w:szCs w:val="32"/>
        </w:rPr>
      </w:pPr>
      <w:r>
        <w:rPr>
          <w:rFonts w:eastAsia="仿宋_GB2312"/>
          <w:kern w:val="0"/>
          <w:sz w:val="32"/>
          <w:szCs w:val="32"/>
        </w:rPr>
        <w:t>根据米委办发〔2019〕25 号，县综合执法局贯彻落实党中央关于推进综合行政执法和城市管理工作的方针政策和省委、市委、县委的决策部署，在履行职责过程中坚持并加强党对综合行政执法和城市管理工作的集中统一领导。</w:t>
      </w:r>
      <w:bookmarkStart w:id="14" w:name="_Toc15378445"/>
      <w:bookmarkStart w:id="15" w:name="_Toc15377198"/>
      <w:r>
        <w:rPr>
          <w:rFonts w:eastAsia="仿宋_GB2312"/>
          <w:kern w:val="0"/>
          <w:sz w:val="32"/>
          <w:szCs w:val="32"/>
        </w:rPr>
        <w:t>主要职</w:t>
      </w:r>
      <w:bookmarkEnd w:id="14"/>
      <w:bookmarkEnd w:id="15"/>
      <w:r>
        <w:rPr>
          <w:rFonts w:eastAsia="仿宋_GB2312"/>
          <w:kern w:val="0"/>
          <w:sz w:val="32"/>
          <w:szCs w:val="32"/>
        </w:rPr>
        <w:t>责是：</w:t>
      </w:r>
    </w:p>
    <w:p w14:paraId="20D26F25">
      <w:pPr>
        <w:spacing w:line="560" w:lineRule="exact"/>
        <w:ind w:firstLine="640" w:firstLineChars="200"/>
        <w:jc w:val="left"/>
        <w:rPr>
          <w:rFonts w:eastAsia="仿宋_GB2312"/>
          <w:kern w:val="0"/>
          <w:sz w:val="32"/>
          <w:szCs w:val="32"/>
        </w:rPr>
      </w:pPr>
      <w:r>
        <w:rPr>
          <w:rFonts w:eastAsia="仿宋_GB2312"/>
          <w:kern w:val="0"/>
          <w:sz w:val="32"/>
          <w:szCs w:val="32"/>
        </w:rPr>
        <w:t>（一）宣传、贯彻、执行国家和省、市、县关于开展综合行政执法工作及市容环卫、园林绿化的法律、法规、方针、政策，治理和维护城市管理秩序。参与拟订城市管理地方性法规、规章草案。拟订综合行政执法和城市管理发展规划、实施计划、管理标准、工作目标并组织实施。</w:t>
      </w:r>
    </w:p>
    <w:p w14:paraId="14A4A8F4">
      <w:pPr>
        <w:spacing w:line="560" w:lineRule="exact"/>
        <w:ind w:firstLine="640" w:firstLineChars="200"/>
        <w:jc w:val="left"/>
        <w:rPr>
          <w:rFonts w:eastAsia="仿宋_GB2312"/>
          <w:kern w:val="0"/>
          <w:sz w:val="32"/>
          <w:szCs w:val="32"/>
        </w:rPr>
      </w:pPr>
      <w:r>
        <w:rPr>
          <w:rFonts w:eastAsia="仿宋_GB2312"/>
          <w:kern w:val="0"/>
          <w:sz w:val="32"/>
          <w:szCs w:val="32"/>
        </w:rPr>
        <w:t>（二）负责城市管理的行政执法工作。集中行使市容环境卫生管理、城市绿化管理、公用事业管理方面的行政处罚权。根据省、市、县部署和要求，推进城市执法体制改革，改进城市管理工作。根据授权，负责组织指导、统筹协调、监督检查、综合考评各乡镇的城乡管理综合行政执法工作。</w:t>
      </w:r>
    </w:p>
    <w:p w14:paraId="569CE343">
      <w:pPr>
        <w:spacing w:line="560" w:lineRule="exact"/>
        <w:ind w:firstLine="640" w:firstLineChars="200"/>
        <w:jc w:val="left"/>
        <w:rPr>
          <w:rFonts w:eastAsia="仿宋_GB2312"/>
          <w:kern w:val="0"/>
          <w:sz w:val="32"/>
          <w:szCs w:val="32"/>
        </w:rPr>
      </w:pPr>
      <w:r>
        <w:rPr>
          <w:rFonts w:eastAsia="仿宋_GB2312"/>
          <w:kern w:val="0"/>
          <w:sz w:val="32"/>
          <w:szCs w:val="32"/>
        </w:rPr>
        <w:t>（三）会同城乡规划主管部门编制城市市容环卫、园林绿化等各项专业规划，参与城市建设项目设计方案、初步设计的审查。</w:t>
      </w:r>
    </w:p>
    <w:p w14:paraId="32A7ACEA">
      <w:pPr>
        <w:spacing w:line="560" w:lineRule="exact"/>
        <w:ind w:firstLine="640" w:firstLineChars="200"/>
        <w:jc w:val="left"/>
        <w:rPr>
          <w:rFonts w:eastAsia="仿宋_GB2312"/>
          <w:kern w:val="0"/>
          <w:sz w:val="32"/>
          <w:szCs w:val="32"/>
        </w:rPr>
      </w:pPr>
      <w:r>
        <w:rPr>
          <w:rFonts w:eastAsia="仿宋_GB2312"/>
          <w:kern w:val="0"/>
          <w:sz w:val="32"/>
          <w:szCs w:val="32"/>
        </w:rPr>
        <w:t>（四）负责城市市容环境卫生综合管理工作。依法对市容环境卫生实施监督检查和考核。负责环境卫生作业企业的行业管理。负责城市建成区户外广告和招牌的监督管理。</w:t>
      </w:r>
    </w:p>
    <w:p w14:paraId="4C071BDF">
      <w:pPr>
        <w:spacing w:line="560" w:lineRule="exact"/>
        <w:ind w:firstLine="640" w:firstLineChars="200"/>
        <w:jc w:val="left"/>
        <w:rPr>
          <w:rFonts w:eastAsia="仿宋_GB2312"/>
          <w:kern w:val="0"/>
          <w:sz w:val="32"/>
          <w:szCs w:val="32"/>
        </w:rPr>
      </w:pPr>
      <w:r>
        <w:rPr>
          <w:rFonts w:eastAsia="仿宋_GB2312"/>
          <w:kern w:val="0"/>
          <w:sz w:val="32"/>
          <w:szCs w:val="32"/>
        </w:rPr>
        <w:t>（五）负责全县城市市容环卫、园林绿化等基础设施的管理和有关的行政许可工作。参与临时占用城市道路的机动车、非机动车停车场（点）的规划定点工作。</w:t>
      </w:r>
    </w:p>
    <w:p w14:paraId="024C1A37">
      <w:pPr>
        <w:spacing w:line="560" w:lineRule="exact"/>
        <w:ind w:firstLine="640" w:firstLineChars="200"/>
        <w:jc w:val="left"/>
        <w:rPr>
          <w:rFonts w:eastAsia="仿宋_GB2312"/>
          <w:kern w:val="0"/>
          <w:sz w:val="32"/>
          <w:szCs w:val="32"/>
        </w:rPr>
      </w:pPr>
      <w:r>
        <w:rPr>
          <w:rFonts w:eastAsia="仿宋_GB2312"/>
          <w:kern w:val="0"/>
          <w:sz w:val="32"/>
          <w:szCs w:val="32"/>
        </w:rPr>
        <w:t>（六）负责全县城市绿化监督管理工作。负责对规划区内城市园林绿化行业的管理、业务指导、培训、督促和检查。参与城市园林绿化管理标准和城市园林绿化建设工程有关管理规范的制定。负责城市建成区城市主干道道路两侧的行道树及其附属公共绿地的管理。负责城市规划区古树名木的保护管理工作。负责对权限内园林绿化企业监督管理工作。</w:t>
      </w:r>
    </w:p>
    <w:p w14:paraId="0593D9FB">
      <w:pPr>
        <w:spacing w:line="560" w:lineRule="exact"/>
        <w:ind w:firstLine="640" w:firstLineChars="200"/>
        <w:jc w:val="left"/>
        <w:rPr>
          <w:rFonts w:eastAsia="仿宋_GB2312"/>
          <w:kern w:val="0"/>
          <w:sz w:val="32"/>
          <w:szCs w:val="32"/>
        </w:rPr>
      </w:pPr>
      <w:r>
        <w:rPr>
          <w:rFonts w:eastAsia="仿宋_GB2312"/>
          <w:kern w:val="0"/>
          <w:sz w:val="32"/>
          <w:szCs w:val="32"/>
        </w:rPr>
        <w:t>（七）负责燃气行业综合管理工作。拟订燃气行业发展规划并组织实施。监督指导燃气经营单位落实行业规范、标准。监督指导燃气工程建设及备案工作。</w:t>
      </w:r>
    </w:p>
    <w:p w14:paraId="5B627D2E">
      <w:pPr>
        <w:spacing w:line="560" w:lineRule="exact"/>
        <w:ind w:firstLine="640" w:firstLineChars="200"/>
        <w:jc w:val="left"/>
        <w:rPr>
          <w:rFonts w:eastAsia="仿宋_GB2312"/>
          <w:kern w:val="0"/>
          <w:sz w:val="32"/>
          <w:szCs w:val="32"/>
        </w:rPr>
      </w:pPr>
      <w:r>
        <w:rPr>
          <w:rFonts w:eastAsia="仿宋_GB2312"/>
          <w:kern w:val="0"/>
          <w:sz w:val="32"/>
          <w:szCs w:val="32"/>
        </w:rPr>
        <w:t>（八）负推进数字化城市管理和信息化建设。</w:t>
      </w:r>
    </w:p>
    <w:p w14:paraId="06DAF067">
      <w:pPr>
        <w:spacing w:line="560" w:lineRule="exact"/>
        <w:ind w:firstLine="640" w:firstLineChars="200"/>
        <w:jc w:val="left"/>
        <w:rPr>
          <w:rFonts w:eastAsia="仿宋_GB2312"/>
          <w:kern w:val="0"/>
          <w:sz w:val="32"/>
          <w:szCs w:val="32"/>
        </w:rPr>
      </w:pPr>
      <w:r>
        <w:rPr>
          <w:rFonts w:eastAsia="仿宋_GB2312"/>
          <w:kern w:val="0"/>
          <w:sz w:val="32"/>
          <w:szCs w:val="32"/>
        </w:rPr>
        <w:t>（九）会同财政部门拟订城市管理维护和综合行政执法经费的中长期规划和年度计划，并组织实施和监管使用。</w:t>
      </w:r>
    </w:p>
    <w:p w14:paraId="1DD46102">
      <w:pPr>
        <w:spacing w:line="560" w:lineRule="exact"/>
        <w:ind w:firstLine="640" w:firstLineChars="200"/>
        <w:jc w:val="left"/>
        <w:rPr>
          <w:rFonts w:eastAsia="仿宋_GB2312"/>
          <w:kern w:val="0"/>
          <w:sz w:val="32"/>
          <w:szCs w:val="32"/>
        </w:rPr>
      </w:pPr>
      <w:r>
        <w:rPr>
          <w:rFonts w:eastAsia="仿宋_GB2312"/>
          <w:kern w:val="0"/>
          <w:sz w:val="32"/>
          <w:szCs w:val="32"/>
        </w:rPr>
        <w:t>（十）参与城市新建、改（扩）建项目中涉及市容环境卫生、园林绿化建设项目的规划、方案审查、综合验收。</w:t>
      </w:r>
    </w:p>
    <w:p w14:paraId="3C88F179">
      <w:pPr>
        <w:spacing w:line="560" w:lineRule="exact"/>
        <w:ind w:firstLine="640" w:firstLineChars="200"/>
        <w:jc w:val="left"/>
        <w:rPr>
          <w:rFonts w:eastAsia="仿宋_GB2312"/>
          <w:kern w:val="0"/>
          <w:sz w:val="32"/>
          <w:szCs w:val="32"/>
        </w:rPr>
      </w:pPr>
      <w:r>
        <w:rPr>
          <w:rFonts w:eastAsia="仿宋_GB2312"/>
          <w:kern w:val="0"/>
          <w:sz w:val="32"/>
          <w:szCs w:val="32"/>
        </w:rPr>
        <w:t>（十一）承担职责范围内的安全生产和职业健康、生态环境保护、审批服务便民化等工作。</w:t>
      </w:r>
    </w:p>
    <w:p w14:paraId="604412F8">
      <w:pPr>
        <w:spacing w:line="560" w:lineRule="exact"/>
        <w:ind w:firstLine="640" w:firstLineChars="200"/>
        <w:jc w:val="left"/>
        <w:rPr>
          <w:rFonts w:eastAsia="仿宋_GB2312"/>
          <w:kern w:val="0"/>
          <w:sz w:val="32"/>
          <w:szCs w:val="32"/>
        </w:rPr>
      </w:pPr>
      <w:r>
        <w:rPr>
          <w:rFonts w:eastAsia="仿宋_GB2312"/>
          <w:kern w:val="0"/>
          <w:sz w:val="32"/>
          <w:szCs w:val="32"/>
        </w:rPr>
        <w:t>（十二）完成县委、县政府交办的其他任务。</w:t>
      </w:r>
    </w:p>
    <w:p w14:paraId="7702818C">
      <w:pPr>
        <w:spacing w:line="560" w:lineRule="exact"/>
        <w:ind w:firstLine="640" w:firstLineChars="200"/>
        <w:jc w:val="left"/>
        <w:rPr>
          <w:rFonts w:eastAsia="仿宋_GB2312"/>
          <w:kern w:val="0"/>
          <w:sz w:val="32"/>
          <w:szCs w:val="32"/>
        </w:rPr>
      </w:pPr>
      <w:r>
        <w:rPr>
          <w:rFonts w:eastAsia="仿宋_GB2312"/>
          <w:kern w:val="0"/>
          <w:sz w:val="32"/>
          <w:szCs w:val="32"/>
        </w:rPr>
        <w:t>（十三）职能转变。1.根据“放管服”改革和政府职能转变的要求，精简审批环节，优化项目报建审批流程，推动“最多跑一次”“互联网+政务服务”等改革事项取得重大突破。参与并联审批、联合勘验、联合测绘、联合审图、联合验收以及区域评估。推动审批服务理念、制度、作风全方位深层次变革，最大限度提高企业和群众办事便捷性。推进线上线下深度融合。运用大数据精准分析和评估审批服务办件情况，有针对性地改进办理流程，让办事更便捷、服务更优质。以审批智能化、服务自助化、办事移动化为重点，整合实体大厅、网上平台、移动客户端、自助终端、服务热线等，建立统一的政务咨询投诉举报平台，实现线上线下功能互补、融合发展。加快水、气等服务领域改革，引入社会竞争，强化行业监管和社会监督，解决办事手续繁、效率低问题，提高服务质量。压缩办水办气时间，推动取消申请费、手续费等收费。2.综合行政执法的职权划转根据法律、法规、规章规定执行，职权划转需根据省政府批准的行政执法职权划转目录实施的，以政府公告为准执行。3.统筹推进承担行政职能的事业单位改革。作为政府直属事业单位设置的县城管局不再承担城市管理职责，相关行政职能交由县综合执法局有关内设机构承担。</w:t>
      </w:r>
    </w:p>
    <w:p w14:paraId="014590D3">
      <w:pPr>
        <w:spacing w:line="560" w:lineRule="exact"/>
        <w:ind w:firstLine="640" w:firstLineChars="200"/>
        <w:jc w:val="left"/>
        <w:rPr>
          <w:rFonts w:eastAsia="仿宋_GB2312"/>
          <w:kern w:val="0"/>
          <w:sz w:val="32"/>
          <w:szCs w:val="32"/>
        </w:rPr>
      </w:pPr>
      <w:r>
        <w:rPr>
          <w:rFonts w:eastAsia="仿宋_GB2312"/>
          <w:kern w:val="0"/>
          <w:sz w:val="32"/>
          <w:szCs w:val="32"/>
        </w:rPr>
        <w:t>（十四）行政处罚权划转后有关职责分工。有关行政处罚权划转后，原行政管理部门的行业监管主体责任不变，继续履行管理事项的日常监督检查、监测、违法行政发现等行政管理职能。城市管理综合行政执法部门实时将执行行政处罚或行政强制的情况反馈相关部门，实现末端执法与源头治理有机结合。</w:t>
      </w:r>
    </w:p>
    <w:p w14:paraId="7619BD4B">
      <w:pPr>
        <w:spacing w:line="560" w:lineRule="exact"/>
        <w:ind w:firstLine="640" w:firstLineChars="200"/>
        <w:jc w:val="left"/>
        <w:rPr>
          <w:rFonts w:eastAsia="仿宋_GB2312"/>
          <w:sz w:val="32"/>
          <w:szCs w:val="32"/>
        </w:rPr>
      </w:pPr>
      <w:r>
        <w:rPr>
          <w:rFonts w:eastAsia="仿宋_GB2312"/>
          <w:kern w:val="0"/>
          <w:sz w:val="32"/>
          <w:szCs w:val="32"/>
        </w:rPr>
        <w:t>县城市公用事业服务中心主要职责：承担城市绿化、保洁等城市公用事业服务及相关事务性工作。</w:t>
      </w:r>
    </w:p>
    <w:p w14:paraId="21DEA6DA">
      <w:pPr>
        <w:pStyle w:val="4"/>
        <w:numPr>
          <w:ilvl w:val="0"/>
          <w:numId w:val="1"/>
        </w:numPr>
        <w:rPr>
          <w:rFonts w:ascii="Times New Roman" w:hAnsi="Times New Roman" w:cs="Times New Roman"/>
        </w:rPr>
      </w:pPr>
      <w:bookmarkStart w:id="16" w:name="_Toc15396601"/>
      <w:bookmarkStart w:id="17" w:name="_Toc15377200"/>
      <w:r>
        <w:rPr>
          <w:rFonts w:ascii="Times New Roman" w:hAnsi="Times New Roman" w:eastAsia="黑体" w:cs="Times New Roman"/>
          <w:b w:val="0"/>
        </w:rPr>
        <w:t>机</w:t>
      </w:r>
      <w:r>
        <w:rPr>
          <w:rStyle w:val="30"/>
          <w:rFonts w:ascii="Times New Roman" w:hAnsi="Times New Roman" w:eastAsia="黑体" w:cs="Times New Roman"/>
          <w:b w:val="0"/>
          <w:bCs w:val="0"/>
        </w:rPr>
        <w:t>构设置</w:t>
      </w:r>
      <w:bookmarkEnd w:id="16"/>
      <w:bookmarkEnd w:id="17"/>
    </w:p>
    <w:p w14:paraId="77895FC6">
      <w:pPr>
        <w:spacing w:line="560" w:lineRule="exact"/>
        <w:ind w:firstLine="800" w:firstLineChars="250"/>
        <w:jc w:val="left"/>
        <w:rPr>
          <w:rFonts w:eastAsia="仿宋_GB2312"/>
          <w:sz w:val="32"/>
          <w:szCs w:val="32"/>
        </w:rPr>
      </w:pPr>
      <w:r>
        <w:rPr>
          <w:rFonts w:eastAsia="仿宋_GB2312"/>
          <w:kern w:val="0"/>
          <w:sz w:val="32"/>
          <w:szCs w:val="32"/>
        </w:rPr>
        <w:t>县综合执法局</w:t>
      </w:r>
      <w:r>
        <w:rPr>
          <w:rFonts w:eastAsia="仿宋_GB2312"/>
          <w:sz w:val="32"/>
          <w:szCs w:val="32"/>
        </w:rPr>
        <w:t>下属二级预算单位0个，其中行政单位0个，参照公务员法管理的事业单位</w:t>
      </w:r>
      <w:r>
        <w:rPr>
          <w:rFonts w:eastAsia="仿宋_GB2312"/>
          <w:bCs/>
          <w:sz w:val="32"/>
          <w:szCs w:val="32"/>
        </w:rPr>
        <w:t>0</w:t>
      </w:r>
      <w:r>
        <w:rPr>
          <w:rFonts w:eastAsia="仿宋_GB2312"/>
          <w:sz w:val="32"/>
          <w:szCs w:val="32"/>
        </w:rPr>
        <w:t>个，其他事业单位0个。</w:t>
      </w:r>
    </w:p>
    <w:p w14:paraId="55D3C869">
      <w:pPr>
        <w:pStyle w:val="2"/>
        <w:adjustRightInd w:val="0"/>
        <w:snapToGrid w:val="0"/>
        <w:spacing w:before="93" w:line="560" w:lineRule="exact"/>
        <w:ind w:firstLine="672" w:firstLineChars="210"/>
        <w:jc w:val="left"/>
        <w:rPr>
          <w:rFonts w:ascii="Times New Roman"/>
          <w:sz w:val="32"/>
          <w:szCs w:val="32"/>
        </w:rPr>
      </w:pPr>
      <w:r>
        <w:rPr>
          <w:rFonts w:ascii="Times New Roman"/>
          <w:sz w:val="32"/>
          <w:szCs w:val="32"/>
        </w:rPr>
        <w:t>纳入县综合执法局2022年度部门决算编制范围的二级预算单位包括：无</w:t>
      </w:r>
    </w:p>
    <w:p w14:paraId="574E8157">
      <w:pPr>
        <w:pStyle w:val="2"/>
        <w:adjustRightInd w:val="0"/>
        <w:snapToGrid w:val="0"/>
        <w:spacing w:before="93" w:line="560" w:lineRule="exact"/>
        <w:ind w:firstLine="672" w:firstLineChars="210"/>
        <w:jc w:val="left"/>
        <w:rPr>
          <w:rFonts w:ascii="Times New Roman"/>
          <w:sz w:val="32"/>
          <w:szCs w:val="32"/>
        </w:rPr>
      </w:pPr>
      <w:r>
        <w:rPr>
          <w:rFonts w:ascii="Times New Roman"/>
          <w:sz w:val="32"/>
          <w:szCs w:val="32"/>
        </w:rPr>
        <w:t xml:space="preserve">纳入县综合执法局2022年度部门决算编制范围的二级单位包括：米易县城市公用事业服务中心 </w:t>
      </w:r>
    </w:p>
    <w:p w14:paraId="14965AF9">
      <w:pPr>
        <w:pStyle w:val="4"/>
        <w:rPr>
          <w:rFonts w:ascii="Times New Roman" w:hAnsi="Times New Roman" w:eastAsia="黑体" w:cs="Times New Roman"/>
          <w:b w:val="0"/>
        </w:rPr>
      </w:pPr>
      <w:r>
        <w:rPr>
          <w:rFonts w:ascii="Times New Roman" w:hAnsi="Times New Roman" w:eastAsia="黑体" w:cs="Times New Roman"/>
          <w:b w:val="0"/>
        </w:rPr>
        <w:t>三、2022年重点工作完成情况</w:t>
      </w:r>
    </w:p>
    <w:p w14:paraId="3937C580">
      <w:pPr>
        <w:pStyle w:val="2"/>
        <w:adjustRightInd w:val="0"/>
        <w:snapToGrid w:val="0"/>
        <w:spacing w:before="93" w:line="560" w:lineRule="exact"/>
        <w:ind w:firstLine="640" w:firstLineChars="200"/>
        <w:jc w:val="left"/>
        <w:rPr>
          <w:rFonts w:ascii="Times New Roman"/>
          <w:sz w:val="32"/>
          <w:szCs w:val="32"/>
        </w:rPr>
      </w:pPr>
      <w:r>
        <w:rPr>
          <w:rFonts w:ascii="Times New Roman"/>
          <w:sz w:val="32"/>
          <w:szCs w:val="32"/>
        </w:rPr>
        <w:t>（一）党建引领，队伍建设展现新气象。旗帜鲜明讲政治，坚持把党的领导贯穿于队伍建设、城市管理全过程。坚决贯彻执行党的路线方针政策，通过党组会、理论学习中心组会议、党支部“三会一课”第一时间将中央、省、市、县委和政府的重大决策部署、重要会议和文件精神传达到党员干部职工队伍。严格执行重大事项及时向县委、县政府请示报告制度，认真落实全面从严治党主体责任，坚持把党风廉政建设与城市管理工作同部署、同落实。坚持民主集中制原则，通过党组会议研究“三重一大”工作，认真开好民主生活会、组织生活会。抓好基层党建工作，党员干部在急难险重任务中冲锋在前、活力十足，充分发扬基层党组织的战斗堡垒作用。</w:t>
      </w:r>
    </w:p>
    <w:p w14:paraId="67272D5F">
      <w:pPr>
        <w:pStyle w:val="2"/>
        <w:adjustRightInd w:val="0"/>
        <w:snapToGrid w:val="0"/>
        <w:spacing w:before="93" w:line="560" w:lineRule="exact"/>
        <w:ind w:firstLine="672" w:firstLineChars="210"/>
        <w:jc w:val="left"/>
        <w:rPr>
          <w:rFonts w:ascii="Times New Roman"/>
          <w:sz w:val="32"/>
          <w:szCs w:val="32"/>
        </w:rPr>
      </w:pPr>
      <w:r>
        <w:rPr>
          <w:rFonts w:ascii="Times New Roman"/>
          <w:sz w:val="32"/>
          <w:szCs w:val="32"/>
        </w:rPr>
        <w:t>（二）精准推进，市容文明秩序呈现新面貌。大力倡导“721”执法理念，坚持70%的问题用服务手段解决、20%的问题用管理手段解决、10%的问题用执法手段解决，在执法过程中以教育劝导为主、整治处罚为辅，城市管理执法满意度达到了95%。一是以民为本规范经营秩序。合理规划，设置甘蔗、樱桃、端午民俗用品、菌类等便民服务临时交易区摊位共1200个；严格管理商业步行街、小渔村街巷等地划线经营，规定外摆经营时间，督促落实“门前三包”责任，较好地缓解了城市管理执法矛盾，满足购物和就业需求。二是科学规划，管理质效提升。实施“早早班、晚晚班”管理制度，将巡查时间调整为早上7:00至晚上12:00，定人定岗全覆盖对县城区进行巡查整治，共清理流动摊贩6.2万余起，清理占道经营2.3万余起，治理乱摆摊设点1万余起，提高游商摊贩、占道经营、违规广告等管理效率；设立脏车治理流动检查点3个、脏车问题194余起、劝导摩托车电瓶车违规驶入绿道3000起。三是联合整治，形成合力。针对倚车售卖、露天烧烤，城乡结合部、国省干道等群众意见大、执法难度大的难点问题，积极协同各部门乡镇建立联合执法机制，整治倚车售卖、露天烧烤180起，及时制止“马路市场”。</w:t>
      </w:r>
    </w:p>
    <w:p w14:paraId="2E24AC07">
      <w:pPr>
        <w:pStyle w:val="2"/>
        <w:adjustRightInd w:val="0"/>
        <w:snapToGrid w:val="0"/>
        <w:spacing w:before="93" w:line="560" w:lineRule="exact"/>
        <w:jc w:val="left"/>
        <w:rPr>
          <w:rFonts w:ascii="Times New Roman"/>
          <w:sz w:val="32"/>
          <w:szCs w:val="32"/>
        </w:rPr>
      </w:pPr>
      <w:r>
        <w:rPr>
          <w:rFonts w:ascii="Times New Roman"/>
          <w:sz w:val="32"/>
          <w:szCs w:val="32"/>
        </w:rPr>
        <w:t>四是压实“双劝”，文明素养挺高。印发《米易县“随地吐痰、乱扔烟头、乱扔垃圾”整治行动实施方案》，建立“城管为主、社区为补”的两级文明劝导机制，劝导各类不文明行为1.6万次，市民群众“摒弃陋习、树文明新风”思想初步形成。</w:t>
      </w:r>
    </w:p>
    <w:p w14:paraId="3FDA1863">
      <w:pPr>
        <w:pStyle w:val="2"/>
        <w:adjustRightInd w:val="0"/>
        <w:snapToGrid w:val="0"/>
        <w:spacing w:before="93" w:line="560" w:lineRule="exact"/>
        <w:ind w:firstLine="672" w:firstLineChars="210"/>
        <w:jc w:val="left"/>
        <w:rPr>
          <w:rFonts w:ascii="Times New Roman"/>
          <w:sz w:val="32"/>
          <w:szCs w:val="32"/>
        </w:rPr>
      </w:pPr>
      <w:r>
        <w:rPr>
          <w:rFonts w:ascii="Times New Roman"/>
          <w:sz w:val="32"/>
          <w:szCs w:val="32"/>
        </w:rPr>
        <w:t>（三）改革创新，城乡环境卫生作业新机制。将县城区清扫保洁和垃圾清运、城乡垃圾转运处置全部纳入第三轮市场化，在全市率先推行环卫一体化管理新模式，形成“全方位覆盖、全链条无缝、全过程对接”的环卫作业方式，形成环卫作业一体化运行模式，累计处置生活垃圾3.32万吨、餐厨垃圾2789.86吨、建筑垃圾2.5万吨。一是清扫作业更精细。将道路细分为四级保洁标准，合理分配人员，每日保洁时长16小时，确保地面随脏随清。提高机械化清扫水平，投入路面清洗车12辆、高压冲洗车12辆，实现机械化清扫率达90%。二是收集作业更智慧。建立智慧环卫管理平台，精准确定每台垃圾收集车辆收集路线和时间，加强数据分析监管，实时调度和调整收集车辆，确保了生活垃圾随产随清，三是转运作业更科学。对4座城乡垃圾中转站安装视频和数据监控系统，并纳入米易县全响应平台，实时分析掌握转运情况。完善垃圾转运应急机制，围绕车辆损坏、道路中断等极端情况，分别落实应急办法，提高应急反应和处置能力。继续加强农村生活垃圾治理以及生活垃圾分类相关工作，争取上级专项资金168万元，采购安装分类垃圾桶900个、分类亭8个，完成城南垃圾房升级改造；开展农村生活垃圾暗访检查4次，下发整改通知书和通报8份。</w:t>
      </w:r>
    </w:p>
    <w:p w14:paraId="3EC5A86D">
      <w:pPr>
        <w:pStyle w:val="2"/>
        <w:adjustRightInd w:val="0"/>
        <w:snapToGrid w:val="0"/>
        <w:spacing w:before="93" w:line="560" w:lineRule="exact"/>
        <w:ind w:firstLine="672" w:firstLineChars="210"/>
        <w:jc w:val="left"/>
        <w:rPr>
          <w:rFonts w:ascii="Times New Roman"/>
          <w:sz w:val="32"/>
          <w:szCs w:val="32"/>
        </w:rPr>
      </w:pPr>
      <w:r>
        <w:rPr>
          <w:rFonts w:ascii="Times New Roman"/>
          <w:sz w:val="32"/>
          <w:szCs w:val="32"/>
        </w:rPr>
        <w:t>（四）精细管理，园林绿化治理锚定新目标。始终把园林绿化养护和提升打造作为体现城市亮点、提升环境品质的重要抓手，在第三轮绿化市场化的基础上，着力提升绿地养护机制和鲜花打造质量。一是全力筹备国家园林县城复审。成立以县委、县政府分管领导为组长的复审工作领导小组，深入开展园林绿化问题排查整治，提出绿化“四美”完善措施，要求花境要突出色彩和层次的多样性，呈现“自然美”；土壤覆盖类地被在确保功能作用的同时，呈现“形态美”；节点鲜花氛围营造凸显特色，呈现“特色美”；人行道、道路和部分绿植具有隔离功能的绿篦等，讲究乔木、灌丛线条的均匀顺滑，呈现“线条美”。完成迎宾大道、河滨公园、易园等园林绿地线条调整2000平方米，补植各类小型乔木4.5万株、地被植物1.1万平方米，防治红火蚁147亩，切实解决了绿地杂乱、零散、生硬等问题。二是加强县城区节点鲜花氛围营造。投入资金200万元，完成春节鲜花氛围营造，在易园打造鲜花景点7处，建设花海6500平方米，接待游客超30万人次，网络观阅量超100万人次；投入资金18万元，在文化南广场建设“五一”劳动节主题花组；投入资金36万元，完成文化广场主题为“天府粮仓、富饶安宁”花组，南部新城生态湿地公园入口主题为“欢度国庆”花组建设，同时在公园、绿道等32个重要节点位置约3200平方米分范围内摆放时令鲜花近30种，约32000盆。三是持续打造易园现代农业微缩景观。5月份完成小麦成熟及收割展示，在专业人员的指导下，实施了稻田改造和第三代杂交水稻“三优2号”的种植工作，目前长势良好，广受市民游客喜爱，以特色方式展现了米易现代农业成果。</w:t>
      </w:r>
    </w:p>
    <w:p w14:paraId="132373D7">
      <w:pPr>
        <w:pStyle w:val="2"/>
        <w:adjustRightInd w:val="0"/>
        <w:snapToGrid w:val="0"/>
        <w:spacing w:before="93" w:line="560" w:lineRule="exact"/>
        <w:ind w:firstLine="672" w:firstLineChars="210"/>
        <w:jc w:val="left"/>
        <w:rPr>
          <w:rFonts w:ascii="Times New Roman"/>
          <w:sz w:val="32"/>
          <w:szCs w:val="32"/>
        </w:rPr>
      </w:pPr>
      <w:r>
        <w:rPr>
          <w:rFonts w:ascii="Times New Roman"/>
          <w:sz w:val="32"/>
          <w:szCs w:val="32"/>
        </w:rPr>
        <w:t>（五）精准调度，重大活动保障有新力度。坚持在全县性重要接待、重要活动中始终扮演好后勤保障的角色，做好职责范围内的城市管理工作，积极完成领导交办的其他任务。今年内，保障省级及以上各类重大调研、检查和活动12次。特别是在全国文明城市复查测评工作中，在县委县政府的统一领导下，我局机关干部、一线执法人员、环卫和绿化工人约450人，全部定人定岗定责任区域，形成了覆盖全县城的精细化、网格化、全天候的巡查管理机制，有效提升了不文明行为劝导、违规经营问题整治、垃圾清理效率，实现了安排部署立即响应、发现问题立即解决的目标，全力以赴确保了职责范围内实地点位的测评达标。</w:t>
      </w:r>
    </w:p>
    <w:p w14:paraId="11D83C34">
      <w:pPr>
        <w:pStyle w:val="2"/>
        <w:adjustRightInd w:val="0"/>
        <w:snapToGrid w:val="0"/>
        <w:spacing w:before="93" w:line="560" w:lineRule="exact"/>
        <w:ind w:firstLine="672" w:firstLineChars="210"/>
        <w:jc w:val="left"/>
        <w:rPr>
          <w:rFonts w:ascii="Times New Roman"/>
          <w:sz w:val="32"/>
          <w:szCs w:val="32"/>
        </w:rPr>
      </w:pPr>
      <w:r>
        <w:rPr>
          <w:rFonts w:ascii="Times New Roman"/>
          <w:sz w:val="32"/>
          <w:szCs w:val="32"/>
        </w:rPr>
        <w:t>（六）筑牢底线，安全稳定工作有新成效。始终把安全稳定作为各项工作的主旋律，切实增强做好安全生产工作责任感和使命感，严格落实安全生产“一岗双责”，扎实开展风险隐患排查整治，坚决防范和遏制各类安全生产事故。一是城镇燃气安全方面。出动执法人员3430余人次，检查燃气居民用户20720户、燃气非居民用户435户（含381户餐饮商业用户，已全部完成安装燃气报警装置），发现居民用户问题隐患2803处、非居民用户问题隐患169处，全部完成问题整改；组织开展应急演练6次、燃气安全专题培训5次、各类宣传活动10次，覆盖企业、用户、部门和乡镇2万人，在省级燃气专项检查中获得充分肯定。争取中央专项资金1680万元，推进老旧小区燃气管网更新改造项目。二是普速铁路安全方面。建立属地乡镇、铁路部门“双段长”机制，设立“双段长”办公室，实行路地联席会议制度，联合铁路沿线6个乡镇排查并完成整改安全隐患39处，配合铁路部门完成82处安全隐患整改和61处非法过道整治，同时与16个村社签订《安全管控承诺书》和《安全隐患告知书》，整体工作获得省级部门发文推广及肯定。</w:t>
      </w:r>
    </w:p>
    <w:p w14:paraId="45E15C4F">
      <w:pPr>
        <w:pStyle w:val="3"/>
        <w:spacing w:line="560" w:lineRule="exact"/>
        <w:jc w:val="center"/>
        <w:rPr>
          <w:rFonts w:eastAsia="方正小标宋简体"/>
          <w:b w:val="0"/>
        </w:rPr>
      </w:pPr>
      <w:bookmarkStart w:id="18" w:name="_Toc15377204"/>
      <w:bookmarkStart w:id="19" w:name="_Toc15396602"/>
      <w:r>
        <w:rPr>
          <w:rFonts w:eastAsia="方正小标宋简体"/>
          <w:b w:val="0"/>
        </w:rPr>
        <w:t>第二部分 2022年度部门决算情况说明</w:t>
      </w:r>
      <w:bookmarkEnd w:id="18"/>
      <w:bookmarkEnd w:id="19"/>
    </w:p>
    <w:p w14:paraId="0CA55694">
      <w:pPr>
        <w:pStyle w:val="28"/>
        <w:numPr>
          <w:ilvl w:val="0"/>
          <w:numId w:val="2"/>
        </w:numPr>
        <w:spacing w:line="600" w:lineRule="exact"/>
        <w:ind w:firstLineChars="0"/>
        <w:outlineLvl w:val="1"/>
        <w:rPr>
          <w:rStyle w:val="30"/>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20"/>
      <w:bookmarkEnd w:id="21"/>
    </w:p>
    <w:p w14:paraId="33B2307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2022年度收、支总计5407.30万元。与2021年相比，收、支总计各减少1554.36万元，下降22.33%。主要变动原因是项目支出减少。</w:t>
      </w:r>
    </w:p>
    <w:p w14:paraId="7B453D79">
      <w:pPr>
        <w:pStyle w:val="20"/>
      </w:pPr>
      <w:r>
        <w:drawing>
          <wp:inline distT="0" distB="0" distL="114300" distR="114300">
            <wp:extent cx="5321935" cy="3444875"/>
            <wp:effectExtent l="4445" t="4445" r="7620" b="1016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7B2375C">
      <w:pPr>
        <w:spacing w:line="600" w:lineRule="exact"/>
        <w:jc w:val="cente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35277ACD">
      <w:pPr>
        <w:pStyle w:val="28"/>
        <w:numPr>
          <w:ilvl w:val="0"/>
          <w:numId w:val="2"/>
        </w:numPr>
        <w:spacing w:line="600" w:lineRule="exact"/>
        <w:ind w:firstLineChars="0"/>
        <w:outlineLvl w:val="1"/>
        <w:rPr>
          <w:rStyle w:val="30"/>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30"/>
          <w:rFonts w:hint="eastAsia" w:ascii="黑体" w:hAnsi="黑体" w:eastAsia="黑体"/>
          <w:b w:val="0"/>
        </w:rPr>
        <w:t>入决算情况说明</w:t>
      </w:r>
      <w:bookmarkEnd w:id="22"/>
      <w:bookmarkEnd w:id="23"/>
    </w:p>
    <w:p w14:paraId="12632254">
      <w:pPr>
        <w:spacing w:line="56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22年本年收入合计3935.20万元，其中：一般公共预算财政拨款收入2383.16万元，占60.56</w:t>
      </w:r>
      <w:r>
        <w:rPr>
          <w:rFonts w:ascii="仿宋" w:hAnsi="仿宋" w:eastAsia="仿宋"/>
          <w:sz w:val="32"/>
          <w:szCs w:val="32"/>
        </w:rPr>
        <w:t>%</w:t>
      </w:r>
      <w:r>
        <w:rPr>
          <w:rFonts w:hint="eastAsia" w:ascii="仿宋" w:hAnsi="仿宋" w:eastAsia="仿宋"/>
          <w:sz w:val="32"/>
          <w:szCs w:val="32"/>
        </w:rPr>
        <w:t>；政府性基金预算财政拨款收入1552.04万元，占39.44</w:t>
      </w:r>
      <w:r>
        <w:rPr>
          <w:rFonts w:ascii="仿宋" w:hAnsi="仿宋" w:eastAsia="仿宋"/>
          <w:sz w:val="32"/>
          <w:szCs w:val="32"/>
        </w:rPr>
        <w:t>%</w:t>
      </w:r>
      <w:r>
        <w:rPr>
          <w:rFonts w:hint="eastAsia" w:ascii="仿宋" w:hAnsi="仿宋" w:eastAsia="仿宋"/>
          <w:sz w:val="32"/>
          <w:szCs w:val="32"/>
        </w:rPr>
        <w:t>。</w:t>
      </w:r>
    </w:p>
    <w:p w14:paraId="6937EAA8">
      <w:pPr>
        <w:pStyle w:val="20"/>
      </w:pPr>
      <w:r>
        <w:drawing>
          <wp:inline distT="0" distB="0" distL="114300" distR="114300">
            <wp:extent cx="5269865" cy="2349500"/>
            <wp:effectExtent l="4445" t="4445" r="13970" b="825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EAF930B">
      <w:pPr>
        <w:spacing w:line="600" w:lineRule="exact"/>
        <w:jc w:val="center"/>
        <w:rPr>
          <w:sz w:val="32"/>
          <w:szCs w:val="32"/>
        </w:rPr>
      </w:pPr>
      <w:r>
        <w:rPr>
          <w:rFonts w:hint="eastAsia" w:ascii="仿宋" w:hAnsi="仿宋" w:eastAsia="仿宋"/>
          <w:sz w:val="32"/>
          <w:szCs w:val="32"/>
        </w:rPr>
        <w:t>（图2：收入决算结构图）</w:t>
      </w:r>
    </w:p>
    <w:p w14:paraId="6F16E12F">
      <w:pPr>
        <w:pStyle w:val="28"/>
        <w:numPr>
          <w:ilvl w:val="0"/>
          <w:numId w:val="2"/>
        </w:numPr>
        <w:spacing w:line="600" w:lineRule="exact"/>
        <w:ind w:firstLineChars="0"/>
        <w:outlineLvl w:val="1"/>
        <w:rPr>
          <w:rStyle w:val="30"/>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30"/>
          <w:rFonts w:hint="eastAsia" w:ascii="黑体" w:hAnsi="黑体" w:eastAsia="黑体"/>
          <w:b w:val="0"/>
        </w:rPr>
        <w:t>出决算情况说明</w:t>
      </w:r>
      <w:bookmarkEnd w:id="24"/>
      <w:bookmarkEnd w:id="25"/>
    </w:p>
    <w:p w14:paraId="6024A447">
      <w:pPr>
        <w:spacing w:line="56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22年本年支出合计5407.22万元，其中：基本支出665.83万元，占12.31</w:t>
      </w:r>
      <w:r>
        <w:rPr>
          <w:rFonts w:ascii="仿宋" w:hAnsi="仿宋" w:eastAsia="仿宋"/>
          <w:sz w:val="32"/>
          <w:szCs w:val="32"/>
        </w:rPr>
        <w:t>%</w:t>
      </w:r>
      <w:r>
        <w:rPr>
          <w:rFonts w:hint="eastAsia" w:ascii="仿宋" w:hAnsi="仿宋" w:eastAsia="仿宋"/>
          <w:sz w:val="32"/>
          <w:szCs w:val="32"/>
        </w:rPr>
        <w:t>；项目支出4741.39万元，占87.69</w:t>
      </w:r>
      <w:r>
        <w:rPr>
          <w:rFonts w:ascii="仿宋" w:hAnsi="仿宋" w:eastAsia="仿宋"/>
          <w:sz w:val="32"/>
          <w:szCs w:val="32"/>
        </w:rPr>
        <w:t>%</w:t>
      </w:r>
      <w:r>
        <w:rPr>
          <w:rFonts w:hint="eastAsia" w:ascii="仿宋" w:hAnsi="仿宋" w:eastAsia="仿宋"/>
          <w:sz w:val="32"/>
          <w:szCs w:val="32"/>
        </w:rPr>
        <w:t>。</w:t>
      </w:r>
    </w:p>
    <w:p w14:paraId="67905ED6">
      <w:pPr>
        <w:pStyle w:val="20"/>
        <w:rPr>
          <w:rFonts w:hAnsi="仿宋"/>
          <w:color w:val="auto"/>
          <w:sz w:val="32"/>
          <w:szCs w:val="32"/>
          <w:shd w:val="pct10" w:color="auto" w:fill="FFFFFF"/>
        </w:rPr>
      </w:pPr>
      <w:r>
        <w:drawing>
          <wp:inline distT="0" distB="0" distL="114300" distR="114300">
            <wp:extent cx="5269865" cy="2847340"/>
            <wp:effectExtent l="4445" t="4445" r="13970" b="1333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178CD1">
      <w:pPr>
        <w:spacing w:line="600" w:lineRule="exact"/>
        <w:jc w:val="center"/>
        <w:rPr>
          <w:rFonts w:ascii="仿宋" w:hAnsi="仿宋" w:eastAsia="仿宋"/>
          <w:sz w:val="32"/>
          <w:szCs w:val="32"/>
        </w:rPr>
      </w:pPr>
      <w:r>
        <w:rPr>
          <w:rFonts w:hint="eastAsia" w:ascii="仿宋" w:hAnsi="仿宋" w:eastAsia="仿宋"/>
          <w:sz w:val="32"/>
          <w:szCs w:val="32"/>
        </w:rPr>
        <w:t>（图3：支出决算结构图）</w:t>
      </w:r>
    </w:p>
    <w:p w14:paraId="40620702">
      <w:pPr>
        <w:pStyle w:val="20"/>
      </w:pPr>
    </w:p>
    <w:p w14:paraId="45AF53B8">
      <w:pPr>
        <w:spacing w:line="600" w:lineRule="exact"/>
        <w:ind w:firstLine="640" w:firstLineChars="200"/>
        <w:outlineLvl w:val="1"/>
        <w:rPr>
          <w:rFonts w:ascii="黑体" w:hAnsi="黑体" w:eastAsia="黑体"/>
          <w:sz w:val="32"/>
          <w:szCs w:val="32"/>
        </w:rPr>
      </w:pPr>
      <w:bookmarkStart w:id="26" w:name="_Toc15396606"/>
      <w:bookmarkStart w:id="27" w:name="_Toc15377208"/>
    </w:p>
    <w:p w14:paraId="1AEBD674">
      <w:pPr>
        <w:spacing w:line="600" w:lineRule="exact"/>
        <w:ind w:firstLine="640" w:firstLineChars="200"/>
        <w:outlineLvl w:val="1"/>
        <w:rPr>
          <w:rStyle w:val="30"/>
          <w:rFonts w:ascii="黑体" w:hAnsi="黑体" w:eastAsia="黑体"/>
          <w:b w:val="0"/>
        </w:rPr>
      </w:pPr>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6"/>
      <w:bookmarkEnd w:id="27"/>
    </w:p>
    <w:p w14:paraId="674B9657">
      <w:pPr>
        <w:spacing w:line="56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22年财政拨款收、支总计5407.30万元。与</w:t>
      </w:r>
      <w:r>
        <w:rPr>
          <w:rFonts w:ascii="仿宋" w:hAnsi="仿宋" w:eastAsia="仿宋"/>
          <w:sz w:val="32"/>
          <w:szCs w:val="32"/>
        </w:rPr>
        <w:t>20</w:t>
      </w:r>
      <w:r>
        <w:rPr>
          <w:rFonts w:hint="eastAsia" w:ascii="仿宋" w:hAnsi="仿宋" w:eastAsia="仿宋"/>
          <w:sz w:val="32"/>
          <w:szCs w:val="32"/>
        </w:rPr>
        <w:t>21年相比，财政拨款收、支总计各减少1515.63万元，下降21.89</w:t>
      </w:r>
      <w:r>
        <w:rPr>
          <w:rFonts w:ascii="仿宋" w:hAnsi="仿宋" w:eastAsia="仿宋"/>
          <w:sz w:val="32"/>
          <w:szCs w:val="32"/>
        </w:rPr>
        <w:t>%</w:t>
      </w:r>
      <w:r>
        <w:rPr>
          <w:rFonts w:hint="eastAsia" w:ascii="仿宋" w:hAnsi="仿宋" w:eastAsia="仿宋"/>
          <w:sz w:val="32"/>
          <w:szCs w:val="32"/>
        </w:rPr>
        <w:t>。主要变动原因是项目支出减少。</w:t>
      </w:r>
    </w:p>
    <w:p w14:paraId="6EFD7EEF">
      <w:pPr>
        <w:pStyle w:val="20"/>
      </w:pPr>
      <w:r>
        <w:drawing>
          <wp:inline distT="0" distB="0" distL="114300" distR="114300">
            <wp:extent cx="5268595" cy="3560445"/>
            <wp:effectExtent l="4445" t="4445" r="15240" b="16510"/>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8D68FD">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（图4：财政拨款收、支决算总计变动情况图）</w:t>
      </w:r>
    </w:p>
    <w:p w14:paraId="2DB2A107">
      <w:pPr>
        <w:spacing w:line="600" w:lineRule="exact"/>
        <w:ind w:firstLine="640" w:firstLineChars="200"/>
        <w:outlineLvl w:val="1"/>
        <w:rPr>
          <w:rStyle w:val="30"/>
          <w:rFonts w:ascii="黑体" w:hAnsi="黑体" w:eastAsia="黑体"/>
          <w:b w:val="0"/>
        </w:rPr>
      </w:pPr>
      <w:bookmarkStart w:id="28" w:name="_Toc15396607"/>
      <w:bookmarkStart w:id="29"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8"/>
      <w:bookmarkEnd w:id="29"/>
    </w:p>
    <w:p w14:paraId="4E8CA49C">
      <w:pPr>
        <w:spacing w:line="600" w:lineRule="exact"/>
        <w:ind w:firstLine="643" w:firstLineChars="200"/>
        <w:outlineLvl w:val="2"/>
        <w:rPr>
          <w:rFonts w:ascii="仿宋_GB2312" w:hAnsi="仿宋_GB2312" w:eastAsia="仿宋_GB2312" w:cs="仿宋_GB2312"/>
          <w:b/>
          <w:sz w:val="32"/>
          <w:szCs w:val="32"/>
        </w:rPr>
      </w:pPr>
      <w:bookmarkStart w:id="30" w:name="_Toc15377210"/>
      <w:r>
        <w:rPr>
          <w:rFonts w:hint="eastAsia" w:ascii="仿宋_GB2312" w:hAnsi="仿宋_GB2312" w:eastAsia="仿宋_GB2312" w:cs="仿宋_GB2312"/>
          <w:b/>
          <w:sz w:val="32"/>
          <w:szCs w:val="32"/>
        </w:rPr>
        <w:t>（一）一般公共预算财政拨款支出决算总体情况</w:t>
      </w:r>
      <w:bookmarkEnd w:id="30"/>
    </w:p>
    <w:p w14:paraId="7712E305">
      <w:pPr>
        <w:spacing w:line="560" w:lineRule="exact"/>
        <w:ind w:firstLine="640" w:firstLineChars="200"/>
        <w:rPr>
          <w:rFonts w:ascii="仿宋_GB2312" w:hAnsi="仿宋" w:eastAsia="仿宋_GB2312"/>
          <w:color w:val="000000"/>
          <w:sz w:val="32"/>
          <w:szCs w:val="32"/>
        </w:rPr>
      </w:pPr>
      <w:r>
        <w:rPr>
          <w:rFonts w:ascii="仿宋" w:hAnsi="仿宋" w:eastAsia="仿宋"/>
          <w:sz w:val="32"/>
          <w:szCs w:val="32"/>
        </w:rPr>
        <w:t>20</w:t>
      </w:r>
      <w:r>
        <w:rPr>
          <w:rFonts w:hint="eastAsia" w:ascii="仿宋" w:hAnsi="仿宋" w:eastAsia="仿宋"/>
          <w:sz w:val="32"/>
          <w:szCs w:val="32"/>
        </w:rPr>
        <w:t>22年一般公共预算财政拨款支出3719.17万元，占本年支出合计的68.78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21年相比，一般公共预算财政拨款支出减少3203.76万元，下降46.28</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color w:val="000000"/>
          <w:sz w:val="32"/>
          <w:szCs w:val="32"/>
        </w:rPr>
        <w:t>2021年下达的政府性基金预算财政拨款支出调为一般公共预算财政拨款支出。</w:t>
      </w:r>
    </w:p>
    <w:p w14:paraId="7D9138D3">
      <w:pPr>
        <w:pStyle w:val="20"/>
        <w:rPr>
          <w:rFonts w:ascii="仿宋_GB2312" w:hAnsi="仿宋" w:eastAsia="仿宋_GB2312"/>
          <w:sz w:val="32"/>
          <w:szCs w:val="32"/>
        </w:rPr>
      </w:pPr>
      <w:r>
        <w:drawing>
          <wp:inline distT="0" distB="0" distL="114300" distR="114300">
            <wp:extent cx="5271135" cy="2893695"/>
            <wp:effectExtent l="4445" t="4445" r="12700" b="12700"/>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1CEEEB9">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（图5：一般公共预算财政拨款支出决算变动情况图）</w:t>
      </w:r>
    </w:p>
    <w:p w14:paraId="49844CF4">
      <w:pPr>
        <w:spacing w:line="600" w:lineRule="exact"/>
        <w:ind w:firstLine="321" w:firstLineChars="100"/>
        <w:outlineLvl w:val="2"/>
        <w:rPr>
          <w:rFonts w:ascii="仿宋_GB2312" w:hAnsi="仿宋_GB2312" w:eastAsia="仿宋_GB2312" w:cs="仿宋_GB2312"/>
          <w:b/>
          <w:sz w:val="32"/>
          <w:szCs w:val="32"/>
        </w:rPr>
      </w:pPr>
      <w:bookmarkStart w:id="31" w:name="_Toc15377211"/>
      <w:r>
        <w:rPr>
          <w:rFonts w:hint="eastAsia" w:ascii="仿宋_GB2312" w:hAnsi="仿宋_GB2312" w:eastAsia="仿宋_GB2312" w:cs="仿宋_GB2312"/>
          <w:b/>
          <w:sz w:val="32"/>
          <w:szCs w:val="32"/>
        </w:rPr>
        <w:t>（二）一般公共预算财政拨款支出决算结构情况</w:t>
      </w:r>
      <w:bookmarkEnd w:id="31"/>
    </w:p>
    <w:p w14:paraId="4D8E13AC">
      <w:pPr>
        <w:spacing w:line="560" w:lineRule="exact"/>
        <w:ind w:firstLine="641"/>
        <w:rPr>
          <w:rFonts w:ascii="仿宋" w:hAnsi="仿宋" w:eastAsia="仿宋"/>
          <w:bCs/>
          <w:sz w:val="32"/>
          <w:szCs w:val="32"/>
        </w:rPr>
      </w:pPr>
      <w:r>
        <w:rPr>
          <w:rFonts w:hint="eastAsia" w:ascii="仿宋_GB2312" w:hAnsi="仿宋_GB2312" w:eastAsia="仿宋_GB2312" w:cs="仿宋_GB2312"/>
          <w:sz w:val="32"/>
          <w:szCs w:val="32"/>
        </w:rPr>
        <w:t>2022年一般公共预算财政拨款支出3719.17万元，主要用于以下方面:</w:t>
      </w:r>
      <w:r>
        <w:rPr>
          <w:rFonts w:hint="eastAsia" w:ascii="仿宋_GB2312" w:hAnsi="仿宋_GB2312" w:eastAsia="仿宋_GB2312" w:cs="仿宋_GB2312"/>
          <w:b/>
          <w:sz w:val="32"/>
          <w:szCs w:val="32"/>
        </w:rPr>
        <w:t>一般公共服务支出</w:t>
      </w:r>
      <w:r>
        <w:rPr>
          <w:rFonts w:hint="eastAsia" w:ascii="仿宋_GB2312" w:hAnsi="仿宋_GB2312" w:eastAsia="仿宋_GB2312" w:cs="仿宋_GB2312"/>
          <w:bCs/>
          <w:sz w:val="32"/>
          <w:szCs w:val="32"/>
        </w:rPr>
        <w:t>1.95万元，占0.05%；</w:t>
      </w:r>
      <w:r>
        <w:rPr>
          <w:rFonts w:hint="eastAsia" w:ascii="仿宋_GB2312" w:hAnsi="仿宋_GB2312" w:eastAsia="仿宋_GB2312" w:cs="仿宋_GB2312"/>
          <w:b/>
          <w:sz w:val="32"/>
          <w:szCs w:val="32"/>
        </w:rPr>
        <w:t>文化旅游体育与传媒支出</w:t>
      </w:r>
      <w:r>
        <w:rPr>
          <w:rFonts w:hint="eastAsia" w:ascii="仿宋_GB2312" w:hAnsi="仿宋_GB2312" w:eastAsia="仿宋_GB2312" w:cs="仿宋_GB2312"/>
          <w:bCs/>
          <w:sz w:val="32"/>
          <w:szCs w:val="32"/>
        </w:rPr>
        <w:t>55.97万元，占1.50%；</w:t>
      </w:r>
      <w:r>
        <w:rPr>
          <w:rFonts w:hint="eastAsia" w:ascii="仿宋_GB2312" w:hAnsi="仿宋_GB2312" w:eastAsia="仿宋_GB2312" w:cs="仿宋_GB2312"/>
          <w:b/>
          <w:sz w:val="32"/>
          <w:szCs w:val="32"/>
        </w:rPr>
        <w:t>社会保障和就业支出</w:t>
      </w:r>
      <w:r>
        <w:rPr>
          <w:rFonts w:hint="eastAsia" w:ascii="仿宋_GB2312" w:hAnsi="仿宋_GB2312" w:eastAsia="仿宋_GB2312" w:cs="仿宋_GB2312"/>
          <w:bCs/>
          <w:sz w:val="32"/>
          <w:szCs w:val="32"/>
        </w:rPr>
        <w:t>58.28万元，占1.57%；</w:t>
      </w:r>
      <w:r>
        <w:rPr>
          <w:rFonts w:hint="eastAsia" w:ascii="仿宋_GB2312" w:hAnsi="仿宋_GB2312" w:eastAsia="仿宋_GB2312" w:cs="仿宋_GB2312"/>
          <w:b/>
          <w:sz w:val="32"/>
          <w:szCs w:val="32"/>
        </w:rPr>
        <w:t>卫生健康支出</w:t>
      </w:r>
      <w:r>
        <w:rPr>
          <w:rFonts w:hint="eastAsia" w:ascii="仿宋_GB2312" w:hAnsi="仿宋_GB2312" w:eastAsia="仿宋_GB2312" w:cs="仿宋_GB2312"/>
          <w:bCs/>
          <w:sz w:val="32"/>
          <w:szCs w:val="32"/>
        </w:rPr>
        <w:t>43.70万元，占1.1</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节能环保支出</w:t>
      </w:r>
      <w:r>
        <w:rPr>
          <w:rFonts w:hint="eastAsia" w:ascii="仿宋_GB2312" w:hAnsi="仿宋_GB2312" w:eastAsia="仿宋_GB2312" w:cs="仿宋_GB2312"/>
          <w:bCs/>
          <w:sz w:val="32"/>
          <w:szCs w:val="32"/>
        </w:rPr>
        <w:t>121.70万元，占3.27%；</w:t>
      </w:r>
      <w:r>
        <w:rPr>
          <w:rFonts w:hint="eastAsia" w:ascii="仿宋_GB2312" w:hAnsi="仿宋_GB2312" w:eastAsia="仿宋_GB2312" w:cs="仿宋_GB2312"/>
          <w:b/>
          <w:sz w:val="32"/>
          <w:szCs w:val="32"/>
        </w:rPr>
        <w:t>城乡社区支出</w:t>
      </w:r>
      <w:r>
        <w:rPr>
          <w:rFonts w:hint="eastAsia" w:ascii="仿宋_GB2312" w:hAnsi="仿宋_GB2312" w:eastAsia="仿宋_GB2312" w:cs="仿宋_GB2312"/>
          <w:bCs/>
          <w:sz w:val="32"/>
          <w:szCs w:val="32"/>
        </w:rPr>
        <w:t>2235.03万元，占60.</w:t>
      </w:r>
      <w:r>
        <w:rPr>
          <w:rFonts w:hint="eastAsia" w:ascii="仿宋_GB2312" w:hAnsi="仿宋_GB2312" w:eastAsia="仿宋_GB2312" w:cs="仿宋_GB2312"/>
          <w:bCs/>
          <w:sz w:val="32"/>
          <w:szCs w:val="32"/>
          <w:lang w:val="en-US" w:eastAsia="zh-CN"/>
        </w:rPr>
        <w:t>10</w:t>
      </w:r>
      <w:r>
        <w:rPr>
          <w:rFonts w:hint="eastAsia" w:ascii="仿宋_GB2312" w:hAnsi="仿宋_GB2312" w:eastAsia="仿宋_GB2312" w:cs="仿宋_GB2312"/>
          <w:bCs/>
          <w:sz w:val="32"/>
          <w:szCs w:val="32"/>
        </w:rPr>
        <w:t>%；</w:t>
      </w:r>
      <w:r>
        <w:rPr>
          <w:rFonts w:hint="eastAsia" w:ascii="仿宋_GB2312" w:hAnsi="仿宋_GB2312" w:eastAsia="仿宋_GB2312" w:cs="仿宋_GB2312"/>
          <w:b/>
          <w:sz w:val="32"/>
          <w:szCs w:val="32"/>
        </w:rPr>
        <w:t>农林水支出</w:t>
      </w:r>
      <w:r>
        <w:rPr>
          <w:rFonts w:hint="eastAsia" w:ascii="仿宋_GB2312" w:hAnsi="仿宋_GB2312" w:eastAsia="仿宋_GB2312" w:cs="仿宋_GB2312"/>
          <w:bCs/>
          <w:sz w:val="32"/>
          <w:szCs w:val="32"/>
        </w:rPr>
        <w:t>1149.26万元，占30.90%；</w:t>
      </w:r>
      <w:r>
        <w:rPr>
          <w:rFonts w:hint="eastAsia" w:ascii="仿宋_GB2312" w:hAnsi="仿宋_GB2312" w:eastAsia="仿宋_GB2312" w:cs="仿宋_GB2312"/>
          <w:b/>
          <w:sz w:val="32"/>
          <w:szCs w:val="32"/>
        </w:rPr>
        <w:t>住房保障支出</w:t>
      </w:r>
      <w:r>
        <w:rPr>
          <w:rFonts w:hint="eastAsia" w:ascii="仿宋_GB2312" w:hAnsi="仿宋_GB2312" w:eastAsia="仿宋_GB2312" w:cs="仿宋_GB2312"/>
          <w:bCs/>
          <w:sz w:val="32"/>
          <w:szCs w:val="32"/>
        </w:rPr>
        <w:t>44.28万元，占1.19%；</w:t>
      </w:r>
      <w:r>
        <w:rPr>
          <w:rFonts w:hint="eastAsia" w:ascii="仿宋_GB2312" w:hAnsi="仿宋_GB2312" w:eastAsia="仿宋_GB2312" w:cs="仿宋_GB2312"/>
          <w:b/>
          <w:sz w:val="32"/>
          <w:szCs w:val="32"/>
        </w:rPr>
        <w:t>灾害防治及应急管理支出</w:t>
      </w:r>
      <w:r>
        <w:rPr>
          <w:rFonts w:hint="eastAsia" w:ascii="仿宋_GB2312" w:hAnsi="仿宋_GB2312" w:eastAsia="仿宋_GB2312" w:cs="仿宋_GB2312"/>
          <w:bCs/>
          <w:sz w:val="32"/>
          <w:szCs w:val="32"/>
        </w:rPr>
        <w:t>9万元，占0.24%。</w:t>
      </w:r>
    </w:p>
    <w:p w14:paraId="0E879978">
      <w:pPr>
        <w:pStyle w:val="20"/>
      </w:pPr>
    </w:p>
    <w:p w14:paraId="799905EF">
      <w:pPr>
        <w:spacing w:line="600" w:lineRule="exact"/>
        <w:ind w:firstLine="640"/>
        <w:rPr>
          <w:rFonts w:ascii="仿宋" w:hAnsi="仿宋" w:eastAsia="仿宋"/>
          <w:sz w:val="32"/>
          <w:szCs w:val="32"/>
        </w:rPr>
      </w:pPr>
    </w:p>
    <w:p w14:paraId="5A59FE07">
      <w:pPr>
        <w:pStyle w:val="20"/>
        <w:rPr>
          <w:rFonts w:hAnsi="仿宋"/>
          <w:color w:val="auto"/>
          <w:sz w:val="32"/>
          <w:szCs w:val="32"/>
        </w:rPr>
      </w:pPr>
    </w:p>
    <w:p w14:paraId="46D59F7F">
      <w:pPr>
        <w:pStyle w:val="20"/>
        <w:rPr>
          <w:rFonts w:hAnsi="仿宋"/>
          <w:color w:val="auto"/>
          <w:sz w:val="32"/>
          <w:szCs w:val="32"/>
        </w:rPr>
      </w:pPr>
    </w:p>
    <w:p w14:paraId="6A2A0657">
      <w:pPr>
        <w:pStyle w:val="20"/>
        <w:rPr>
          <w:rFonts w:hAnsi="仿宋"/>
          <w:color w:val="auto"/>
          <w:sz w:val="32"/>
          <w:szCs w:val="32"/>
        </w:rPr>
      </w:pPr>
      <w:r>
        <w:drawing>
          <wp:inline distT="0" distB="0" distL="114300" distR="114300">
            <wp:extent cx="5621655" cy="4061460"/>
            <wp:effectExtent l="5080" t="4445" r="12065" b="18415"/>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115074">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（图6：一般公共预算财政拨款支出决算结构）</w:t>
      </w:r>
    </w:p>
    <w:p w14:paraId="04D8C234">
      <w:pPr>
        <w:spacing w:line="600" w:lineRule="exact"/>
        <w:ind w:firstLine="643" w:firstLineChars="200"/>
        <w:outlineLvl w:val="2"/>
        <w:rPr>
          <w:rFonts w:ascii="仿宋_GB2312" w:hAnsi="仿宋_GB2312" w:eastAsia="仿宋_GB2312" w:cs="仿宋_GB2312"/>
          <w:b/>
          <w:sz w:val="32"/>
          <w:szCs w:val="32"/>
        </w:rPr>
      </w:pPr>
      <w:bookmarkStart w:id="32" w:name="_Toc15377212"/>
      <w:r>
        <w:rPr>
          <w:rFonts w:hint="eastAsia" w:ascii="仿宋_GB2312" w:hAnsi="仿宋_GB2312" w:eastAsia="仿宋_GB2312" w:cs="仿宋_GB2312"/>
          <w:b/>
          <w:sz w:val="32"/>
          <w:szCs w:val="32"/>
        </w:rPr>
        <w:t>（三）一般公共预算财政拨款支出决算具体情况</w:t>
      </w:r>
      <w:bookmarkEnd w:id="32"/>
    </w:p>
    <w:p w14:paraId="627258D6">
      <w:pPr>
        <w:spacing w:line="560" w:lineRule="exact"/>
        <w:ind w:firstLine="643" w:firstLineChars="200"/>
        <w:outlineLvl w:val="2"/>
        <w:rPr>
          <w:rFonts w:eastAsia="仿宋"/>
          <w:sz w:val="32"/>
          <w:szCs w:val="32"/>
        </w:rPr>
      </w:pPr>
      <w:bookmarkStart w:id="33" w:name="_Toc15377444"/>
      <w:bookmarkStart w:id="34" w:name="_Toc15377213"/>
      <w:bookmarkStart w:id="35" w:name="_Toc15378460"/>
      <w:r>
        <w:rPr>
          <w:rFonts w:eastAsia="仿宋"/>
          <w:b/>
          <w:sz w:val="32"/>
          <w:szCs w:val="32"/>
        </w:rPr>
        <w:t>2022年一般公共预算支出决算数为3719.17</w:t>
      </w:r>
      <w:r>
        <w:rPr>
          <w:rFonts w:hint="eastAsia" w:eastAsia="仿宋"/>
          <w:b/>
          <w:sz w:val="32"/>
          <w:szCs w:val="32"/>
          <w:lang w:val="en-US" w:eastAsia="zh-CN"/>
        </w:rPr>
        <w:t>万元</w:t>
      </w:r>
      <w:r>
        <w:rPr>
          <w:rFonts w:eastAsia="仿宋"/>
          <w:sz w:val="32"/>
          <w:szCs w:val="32"/>
        </w:rPr>
        <w:t>，</w:t>
      </w:r>
      <w:r>
        <w:rPr>
          <w:rStyle w:val="18"/>
          <w:rFonts w:eastAsia="仿宋"/>
          <w:bCs/>
          <w:sz w:val="32"/>
          <w:szCs w:val="32"/>
        </w:rPr>
        <w:t>完成预算100%。其中：</w:t>
      </w:r>
      <w:bookmarkEnd w:id="33"/>
      <w:bookmarkEnd w:id="34"/>
      <w:bookmarkEnd w:id="35"/>
    </w:p>
    <w:p w14:paraId="1E7AB665">
      <w:pPr>
        <w:spacing w:line="560" w:lineRule="exact"/>
        <w:ind w:firstLine="643" w:firstLineChars="200"/>
        <w:rPr>
          <w:rFonts w:eastAsia="仿宋_GB2312"/>
          <w:b/>
          <w:sz w:val="32"/>
          <w:szCs w:val="32"/>
        </w:rPr>
      </w:pPr>
      <w:r>
        <w:rPr>
          <w:rStyle w:val="18"/>
          <w:rFonts w:eastAsia="仿宋_GB2312"/>
          <w:bCs/>
          <w:sz w:val="32"/>
          <w:szCs w:val="32"/>
        </w:rPr>
        <w:t>1.一般公共服务（类）发展与改革事务（款）一般行政管理事务（项）:</w:t>
      </w:r>
      <w:r>
        <w:rPr>
          <w:rStyle w:val="18"/>
          <w:rFonts w:eastAsia="仿宋_GB2312"/>
          <w:b w:val="0"/>
          <w:bCs/>
          <w:sz w:val="32"/>
          <w:szCs w:val="32"/>
        </w:rPr>
        <w:t xml:space="preserve"> 支出决算为1.95万元，完成预算100%，决算等于预算数。</w:t>
      </w:r>
    </w:p>
    <w:p w14:paraId="176E00D9">
      <w:pPr>
        <w:spacing w:line="560" w:lineRule="exact"/>
        <w:ind w:firstLine="643" w:firstLineChars="200"/>
        <w:rPr>
          <w:rFonts w:eastAsia="仿宋_GB2312"/>
          <w:b/>
          <w:sz w:val="32"/>
          <w:szCs w:val="32"/>
        </w:rPr>
      </w:pPr>
      <w:r>
        <w:rPr>
          <w:rStyle w:val="18"/>
          <w:rFonts w:eastAsia="仿宋_GB2312"/>
          <w:bCs/>
          <w:sz w:val="32"/>
          <w:szCs w:val="32"/>
        </w:rPr>
        <w:t>2.文化旅游体育与传媒支出（类）其他文化旅游体育与传媒支出（款）其他文化旅游体育与传媒支出（项）:</w:t>
      </w:r>
      <w:r>
        <w:rPr>
          <w:rStyle w:val="18"/>
          <w:rFonts w:eastAsia="仿宋_GB2312"/>
          <w:b w:val="0"/>
          <w:bCs/>
          <w:sz w:val="32"/>
          <w:szCs w:val="32"/>
        </w:rPr>
        <w:t xml:space="preserve"> 支出决算为55.97万元，完成预算100%，决算等于预算数。</w:t>
      </w:r>
    </w:p>
    <w:p w14:paraId="6306B80F">
      <w:pPr>
        <w:spacing w:line="560" w:lineRule="exact"/>
        <w:ind w:firstLine="643" w:firstLineChars="200"/>
        <w:rPr>
          <w:rStyle w:val="18"/>
          <w:rFonts w:eastAsia="仿宋_GB2312"/>
          <w:b w:val="0"/>
          <w:bCs/>
          <w:sz w:val="32"/>
          <w:szCs w:val="32"/>
        </w:rPr>
      </w:pPr>
      <w:r>
        <w:rPr>
          <w:rStyle w:val="18"/>
          <w:rFonts w:eastAsia="仿宋_GB2312"/>
          <w:bCs/>
          <w:sz w:val="32"/>
          <w:szCs w:val="32"/>
        </w:rPr>
        <w:t>3.社会保障和就业支出（类）行政事业单位养老支出（款）行政单位离退休（项）:</w:t>
      </w:r>
      <w:r>
        <w:rPr>
          <w:rStyle w:val="18"/>
          <w:rFonts w:eastAsia="仿宋_GB2312"/>
          <w:b w:val="0"/>
          <w:bCs/>
          <w:sz w:val="32"/>
          <w:szCs w:val="32"/>
        </w:rPr>
        <w:t xml:space="preserve"> 支出决算为13.26万元，完成预算100%，决算等于预算数。</w:t>
      </w:r>
    </w:p>
    <w:p w14:paraId="56DB334A">
      <w:pPr>
        <w:spacing w:line="560" w:lineRule="exact"/>
        <w:ind w:firstLine="643" w:firstLineChars="200"/>
        <w:rPr>
          <w:rStyle w:val="18"/>
          <w:rFonts w:eastAsia="仿宋_GB2312"/>
          <w:b w:val="0"/>
          <w:bCs/>
          <w:sz w:val="32"/>
          <w:szCs w:val="32"/>
        </w:rPr>
      </w:pPr>
      <w:r>
        <w:rPr>
          <w:rStyle w:val="18"/>
          <w:rFonts w:eastAsia="仿宋_GB2312"/>
          <w:bCs/>
          <w:sz w:val="32"/>
          <w:szCs w:val="32"/>
        </w:rPr>
        <w:t>4.社会保障和就业支出（类）行政事业单位养老支出（款） 机关事业单位基本养老保险缴费支出（项）:</w:t>
      </w:r>
      <w:r>
        <w:rPr>
          <w:rStyle w:val="18"/>
          <w:rFonts w:eastAsia="仿宋_GB2312"/>
          <w:b w:val="0"/>
          <w:bCs/>
          <w:sz w:val="32"/>
          <w:szCs w:val="32"/>
        </w:rPr>
        <w:t xml:space="preserve"> 支出决算为37.14万元，完成预算100%，决算等于预算数。</w:t>
      </w:r>
    </w:p>
    <w:p w14:paraId="3FCA89AB">
      <w:pPr>
        <w:spacing w:line="560" w:lineRule="exact"/>
        <w:ind w:firstLine="643" w:firstLineChars="200"/>
        <w:rPr>
          <w:rStyle w:val="18"/>
          <w:rFonts w:eastAsia="仿宋_GB2312"/>
          <w:b w:val="0"/>
          <w:bCs/>
          <w:sz w:val="32"/>
          <w:szCs w:val="32"/>
        </w:rPr>
      </w:pPr>
      <w:r>
        <w:rPr>
          <w:rStyle w:val="18"/>
          <w:rFonts w:eastAsia="仿宋_GB2312"/>
          <w:bCs/>
          <w:sz w:val="32"/>
          <w:szCs w:val="32"/>
        </w:rPr>
        <w:t>5.社会保障和就业支出（类）行政事业单位养老支出（款）机关事业单位职业年金缴费支出（项）:</w:t>
      </w:r>
      <w:r>
        <w:rPr>
          <w:rStyle w:val="18"/>
          <w:rFonts w:eastAsia="仿宋_GB2312"/>
          <w:b w:val="0"/>
          <w:bCs/>
          <w:sz w:val="32"/>
          <w:szCs w:val="32"/>
        </w:rPr>
        <w:t xml:space="preserve"> 支出决算为7.88万元，完成预算100%，决算等于预算数。</w:t>
      </w:r>
    </w:p>
    <w:p w14:paraId="7B0D9F88">
      <w:pPr>
        <w:spacing w:line="560" w:lineRule="exact"/>
        <w:ind w:firstLine="643" w:firstLineChars="200"/>
        <w:rPr>
          <w:rStyle w:val="18"/>
          <w:rFonts w:eastAsia="仿宋_GB2312"/>
          <w:b w:val="0"/>
          <w:bCs/>
          <w:sz w:val="32"/>
          <w:szCs w:val="32"/>
        </w:rPr>
      </w:pPr>
      <w:r>
        <w:rPr>
          <w:rStyle w:val="18"/>
          <w:rFonts w:eastAsia="仿宋_GB2312"/>
          <w:bCs/>
          <w:sz w:val="32"/>
          <w:szCs w:val="32"/>
        </w:rPr>
        <w:t>6.卫生健康支出（类）行政事业单位医疗（款）行政单位医疗（项）:</w:t>
      </w:r>
      <w:r>
        <w:rPr>
          <w:rStyle w:val="18"/>
          <w:rFonts w:eastAsia="仿宋_GB2312"/>
          <w:b w:val="0"/>
          <w:bCs/>
          <w:sz w:val="32"/>
          <w:szCs w:val="32"/>
        </w:rPr>
        <w:t xml:space="preserve"> 支出决算为26.49万元，完成预算100%，决算等于预算数。</w:t>
      </w:r>
    </w:p>
    <w:p w14:paraId="00652E16">
      <w:pPr>
        <w:spacing w:line="560" w:lineRule="exact"/>
        <w:ind w:firstLine="643" w:firstLineChars="200"/>
        <w:rPr>
          <w:rFonts w:eastAsia="仿宋_GB2312"/>
        </w:rPr>
      </w:pPr>
      <w:r>
        <w:rPr>
          <w:rStyle w:val="18"/>
          <w:rFonts w:eastAsia="仿宋_GB2312"/>
          <w:bCs/>
          <w:sz w:val="32"/>
          <w:szCs w:val="32"/>
        </w:rPr>
        <w:t>7.卫生健康支出（类）行政事业单位医疗（款）公务员医疗补助（项）:</w:t>
      </w:r>
      <w:r>
        <w:rPr>
          <w:rStyle w:val="18"/>
          <w:rFonts w:eastAsia="仿宋_GB2312"/>
          <w:b w:val="0"/>
          <w:bCs/>
          <w:sz w:val="32"/>
          <w:szCs w:val="32"/>
        </w:rPr>
        <w:t xml:space="preserve"> 支出决算为17.21万元，完成预算100%，决算等于预算数。</w:t>
      </w:r>
    </w:p>
    <w:p w14:paraId="5579533B">
      <w:pPr>
        <w:spacing w:line="560" w:lineRule="exact"/>
        <w:ind w:firstLine="643" w:firstLineChars="200"/>
        <w:rPr>
          <w:rStyle w:val="18"/>
          <w:rFonts w:eastAsia="仿宋_GB2312"/>
          <w:b w:val="0"/>
          <w:bCs/>
          <w:sz w:val="32"/>
          <w:szCs w:val="32"/>
        </w:rPr>
      </w:pPr>
      <w:r>
        <w:rPr>
          <w:rStyle w:val="18"/>
          <w:rFonts w:eastAsia="仿宋_GB2312"/>
          <w:bCs/>
          <w:sz w:val="32"/>
          <w:szCs w:val="32"/>
        </w:rPr>
        <w:t>8.节能环保支出（类）自然生态保护（款）其他自然生态保护支出（项）:</w:t>
      </w:r>
      <w:r>
        <w:rPr>
          <w:rStyle w:val="18"/>
          <w:rFonts w:eastAsia="仿宋_GB2312"/>
          <w:b w:val="0"/>
          <w:bCs/>
          <w:sz w:val="32"/>
          <w:szCs w:val="32"/>
        </w:rPr>
        <w:t xml:space="preserve"> 支出决算为121.70万元，完成预算100%，决算等于预算数。</w:t>
      </w:r>
    </w:p>
    <w:p w14:paraId="6168AD59">
      <w:pPr>
        <w:spacing w:line="560" w:lineRule="exact"/>
        <w:ind w:firstLine="643" w:firstLineChars="200"/>
        <w:rPr>
          <w:rStyle w:val="18"/>
          <w:rFonts w:eastAsia="仿宋_GB2312"/>
          <w:b w:val="0"/>
          <w:bCs/>
          <w:sz w:val="32"/>
          <w:szCs w:val="32"/>
        </w:rPr>
      </w:pPr>
      <w:r>
        <w:rPr>
          <w:rStyle w:val="18"/>
          <w:rFonts w:eastAsia="仿宋_GB2312"/>
          <w:bCs/>
          <w:sz w:val="32"/>
          <w:szCs w:val="32"/>
        </w:rPr>
        <w:t>9.城乡社区支出（类）城乡社区管理事务（款）行政运行（项）:</w:t>
      </w:r>
      <w:r>
        <w:rPr>
          <w:rStyle w:val="18"/>
          <w:rFonts w:eastAsia="仿宋_GB2312"/>
          <w:b w:val="0"/>
          <w:bCs/>
          <w:sz w:val="32"/>
          <w:szCs w:val="32"/>
        </w:rPr>
        <w:t xml:space="preserve"> 支出决算为480.05万元，完成预算100%，决算等于预算数。</w:t>
      </w:r>
    </w:p>
    <w:p w14:paraId="2D0ACD21">
      <w:pPr>
        <w:spacing w:line="560" w:lineRule="exact"/>
        <w:ind w:firstLine="643" w:firstLineChars="200"/>
        <w:rPr>
          <w:rStyle w:val="18"/>
          <w:rFonts w:eastAsia="仿宋_GB2312"/>
          <w:b w:val="0"/>
          <w:bCs/>
          <w:sz w:val="32"/>
          <w:szCs w:val="32"/>
        </w:rPr>
      </w:pPr>
      <w:r>
        <w:rPr>
          <w:rStyle w:val="18"/>
          <w:rFonts w:eastAsia="仿宋_GB2312"/>
          <w:bCs/>
          <w:sz w:val="32"/>
          <w:szCs w:val="32"/>
        </w:rPr>
        <w:t>10.城乡社区支出（类）城乡社区管理事务（款）一般行政管理事务（项）:</w:t>
      </w:r>
      <w:r>
        <w:rPr>
          <w:rStyle w:val="18"/>
          <w:rFonts w:eastAsia="仿宋_GB2312"/>
          <w:b w:val="0"/>
          <w:bCs/>
          <w:sz w:val="32"/>
          <w:szCs w:val="32"/>
        </w:rPr>
        <w:t xml:space="preserve"> 支出决算为900.75万元，完成预算100%，决算等于预算数。</w:t>
      </w:r>
    </w:p>
    <w:p w14:paraId="761CAB2A">
      <w:pPr>
        <w:spacing w:line="560" w:lineRule="exact"/>
        <w:ind w:firstLine="643" w:firstLineChars="200"/>
        <w:rPr>
          <w:rFonts w:eastAsia="仿宋_GB2312"/>
        </w:rPr>
      </w:pPr>
      <w:r>
        <w:rPr>
          <w:rStyle w:val="18"/>
          <w:rFonts w:eastAsia="仿宋_GB2312"/>
          <w:bCs/>
          <w:sz w:val="32"/>
          <w:szCs w:val="32"/>
        </w:rPr>
        <w:t>11.城乡社区支出（类）城乡社区管理事务（款）其他城乡社区管理事务支出（项）:</w:t>
      </w:r>
      <w:r>
        <w:rPr>
          <w:rStyle w:val="18"/>
          <w:rFonts w:eastAsia="仿宋_GB2312"/>
          <w:b w:val="0"/>
          <w:bCs/>
          <w:sz w:val="32"/>
          <w:szCs w:val="32"/>
        </w:rPr>
        <w:t xml:space="preserve"> 支出决算为0.80万元，完成预算100%，决算等于预算数。</w:t>
      </w:r>
    </w:p>
    <w:p w14:paraId="686A64B4">
      <w:pPr>
        <w:spacing w:line="560" w:lineRule="exact"/>
        <w:ind w:firstLine="643" w:firstLineChars="200"/>
        <w:rPr>
          <w:rFonts w:eastAsia="仿宋_GB2312"/>
        </w:rPr>
      </w:pPr>
      <w:r>
        <w:rPr>
          <w:rStyle w:val="18"/>
          <w:rFonts w:eastAsia="仿宋_GB2312"/>
          <w:bCs/>
          <w:sz w:val="32"/>
          <w:szCs w:val="32"/>
        </w:rPr>
        <w:t>12.城乡社区支出（类）城乡社区公共设施（款）其他城乡社区公共设施支出（项）:</w:t>
      </w:r>
      <w:r>
        <w:rPr>
          <w:rStyle w:val="18"/>
          <w:rFonts w:eastAsia="仿宋_GB2312"/>
          <w:b w:val="0"/>
          <w:bCs/>
          <w:sz w:val="32"/>
          <w:szCs w:val="32"/>
        </w:rPr>
        <w:t xml:space="preserve"> 支出决算为70万元，完成预算100%，决算等于预算数。</w:t>
      </w:r>
    </w:p>
    <w:p w14:paraId="6A420F1B">
      <w:pPr>
        <w:spacing w:line="560" w:lineRule="exact"/>
        <w:ind w:firstLine="643" w:firstLineChars="200"/>
        <w:rPr>
          <w:rFonts w:eastAsia="仿宋_GB2312"/>
        </w:rPr>
      </w:pPr>
      <w:r>
        <w:rPr>
          <w:rStyle w:val="18"/>
          <w:rFonts w:eastAsia="仿宋_GB2312"/>
          <w:bCs/>
          <w:sz w:val="32"/>
          <w:szCs w:val="32"/>
        </w:rPr>
        <w:t>13.城乡社区支出（类）城乡社区环境卫生（款）城乡社区环境卫生（项）:</w:t>
      </w:r>
      <w:r>
        <w:rPr>
          <w:rStyle w:val="18"/>
          <w:rFonts w:eastAsia="仿宋_GB2312"/>
          <w:b w:val="0"/>
          <w:bCs/>
          <w:sz w:val="32"/>
          <w:szCs w:val="32"/>
        </w:rPr>
        <w:t xml:space="preserve"> 支出决算为683.43万元，完成预算100%，决算等于预算数。</w:t>
      </w:r>
    </w:p>
    <w:p w14:paraId="65F61A91">
      <w:pPr>
        <w:spacing w:line="560" w:lineRule="exact"/>
        <w:ind w:firstLine="643" w:firstLineChars="200"/>
        <w:rPr>
          <w:rStyle w:val="18"/>
          <w:rFonts w:eastAsia="仿宋_GB2312"/>
          <w:b w:val="0"/>
          <w:bCs/>
          <w:sz w:val="32"/>
          <w:szCs w:val="32"/>
        </w:rPr>
      </w:pPr>
      <w:r>
        <w:rPr>
          <w:rStyle w:val="18"/>
          <w:rFonts w:eastAsia="仿宋_GB2312"/>
          <w:bCs/>
          <w:sz w:val="32"/>
          <w:szCs w:val="32"/>
        </w:rPr>
        <w:t>14.城乡社区支出（类）其他城乡社区支出（款）  其他城乡社区支出（项）:</w:t>
      </w:r>
      <w:r>
        <w:rPr>
          <w:rStyle w:val="18"/>
          <w:rFonts w:eastAsia="仿宋_GB2312"/>
          <w:b w:val="0"/>
          <w:bCs/>
          <w:sz w:val="32"/>
          <w:szCs w:val="32"/>
        </w:rPr>
        <w:t xml:space="preserve"> 支出决算为100万元，完成预算100%，决算等于预算数。</w:t>
      </w:r>
    </w:p>
    <w:p w14:paraId="3D579E37">
      <w:pPr>
        <w:spacing w:line="560" w:lineRule="exact"/>
        <w:ind w:firstLine="643" w:firstLineChars="200"/>
        <w:rPr>
          <w:rStyle w:val="18"/>
          <w:rFonts w:eastAsia="仿宋_GB2312"/>
          <w:b w:val="0"/>
          <w:bCs/>
          <w:sz w:val="32"/>
          <w:szCs w:val="32"/>
        </w:rPr>
      </w:pPr>
      <w:r>
        <w:rPr>
          <w:rStyle w:val="18"/>
          <w:rFonts w:eastAsia="仿宋_GB2312"/>
          <w:bCs/>
          <w:sz w:val="32"/>
          <w:szCs w:val="32"/>
        </w:rPr>
        <w:t>15.农林水支出（类）其他农林水支出（款）其他农林水支出（项）:</w:t>
      </w:r>
      <w:r>
        <w:rPr>
          <w:rStyle w:val="18"/>
          <w:rFonts w:eastAsia="仿宋_GB2312"/>
          <w:b w:val="0"/>
          <w:bCs/>
          <w:sz w:val="32"/>
          <w:szCs w:val="32"/>
        </w:rPr>
        <w:t xml:space="preserve"> 支出决算为1149.26万元，完成预算100%，决算等于预算数。</w:t>
      </w:r>
    </w:p>
    <w:p w14:paraId="0625E958">
      <w:pPr>
        <w:spacing w:line="560" w:lineRule="exact"/>
        <w:ind w:firstLine="643" w:firstLineChars="200"/>
        <w:rPr>
          <w:rStyle w:val="18"/>
          <w:rFonts w:eastAsia="仿宋_GB2312"/>
          <w:b w:val="0"/>
          <w:bCs/>
          <w:sz w:val="32"/>
          <w:szCs w:val="32"/>
        </w:rPr>
      </w:pPr>
      <w:r>
        <w:rPr>
          <w:rStyle w:val="18"/>
          <w:rFonts w:eastAsia="仿宋_GB2312"/>
          <w:bCs/>
          <w:sz w:val="32"/>
          <w:szCs w:val="32"/>
        </w:rPr>
        <w:t>16.住房保障支出（类）住房改革支出（款）住房公积金（项）:</w:t>
      </w:r>
      <w:r>
        <w:rPr>
          <w:rStyle w:val="18"/>
          <w:rFonts w:eastAsia="仿宋_GB2312"/>
          <w:b w:val="0"/>
          <w:bCs/>
          <w:sz w:val="32"/>
          <w:szCs w:val="32"/>
        </w:rPr>
        <w:t xml:space="preserve"> 支出决算为44.28万元，完成预算100%，决算等于预算数。</w:t>
      </w:r>
    </w:p>
    <w:p w14:paraId="4C3B0DAC">
      <w:pPr>
        <w:spacing w:line="560" w:lineRule="exact"/>
        <w:ind w:firstLine="643" w:firstLineChars="200"/>
        <w:rPr>
          <w:rFonts w:eastAsia="仿宋_GB2312"/>
        </w:rPr>
      </w:pPr>
      <w:r>
        <w:rPr>
          <w:rStyle w:val="18"/>
          <w:rFonts w:eastAsia="仿宋_GB2312"/>
          <w:bCs/>
          <w:sz w:val="32"/>
          <w:szCs w:val="32"/>
        </w:rPr>
        <w:t>17.灾害防治及应急管理支出（类）应急管理事务（款）   灾害风险防治（项）:</w:t>
      </w:r>
      <w:r>
        <w:rPr>
          <w:rStyle w:val="18"/>
          <w:rFonts w:eastAsia="仿宋_GB2312"/>
          <w:b w:val="0"/>
          <w:bCs/>
          <w:sz w:val="32"/>
          <w:szCs w:val="32"/>
        </w:rPr>
        <w:t xml:space="preserve"> 支出决算为9万元，完成预算100%，决算等于预算数。</w:t>
      </w:r>
    </w:p>
    <w:p w14:paraId="0E707638">
      <w:pPr>
        <w:tabs>
          <w:tab w:val="right" w:pos="8306"/>
        </w:tabs>
        <w:spacing w:line="600" w:lineRule="exact"/>
        <w:ind w:firstLine="640"/>
        <w:outlineLvl w:val="1"/>
        <w:rPr>
          <w:rStyle w:val="30"/>
        </w:rPr>
      </w:pPr>
      <w:bookmarkStart w:id="36" w:name="_Toc15396608"/>
      <w:bookmarkStart w:id="3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6"/>
      <w:bookmarkEnd w:id="37"/>
      <w:r>
        <w:rPr>
          <w:rStyle w:val="30"/>
          <w:rFonts w:ascii="黑体" w:hAnsi="黑体" w:eastAsia="黑体"/>
          <w:b w:val="0"/>
        </w:rPr>
        <w:tab/>
      </w:r>
    </w:p>
    <w:p w14:paraId="5619AE5D">
      <w:pPr>
        <w:spacing w:line="560" w:lineRule="exact"/>
        <w:ind w:firstLine="640" w:firstLineChars="200"/>
        <w:rPr>
          <w:rStyle w:val="18"/>
          <w:rFonts w:eastAsia="仿宋_GB2312"/>
          <w:b w:val="0"/>
          <w:sz w:val="32"/>
          <w:szCs w:val="32"/>
        </w:rPr>
      </w:pPr>
      <w:r>
        <w:rPr>
          <w:rStyle w:val="18"/>
          <w:rFonts w:eastAsia="仿宋_GB2312"/>
          <w:b w:val="0"/>
          <w:sz w:val="32"/>
          <w:szCs w:val="32"/>
        </w:rPr>
        <w:t>2022年一般公共预算财政拨款基本支出665.83万元，其中：</w:t>
      </w:r>
    </w:p>
    <w:p w14:paraId="5ABD9C4B">
      <w:pPr>
        <w:spacing w:line="560" w:lineRule="exact"/>
        <w:ind w:firstLine="640" w:firstLineChars="200"/>
        <w:rPr>
          <w:rStyle w:val="18"/>
          <w:rFonts w:eastAsia="仿宋_GB2312"/>
          <w:b w:val="0"/>
          <w:sz w:val="32"/>
          <w:szCs w:val="32"/>
        </w:rPr>
      </w:pPr>
      <w:r>
        <w:rPr>
          <w:rStyle w:val="18"/>
          <w:rFonts w:eastAsia="仿宋_GB2312"/>
          <w:b w:val="0"/>
          <w:sz w:val="32"/>
          <w:szCs w:val="32"/>
        </w:rPr>
        <w:t>人员经费603.47万元，主要包括：基本工资、津贴补贴、奖金、机关事业单位基本养老保险缴费、职业年金缴费、职工基本医疗保险缴费、公务员医疗补助缴费、其他社会保障缴费、住房公积金、其他工资福利支出、生活补助、医疗费补助、奖励金。</w:t>
      </w:r>
    </w:p>
    <w:p w14:paraId="00A07416">
      <w:pPr>
        <w:spacing w:line="560" w:lineRule="exact"/>
        <w:ind w:firstLine="640" w:firstLineChars="200"/>
        <w:rPr>
          <w:rStyle w:val="18"/>
          <w:rFonts w:eastAsia="仿宋_GB2312"/>
          <w:b w:val="0"/>
          <w:sz w:val="32"/>
          <w:szCs w:val="32"/>
        </w:rPr>
      </w:pPr>
      <w:r>
        <w:rPr>
          <w:rStyle w:val="18"/>
          <w:rFonts w:eastAsia="仿宋_GB2312"/>
          <w:b w:val="0"/>
          <w:sz w:val="32"/>
          <w:szCs w:val="32"/>
        </w:rPr>
        <w:t>公用经费62.36万元，主要包括：办公费、水费、电费、邮电费、差旅费、培训费、公务接待费、福利费、其他交通费、其他商品和服务支出。</w:t>
      </w:r>
    </w:p>
    <w:p w14:paraId="37A09DD5">
      <w:pPr>
        <w:spacing w:line="600" w:lineRule="exact"/>
        <w:ind w:firstLine="640"/>
        <w:outlineLvl w:val="1"/>
        <w:rPr>
          <w:rStyle w:val="30"/>
          <w:rFonts w:ascii="黑体" w:hAnsi="黑体" w:eastAsia="黑体"/>
          <w:b w:val="0"/>
        </w:rPr>
      </w:pPr>
      <w:bookmarkStart w:id="38" w:name="_Toc15396609"/>
      <w:bookmarkStart w:id="39"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8"/>
      <w:bookmarkEnd w:id="39"/>
    </w:p>
    <w:p w14:paraId="70777191">
      <w:pPr>
        <w:spacing w:line="600" w:lineRule="exact"/>
        <w:ind w:firstLine="640"/>
        <w:outlineLvl w:val="2"/>
        <w:rPr>
          <w:rFonts w:ascii="仿宋_GB2312" w:hAnsi="仿宋_GB2312" w:eastAsia="仿宋_GB2312" w:cs="仿宋_GB2312"/>
          <w:b/>
          <w:sz w:val="32"/>
          <w:szCs w:val="32"/>
        </w:rPr>
      </w:pPr>
      <w:bookmarkStart w:id="40" w:name="_Toc15377216"/>
      <w:r>
        <w:rPr>
          <w:rFonts w:hint="eastAsia" w:ascii="仿宋_GB2312" w:hAnsi="仿宋_GB2312" w:eastAsia="仿宋_GB2312" w:cs="仿宋_GB2312"/>
          <w:b/>
          <w:sz w:val="32"/>
          <w:szCs w:val="32"/>
        </w:rPr>
        <w:t>（一）“三公”经费财政拨款支出决算总体情况说明</w:t>
      </w:r>
      <w:bookmarkEnd w:id="40"/>
    </w:p>
    <w:p w14:paraId="65AA32E8">
      <w:pPr>
        <w:spacing w:line="560" w:lineRule="exact"/>
        <w:ind w:firstLine="640" w:firstLineChars="200"/>
        <w:rPr>
          <w:rStyle w:val="18"/>
          <w:rFonts w:ascii="仿宋_GB2312" w:hAnsi="仿宋_GB2312" w:eastAsia="仿宋_GB2312" w:cs="仿宋_GB2312"/>
          <w:b w:val="0"/>
          <w:sz w:val="32"/>
          <w:szCs w:val="32"/>
        </w:rPr>
      </w:pPr>
      <w:r>
        <w:rPr>
          <w:rStyle w:val="18"/>
          <w:rFonts w:eastAsia="仿宋_GB2312"/>
          <w:b w:val="0"/>
          <w:sz w:val="32"/>
          <w:szCs w:val="32"/>
        </w:rPr>
        <w:t>2022年“三公”经费财政拨款支出决算为0.44万元，完成预算80%，较上年减少0.09万元，下降</w:t>
      </w:r>
      <w:r>
        <w:rPr>
          <w:rStyle w:val="18"/>
          <w:rFonts w:hint="eastAsia" w:eastAsia="仿宋_GB2312"/>
          <w:b w:val="0"/>
          <w:sz w:val="32"/>
          <w:szCs w:val="32"/>
          <w:lang w:val="en-US" w:eastAsia="zh-CN"/>
        </w:rPr>
        <w:t>16.98</w:t>
      </w:r>
      <w:r>
        <w:rPr>
          <w:rStyle w:val="18"/>
          <w:rFonts w:eastAsia="仿宋_GB2312"/>
          <w:b w:val="0"/>
          <w:sz w:val="32"/>
          <w:szCs w:val="32"/>
        </w:rPr>
        <w:t>%。决算数小于预算数的主要原因是公务接待支出较预期有所减少。</w:t>
      </w:r>
    </w:p>
    <w:p w14:paraId="5AAB09A8">
      <w:pPr>
        <w:spacing w:line="600" w:lineRule="exact"/>
        <w:ind w:firstLine="640"/>
        <w:outlineLvl w:val="2"/>
        <w:rPr>
          <w:rFonts w:ascii="仿宋_GB2312" w:hAnsi="仿宋_GB2312" w:eastAsia="仿宋_GB2312" w:cs="仿宋_GB2312"/>
          <w:b/>
          <w:sz w:val="32"/>
          <w:szCs w:val="32"/>
        </w:rPr>
      </w:pPr>
      <w:bookmarkStart w:id="41" w:name="_Toc15377217"/>
      <w:r>
        <w:rPr>
          <w:rFonts w:hint="eastAsia" w:ascii="仿宋_GB2312" w:hAnsi="仿宋_GB2312" w:eastAsia="仿宋_GB2312" w:cs="仿宋_GB2312"/>
          <w:b/>
          <w:sz w:val="32"/>
          <w:szCs w:val="32"/>
        </w:rPr>
        <w:t>（二）“三公”经费财政拨款支出决算具体情况说明</w:t>
      </w:r>
      <w:bookmarkEnd w:id="41"/>
    </w:p>
    <w:p w14:paraId="504913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sz w:val="32"/>
          <w:szCs w:val="32"/>
        </w:rPr>
      </w:pPr>
      <w:r>
        <w:rPr>
          <w:rStyle w:val="18"/>
          <w:rFonts w:eastAsia="仿宋_GB2312"/>
          <w:b w:val="0"/>
          <w:sz w:val="32"/>
          <w:szCs w:val="32"/>
        </w:rPr>
        <w:t>2022年“三公”经费财政拨款支出决算中，因公出国（境）费支出决算0万元，占0%；公务用车购置及运行维护费支出决算0万元，占0%；公务接待费支出决算0.44万元，占100%。具体情况如下：</w:t>
      </w:r>
    </w:p>
    <w:p w14:paraId="45DD80B4">
      <w:pPr>
        <w:pStyle w:val="20"/>
        <w:rPr>
          <w:rFonts w:hAnsi="仿宋"/>
          <w:color w:val="auto"/>
          <w:sz w:val="32"/>
          <w:szCs w:val="32"/>
        </w:rPr>
      </w:pPr>
      <w:r>
        <w:drawing>
          <wp:inline distT="0" distB="0" distL="114300" distR="114300">
            <wp:extent cx="4898390" cy="2661920"/>
            <wp:effectExtent l="4445" t="4445" r="19685" b="1587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E5ECD2">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w:t>
      </w:r>
    </w:p>
    <w:p w14:paraId="54F1306D">
      <w:pPr>
        <w:spacing w:line="560" w:lineRule="exact"/>
        <w:ind w:firstLine="643" w:firstLineChars="200"/>
        <w:rPr>
          <w:rStyle w:val="18"/>
          <w:rFonts w:eastAsia="仿宋_GB2312"/>
          <w:b w:val="0"/>
          <w:sz w:val="32"/>
          <w:szCs w:val="32"/>
        </w:rPr>
      </w:pPr>
      <w:r>
        <w:rPr>
          <w:rStyle w:val="18"/>
          <w:rFonts w:eastAsia="仿宋_GB2312"/>
          <w:bCs/>
          <w:sz w:val="32"/>
          <w:szCs w:val="32"/>
        </w:rPr>
        <w:t>1.</w:t>
      </w:r>
      <w:r>
        <w:rPr>
          <w:rStyle w:val="18"/>
          <w:rFonts w:hint="eastAsia" w:eastAsia="仿宋_GB2312"/>
          <w:bCs/>
          <w:sz w:val="32"/>
          <w:szCs w:val="32"/>
        </w:rPr>
        <w:t>因公出国（境）经费支出</w:t>
      </w:r>
      <w:r>
        <w:rPr>
          <w:rStyle w:val="18"/>
          <w:rFonts w:hint="eastAsia" w:eastAsia="仿宋_GB2312"/>
          <w:b w:val="0"/>
          <w:sz w:val="32"/>
          <w:szCs w:val="32"/>
        </w:rPr>
        <w:t>0万元，完成预算0</w:t>
      </w:r>
      <w:r>
        <w:rPr>
          <w:rStyle w:val="18"/>
          <w:rFonts w:eastAsia="仿宋_GB2312"/>
          <w:b w:val="0"/>
          <w:sz w:val="32"/>
          <w:szCs w:val="32"/>
        </w:rPr>
        <w:t>%</w:t>
      </w:r>
      <w:r>
        <w:rPr>
          <w:rStyle w:val="18"/>
          <w:rFonts w:hint="eastAsia" w:eastAsia="仿宋_GB2312"/>
          <w:b w:val="0"/>
          <w:sz w:val="32"/>
          <w:szCs w:val="32"/>
        </w:rPr>
        <w:t>。全年安排因公出国（境）团组0次，出国（境）0人。因公出国（境）支出决算与</w:t>
      </w:r>
      <w:r>
        <w:rPr>
          <w:rStyle w:val="18"/>
          <w:rFonts w:eastAsia="仿宋_GB2312"/>
          <w:b w:val="0"/>
          <w:sz w:val="32"/>
          <w:szCs w:val="32"/>
        </w:rPr>
        <w:t>20</w:t>
      </w:r>
      <w:r>
        <w:rPr>
          <w:rStyle w:val="18"/>
          <w:rFonts w:hint="eastAsia" w:eastAsia="仿宋_GB2312"/>
          <w:b w:val="0"/>
          <w:sz w:val="32"/>
          <w:szCs w:val="32"/>
        </w:rPr>
        <w:t>21年持平。</w:t>
      </w:r>
    </w:p>
    <w:p w14:paraId="1B40E1E7">
      <w:pPr>
        <w:spacing w:line="560" w:lineRule="exact"/>
        <w:ind w:firstLine="643" w:firstLineChars="200"/>
        <w:rPr>
          <w:rStyle w:val="18"/>
          <w:rFonts w:eastAsia="仿宋_GB2312"/>
          <w:b w:val="0"/>
          <w:sz w:val="32"/>
          <w:szCs w:val="32"/>
        </w:rPr>
      </w:pPr>
      <w:r>
        <w:rPr>
          <w:rStyle w:val="18"/>
          <w:rFonts w:eastAsia="仿宋_GB2312"/>
          <w:bCs/>
          <w:sz w:val="32"/>
          <w:szCs w:val="32"/>
        </w:rPr>
        <w:t>2.</w:t>
      </w:r>
      <w:r>
        <w:rPr>
          <w:rStyle w:val="18"/>
          <w:rFonts w:hint="eastAsia" w:eastAsia="仿宋_GB2312"/>
          <w:bCs/>
          <w:sz w:val="32"/>
          <w:szCs w:val="32"/>
        </w:rPr>
        <w:t>公务用车购置及运行维护费支出</w:t>
      </w:r>
      <w:r>
        <w:rPr>
          <w:rStyle w:val="18"/>
          <w:rFonts w:hint="eastAsia" w:eastAsia="仿宋_GB2312"/>
          <w:b w:val="0"/>
          <w:sz w:val="32"/>
          <w:szCs w:val="32"/>
        </w:rPr>
        <w:t>0万元,完成预算0</w:t>
      </w:r>
      <w:r>
        <w:rPr>
          <w:rStyle w:val="18"/>
          <w:rFonts w:eastAsia="仿宋_GB2312"/>
          <w:b w:val="0"/>
          <w:sz w:val="32"/>
          <w:szCs w:val="32"/>
        </w:rPr>
        <w:t>%</w:t>
      </w:r>
      <w:r>
        <w:rPr>
          <w:rStyle w:val="18"/>
          <w:rFonts w:hint="eastAsia" w:eastAsia="仿宋_GB2312"/>
          <w:b w:val="0"/>
          <w:sz w:val="32"/>
          <w:szCs w:val="32"/>
        </w:rPr>
        <w:t>。公务用车购置及运行维护费支出决算与</w:t>
      </w:r>
      <w:r>
        <w:rPr>
          <w:rStyle w:val="18"/>
          <w:rFonts w:eastAsia="仿宋_GB2312"/>
          <w:b w:val="0"/>
          <w:sz w:val="32"/>
          <w:szCs w:val="32"/>
        </w:rPr>
        <w:t>20</w:t>
      </w:r>
      <w:r>
        <w:rPr>
          <w:rStyle w:val="18"/>
          <w:rFonts w:hint="eastAsia" w:eastAsia="仿宋_GB2312"/>
          <w:b w:val="0"/>
          <w:sz w:val="32"/>
          <w:szCs w:val="32"/>
        </w:rPr>
        <w:t>21年持平。</w:t>
      </w:r>
    </w:p>
    <w:p w14:paraId="73ED82C5">
      <w:pPr>
        <w:spacing w:line="560" w:lineRule="exact"/>
        <w:ind w:firstLine="640" w:firstLineChars="200"/>
        <w:rPr>
          <w:rStyle w:val="18"/>
          <w:rFonts w:eastAsia="仿宋_GB2312"/>
          <w:b w:val="0"/>
          <w:sz w:val="32"/>
          <w:szCs w:val="32"/>
        </w:rPr>
      </w:pPr>
      <w:r>
        <w:rPr>
          <w:rStyle w:val="18"/>
          <w:rFonts w:hint="eastAsia" w:eastAsia="仿宋_GB2312"/>
          <w:b w:val="0"/>
          <w:sz w:val="32"/>
          <w:szCs w:val="32"/>
        </w:rPr>
        <w:t>其中：</w:t>
      </w:r>
      <w:r>
        <w:rPr>
          <w:rStyle w:val="18"/>
          <w:rFonts w:hint="eastAsia" w:eastAsia="仿宋_GB2312"/>
          <w:bCs/>
          <w:sz w:val="32"/>
          <w:szCs w:val="32"/>
        </w:rPr>
        <w:t>公务用车购置支出</w:t>
      </w:r>
      <w:r>
        <w:rPr>
          <w:rStyle w:val="18"/>
          <w:rFonts w:hint="eastAsia" w:eastAsia="仿宋_GB2312"/>
          <w:b w:val="0"/>
          <w:sz w:val="32"/>
          <w:szCs w:val="32"/>
        </w:rPr>
        <w:t>0万元。全年按规定更新购置公务用车0辆，其中：轿车0辆、金额0万元，越野车0辆、金额0万元，载客汽车0辆、金额0万元。截至2022年12月底，单位共有公务用车0辆，其中：轿车0辆、越野车0辆、载客汽车0辆。</w:t>
      </w:r>
    </w:p>
    <w:p w14:paraId="03C475EB">
      <w:pPr>
        <w:spacing w:line="560" w:lineRule="exact"/>
        <w:ind w:firstLine="643" w:firstLineChars="200"/>
        <w:rPr>
          <w:rStyle w:val="18"/>
          <w:rFonts w:eastAsia="仿宋_GB2312"/>
          <w:b w:val="0"/>
          <w:sz w:val="32"/>
          <w:szCs w:val="32"/>
        </w:rPr>
      </w:pPr>
      <w:r>
        <w:rPr>
          <w:rStyle w:val="18"/>
          <w:rFonts w:hint="eastAsia" w:eastAsia="仿宋_GB2312"/>
          <w:bCs/>
          <w:sz w:val="32"/>
          <w:szCs w:val="32"/>
        </w:rPr>
        <w:t>公务用车运行维护费支出</w:t>
      </w:r>
      <w:r>
        <w:rPr>
          <w:rStyle w:val="18"/>
          <w:rFonts w:hint="eastAsia" w:eastAsia="仿宋_GB2312"/>
          <w:b w:val="0"/>
          <w:sz w:val="32"/>
          <w:szCs w:val="32"/>
        </w:rPr>
        <w:t>0万元。</w:t>
      </w:r>
    </w:p>
    <w:p w14:paraId="0EE9A33E">
      <w:pPr>
        <w:spacing w:line="560" w:lineRule="exact"/>
        <w:ind w:firstLine="643" w:firstLineChars="200"/>
        <w:rPr>
          <w:rStyle w:val="18"/>
          <w:rFonts w:eastAsia="仿宋_GB2312"/>
          <w:b w:val="0"/>
          <w:sz w:val="32"/>
          <w:szCs w:val="32"/>
        </w:rPr>
      </w:pPr>
      <w:r>
        <w:rPr>
          <w:rStyle w:val="18"/>
          <w:rFonts w:eastAsia="仿宋_GB2312"/>
          <w:bCs/>
          <w:sz w:val="32"/>
          <w:szCs w:val="32"/>
        </w:rPr>
        <w:t>3.公务接待费支出</w:t>
      </w:r>
      <w:r>
        <w:rPr>
          <w:rStyle w:val="18"/>
          <w:rFonts w:eastAsia="仿宋_GB2312"/>
          <w:b w:val="0"/>
          <w:sz w:val="32"/>
          <w:szCs w:val="32"/>
        </w:rPr>
        <w:t>0.44万元，完成预算80%。公务接待费支出决算比2021年减少0.09万元，下降</w:t>
      </w:r>
      <w:r>
        <w:rPr>
          <w:rStyle w:val="18"/>
          <w:rFonts w:hint="eastAsia" w:eastAsia="仿宋_GB2312"/>
          <w:b w:val="0"/>
          <w:sz w:val="32"/>
          <w:szCs w:val="32"/>
          <w:lang w:val="en-US" w:eastAsia="zh-CN"/>
        </w:rPr>
        <w:t>16.98</w:t>
      </w:r>
      <w:r>
        <w:rPr>
          <w:rStyle w:val="18"/>
          <w:rFonts w:eastAsia="仿宋_GB2312"/>
          <w:b w:val="0"/>
          <w:sz w:val="32"/>
          <w:szCs w:val="32"/>
        </w:rPr>
        <w:t>%。主要原因是严格执行中央八项规定，压缩“三公”经费预算，确保该花的钱花在刀刃上。其中：</w:t>
      </w:r>
    </w:p>
    <w:p w14:paraId="47915438">
      <w:pPr>
        <w:spacing w:line="560" w:lineRule="exact"/>
        <w:ind w:firstLine="643" w:firstLineChars="200"/>
        <w:rPr>
          <w:rStyle w:val="18"/>
          <w:rFonts w:eastAsia="仿宋_GB2312"/>
          <w:b w:val="0"/>
          <w:sz w:val="32"/>
          <w:szCs w:val="32"/>
        </w:rPr>
      </w:pPr>
      <w:r>
        <w:rPr>
          <w:rStyle w:val="18"/>
          <w:rFonts w:eastAsia="仿宋_GB2312"/>
          <w:bCs/>
          <w:sz w:val="32"/>
          <w:szCs w:val="32"/>
        </w:rPr>
        <w:t>国内公务接待支出</w:t>
      </w:r>
      <w:r>
        <w:rPr>
          <w:rStyle w:val="18"/>
          <w:rFonts w:eastAsia="仿宋_GB2312"/>
          <w:b w:val="0"/>
          <w:sz w:val="32"/>
          <w:szCs w:val="32"/>
        </w:rPr>
        <w:t>0.44万元，主要用于执行公务、开展业务活动开支用餐费。国内公务接待3批次，22人次（不包括陪同人员），共计支出0.44万元，具体内容包括：接待盐边县综合行政执法局学习城市管理方面的先进经验用餐费0.25万元；接待省城镇燃气安全排查整治第三督导组开展城镇燃气安全排查整治工作督导检查用餐费0.16万元；接待省国家园林城市复查考评组开展国家园林城市现场复查考评用餐费0.03万元（余0.22万元未支付）。</w:t>
      </w:r>
    </w:p>
    <w:p w14:paraId="6ED1C85F">
      <w:pPr>
        <w:spacing w:line="560" w:lineRule="exact"/>
        <w:ind w:firstLine="643" w:firstLineChars="200"/>
        <w:rPr>
          <w:rStyle w:val="18"/>
          <w:rFonts w:eastAsia="仿宋_GB2312"/>
          <w:b w:val="0"/>
          <w:sz w:val="32"/>
          <w:szCs w:val="32"/>
        </w:rPr>
      </w:pPr>
      <w:bookmarkStart w:id="42" w:name="_Toc15396610"/>
      <w:bookmarkStart w:id="43" w:name="_Toc15377218"/>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r>
        <w:rPr>
          <w:rFonts w:hint="eastAsia" w:ascii="Times New Roman" w:hAnsi="Times New Roman" w:eastAsia="仿宋_GB2312"/>
          <w:sz w:val="32"/>
          <w:szCs w:val="32"/>
        </w:rPr>
        <w:t>。</w:t>
      </w:r>
      <w:r>
        <w:rPr>
          <w:rFonts w:hint="eastAsia" w:ascii="Times New Roman" w:hAnsi="Times New Roman" w:eastAsia="仿宋_GB2312"/>
          <w:kern w:val="0"/>
          <w:sz w:val="32"/>
          <w:szCs w:val="32"/>
        </w:rPr>
        <w:t>外事接待0批次0人次（不包括陪同人员），共计支出0万元。</w:t>
      </w:r>
      <w:bookmarkStart w:id="69" w:name="_GoBack"/>
      <w:bookmarkEnd w:id="69"/>
    </w:p>
    <w:p w14:paraId="41E739D9">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2"/>
      <w:bookmarkEnd w:id="43"/>
    </w:p>
    <w:p w14:paraId="11BEE601">
      <w:pPr>
        <w:spacing w:line="560" w:lineRule="exact"/>
        <w:ind w:firstLine="640" w:firstLineChars="200"/>
        <w:rPr>
          <w:rStyle w:val="18"/>
          <w:rFonts w:eastAsia="仿宋_GB2312"/>
          <w:b w:val="0"/>
          <w:sz w:val="32"/>
          <w:szCs w:val="32"/>
        </w:rPr>
      </w:pPr>
      <w:r>
        <w:rPr>
          <w:rStyle w:val="18"/>
          <w:rFonts w:hint="eastAsia" w:eastAsia="仿宋_GB2312"/>
          <w:b w:val="0"/>
          <w:sz w:val="32"/>
          <w:szCs w:val="32"/>
        </w:rPr>
        <w:t>2022年政府性基金预算财政拨款支出1688.05万元。</w:t>
      </w:r>
    </w:p>
    <w:p w14:paraId="7E24F0EE">
      <w:pPr>
        <w:numPr>
          <w:ilvl w:val="0"/>
          <w:numId w:val="3"/>
        </w:numPr>
        <w:spacing w:line="600" w:lineRule="exact"/>
        <w:ind w:firstLine="640"/>
        <w:outlineLvl w:val="1"/>
        <w:rPr>
          <w:rStyle w:val="30"/>
          <w:rFonts w:ascii="黑体" w:hAnsi="黑体" w:eastAsia="黑体"/>
          <w:b w:val="0"/>
        </w:rPr>
      </w:pPr>
      <w:bookmarkStart w:id="44" w:name="_Toc15396611"/>
      <w:bookmarkStart w:id="45" w:name="_Toc15377219"/>
      <w:r>
        <w:rPr>
          <w:rStyle w:val="30"/>
          <w:rFonts w:hint="eastAsia" w:ascii="黑体" w:hAnsi="黑体" w:eastAsia="黑体"/>
          <w:b w:val="0"/>
        </w:rPr>
        <w:t>国有资本经营预算支出决算情况说明</w:t>
      </w:r>
      <w:bookmarkEnd w:id="44"/>
      <w:bookmarkEnd w:id="45"/>
    </w:p>
    <w:p w14:paraId="7D6016BD">
      <w:pPr>
        <w:spacing w:line="560" w:lineRule="exact"/>
        <w:ind w:firstLine="640" w:firstLineChars="200"/>
        <w:rPr>
          <w:rStyle w:val="18"/>
          <w:rFonts w:eastAsia="仿宋_GB2312"/>
          <w:b w:val="0"/>
          <w:sz w:val="32"/>
          <w:szCs w:val="32"/>
        </w:rPr>
      </w:pPr>
      <w:r>
        <w:rPr>
          <w:rStyle w:val="18"/>
          <w:rFonts w:hint="eastAsia" w:eastAsia="仿宋_GB2312"/>
          <w:b w:val="0"/>
          <w:sz w:val="32"/>
          <w:szCs w:val="32"/>
        </w:rPr>
        <w:t>2022年国有资本经营预算财政拨款支出0万元。</w:t>
      </w:r>
    </w:p>
    <w:p w14:paraId="2C02140E">
      <w:pPr>
        <w:numPr>
          <w:ilvl w:val="0"/>
          <w:numId w:val="3"/>
        </w:numPr>
        <w:spacing w:line="600" w:lineRule="exact"/>
        <w:ind w:firstLine="640"/>
        <w:outlineLvl w:val="1"/>
        <w:rPr>
          <w:rStyle w:val="30"/>
          <w:rFonts w:ascii="黑体" w:hAnsi="黑体" w:eastAsia="黑体"/>
          <w:b w:val="0"/>
        </w:rPr>
      </w:pPr>
      <w:bookmarkStart w:id="46" w:name="_Toc15396612"/>
      <w:bookmarkStart w:id="47" w:name="_Toc15377221"/>
      <w:r>
        <w:rPr>
          <w:rStyle w:val="30"/>
          <w:rFonts w:hint="eastAsia" w:ascii="黑体" w:hAnsi="黑体" w:eastAsia="黑体"/>
          <w:b w:val="0"/>
        </w:rPr>
        <w:t>其他重要事项的情况说明</w:t>
      </w:r>
      <w:bookmarkEnd w:id="46"/>
      <w:bookmarkEnd w:id="47"/>
    </w:p>
    <w:p w14:paraId="40B5CE14">
      <w:pPr>
        <w:spacing w:line="600" w:lineRule="exact"/>
        <w:ind w:firstLine="643" w:firstLineChars="200"/>
        <w:outlineLvl w:val="2"/>
        <w:rPr>
          <w:rFonts w:ascii="仿宋_GB2312" w:hAnsi="仿宋_GB2312" w:eastAsia="仿宋_GB2312" w:cs="仿宋_GB2312"/>
          <w:sz w:val="32"/>
          <w:szCs w:val="32"/>
        </w:rPr>
      </w:pPr>
      <w:bookmarkStart w:id="48" w:name="_Toc15377222"/>
      <w:r>
        <w:rPr>
          <w:rFonts w:hint="eastAsia" w:ascii="仿宋_GB2312" w:hAnsi="仿宋_GB2312" w:eastAsia="仿宋_GB2312" w:cs="仿宋_GB2312"/>
          <w:b/>
          <w:sz w:val="32"/>
          <w:szCs w:val="32"/>
        </w:rPr>
        <w:t>（一）机关运行经费支出情况</w:t>
      </w:r>
      <w:bookmarkEnd w:id="48"/>
    </w:p>
    <w:p w14:paraId="01FBA20F">
      <w:pPr>
        <w:spacing w:line="560" w:lineRule="exact"/>
        <w:ind w:firstLine="640" w:firstLineChars="200"/>
        <w:rPr>
          <w:rStyle w:val="18"/>
          <w:rFonts w:eastAsia="仿宋_GB2312"/>
          <w:b w:val="0"/>
          <w:sz w:val="32"/>
          <w:szCs w:val="32"/>
        </w:rPr>
      </w:pPr>
      <w:r>
        <w:rPr>
          <w:rStyle w:val="18"/>
          <w:rFonts w:hint="eastAsia" w:eastAsia="仿宋_GB2312"/>
          <w:b w:val="0"/>
          <w:sz w:val="32"/>
          <w:szCs w:val="32"/>
        </w:rPr>
        <w:t>2022年，县综合执法局机关运行经费支出62.36万元，比2021年增加7.95万元，增长14.61%。主要原因是2022年人员增加，其他交通费用、其他商品和服务支出</w:t>
      </w:r>
      <w:r>
        <w:rPr>
          <w:rStyle w:val="18"/>
          <w:rFonts w:eastAsia="仿宋_GB2312"/>
          <w:b w:val="0"/>
          <w:sz w:val="32"/>
          <w:szCs w:val="32"/>
        </w:rPr>
        <w:t>等支出较上年有所增加</w:t>
      </w:r>
      <w:r>
        <w:rPr>
          <w:rStyle w:val="18"/>
          <w:rFonts w:hint="eastAsia" w:eastAsia="仿宋_GB2312"/>
          <w:b w:val="0"/>
          <w:sz w:val="32"/>
          <w:szCs w:val="32"/>
        </w:rPr>
        <w:t>。</w:t>
      </w:r>
    </w:p>
    <w:p w14:paraId="58C29F68">
      <w:pPr>
        <w:autoSpaceDE w:val="0"/>
        <w:autoSpaceDN w:val="0"/>
        <w:adjustRightInd w:val="0"/>
        <w:spacing w:line="600" w:lineRule="exact"/>
        <w:ind w:firstLine="643" w:firstLineChars="200"/>
        <w:jc w:val="left"/>
        <w:outlineLvl w:val="2"/>
        <w:rPr>
          <w:rFonts w:ascii="仿宋_GB2312" w:hAnsi="仿宋_GB2312" w:eastAsia="仿宋_GB2312" w:cs="仿宋_GB2312"/>
          <w:b/>
          <w:sz w:val="32"/>
          <w:szCs w:val="32"/>
        </w:rPr>
      </w:pPr>
      <w:bookmarkStart w:id="49" w:name="_Toc15377223"/>
      <w:r>
        <w:rPr>
          <w:rFonts w:hint="eastAsia" w:ascii="仿宋_GB2312" w:hAnsi="仿宋_GB2312" w:eastAsia="仿宋_GB2312" w:cs="仿宋_GB2312"/>
          <w:b/>
          <w:sz w:val="32"/>
          <w:szCs w:val="32"/>
        </w:rPr>
        <w:t>（二）政府采购支出情况</w:t>
      </w:r>
      <w:bookmarkEnd w:id="49"/>
    </w:p>
    <w:p w14:paraId="254B825F">
      <w:pPr>
        <w:spacing w:line="560" w:lineRule="exact"/>
        <w:ind w:firstLine="640" w:firstLineChars="200"/>
        <w:rPr>
          <w:rStyle w:val="18"/>
          <w:rFonts w:eastAsia="仿宋_GB2312"/>
          <w:b w:val="0"/>
          <w:sz w:val="32"/>
          <w:szCs w:val="32"/>
        </w:rPr>
      </w:pPr>
      <w:r>
        <w:rPr>
          <w:rStyle w:val="18"/>
          <w:rFonts w:hint="eastAsia" w:eastAsia="仿宋_GB2312"/>
          <w:b w:val="0"/>
          <w:sz w:val="32"/>
          <w:szCs w:val="32"/>
        </w:rPr>
        <w:t>2022年，县综合执法局政府采购支出总额7571.24万元，其中：政府采购货物支出38.80万元、政府采购工程支出0万元、政府采购服务支出7532.44万元。主要用于</w:t>
      </w:r>
    </w:p>
    <w:p w14:paraId="19C06028">
      <w:pPr>
        <w:spacing w:line="560" w:lineRule="exact"/>
        <w:ind w:firstLine="640" w:firstLineChars="200"/>
        <w:rPr>
          <w:rStyle w:val="18"/>
          <w:rFonts w:eastAsia="仿宋_GB2312"/>
          <w:b w:val="0"/>
          <w:sz w:val="32"/>
          <w:szCs w:val="32"/>
        </w:rPr>
      </w:pPr>
      <w:r>
        <w:rPr>
          <w:rStyle w:val="18"/>
          <w:rFonts w:hint="eastAsia" w:eastAsia="仿宋_GB2312"/>
          <w:b w:val="0"/>
          <w:sz w:val="32"/>
          <w:szCs w:val="32"/>
        </w:rPr>
        <w:t>米易县垃圾分类收集设施采购项目38.80万元，米易县城乡环卫一体化（县城区域第三轮环卫市场化）公开招标采购项目7532.44万元。授予中小企业合同金额38.80万元，占政府采购支出总额的0.51%，其中：授予小微企业合同金额38.80万元，占政府采购支出总额的0.51%。</w:t>
      </w:r>
    </w:p>
    <w:p w14:paraId="0CFC00EC">
      <w:pPr>
        <w:spacing w:line="560" w:lineRule="exact"/>
        <w:ind w:firstLine="641"/>
        <w:rPr>
          <w:rFonts w:ascii="仿宋_GB2312" w:hAnsi="仿宋_GB2312" w:eastAsia="仿宋_GB2312" w:cs="仿宋_GB2312"/>
          <w:b/>
          <w:bCs/>
          <w:sz w:val="32"/>
          <w:szCs w:val="32"/>
        </w:rPr>
      </w:pPr>
      <w:bookmarkStart w:id="50" w:name="_Toc15377224"/>
      <w:r>
        <w:rPr>
          <w:rFonts w:hint="eastAsia" w:ascii="仿宋_GB2312" w:hAnsi="仿宋_GB2312" w:eastAsia="仿宋_GB2312" w:cs="仿宋_GB2312"/>
          <w:b/>
          <w:bCs/>
          <w:sz w:val="32"/>
          <w:szCs w:val="32"/>
        </w:rPr>
        <w:t>（三）国有资产占有使用情况</w:t>
      </w:r>
      <w:bookmarkEnd w:id="50"/>
    </w:p>
    <w:p w14:paraId="3CE4D06A">
      <w:pPr>
        <w:spacing w:line="560" w:lineRule="exact"/>
        <w:ind w:firstLine="640" w:firstLineChars="200"/>
        <w:rPr>
          <w:rStyle w:val="18"/>
          <w:rFonts w:eastAsia="仿宋_GB2312"/>
          <w:b w:val="0"/>
          <w:sz w:val="32"/>
          <w:szCs w:val="32"/>
        </w:rPr>
      </w:pPr>
      <w:r>
        <w:rPr>
          <w:rStyle w:val="18"/>
          <w:rFonts w:hint="eastAsia" w:eastAsia="仿宋_GB2312"/>
          <w:b w:val="0"/>
          <w:sz w:val="32"/>
          <w:szCs w:val="32"/>
        </w:rPr>
        <w:t>截至2022年12月31日，县综合执法局共有车辆32辆，其中：</w:t>
      </w:r>
      <w:r>
        <w:rPr>
          <w:rFonts w:hint="eastAsia" w:eastAsia="仿宋_GB2312"/>
          <w:kern w:val="0"/>
          <w:sz w:val="32"/>
          <w:szCs w:val="32"/>
        </w:rPr>
        <w:t>主要领导干部用车0辆、机要通信用车0辆、应急保障用车0辆、其他用车0辆、</w:t>
      </w:r>
      <w:r>
        <w:rPr>
          <w:rStyle w:val="18"/>
          <w:rFonts w:hint="eastAsia" w:eastAsia="仿宋_GB2312"/>
          <w:b w:val="0"/>
          <w:sz w:val="32"/>
          <w:szCs w:val="32"/>
        </w:rPr>
        <w:t>特种专业技术用车32辆，特种专业技术用车主要是用于城市管理工作。单价100万元以上专用设备0台（套）。</w:t>
      </w:r>
    </w:p>
    <w:p w14:paraId="19367759">
      <w:pPr>
        <w:spacing w:line="560" w:lineRule="exact"/>
        <w:ind w:firstLine="641"/>
        <w:rPr>
          <w:rFonts w:ascii="仿宋_GB2312" w:eastAsia="仿宋_GB2312"/>
          <w:b/>
          <w:bCs/>
          <w:sz w:val="32"/>
          <w:szCs w:val="32"/>
        </w:rPr>
      </w:pPr>
      <w:r>
        <w:rPr>
          <w:rFonts w:hint="eastAsia" w:ascii="仿宋_GB2312" w:eastAsia="仿宋_GB2312"/>
          <w:b/>
          <w:bCs/>
          <w:sz w:val="32"/>
          <w:szCs w:val="32"/>
        </w:rPr>
        <w:t>（四）预算绩效管理情况</w:t>
      </w:r>
    </w:p>
    <w:p w14:paraId="6EF64F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8"/>
          <w:rFonts w:eastAsia="仿宋_GB2312"/>
          <w:b w:val="0"/>
          <w:sz w:val="32"/>
          <w:szCs w:val="32"/>
        </w:rPr>
      </w:pPr>
      <w:r>
        <w:rPr>
          <w:rStyle w:val="18"/>
          <w:rFonts w:hint="eastAsia" w:eastAsia="仿宋_GB2312"/>
          <w:b w:val="0"/>
          <w:sz w:val="32"/>
          <w:szCs w:val="32"/>
        </w:rPr>
        <w:t>根据预算绩效管理要求，本部门在2022年度预算编制阶段，组织对“米易县法制公园游步道改造项目”、“米易县商业步行街提升打造项目”、“米易县城区环卫清扫保洁市场化项目”等53个项目开展了预算事前绩效评估，对53个项目编制了绩效目标，预算执行过程中，选取53个项目开展绩效监控。</w:t>
      </w:r>
    </w:p>
    <w:p w14:paraId="2CA011D4">
      <w:pPr>
        <w:spacing w:line="560" w:lineRule="exact"/>
        <w:ind w:firstLine="640" w:firstLineChars="200"/>
        <w:rPr>
          <w:rStyle w:val="18"/>
          <w:rFonts w:eastAsia="仿宋_GB2312"/>
          <w:b w:val="0"/>
          <w:sz w:val="32"/>
          <w:szCs w:val="32"/>
          <w:lang w:val="zh-CN"/>
        </w:rPr>
      </w:pPr>
      <w:r>
        <w:rPr>
          <w:rStyle w:val="18"/>
          <w:rFonts w:hint="eastAsia" w:eastAsia="仿宋_GB2312"/>
          <w:b w:val="0"/>
          <w:sz w:val="32"/>
          <w:szCs w:val="32"/>
        </w:rPr>
        <w:t>组织对2022年度一般公共预算、政府性基金预算等全面开展绩效自评，形成米易县综合行政执法局部门整体绩效自评报告，米易县城区第三轮绿化养护市场化采购招标项目等专项预算项目绩效自评报告，其中，米易县综合行政执法局部门整体绩效自评得分为96分，绩效自评综述：2022年我单位认真落实县委县政府决策部署，</w:t>
      </w:r>
      <w:r>
        <w:rPr>
          <w:rStyle w:val="18"/>
          <w:rFonts w:eastAsia="仿宋_GB2312"/>
          <w:b w:val="0"/>
          <w:sz w:val="32"/>
          <w:szCs w:val="32"/>
          <w:lang w:val="zh-CN"/>
        </w:rPr>
        <w:t>不论在资金预算编制方面，还是预算执行、综合管理、整体绩效方面，均按照国家政策法规规定，结合本单位实际情况及相关规定严格执行，并合理安排项目资金，使财政资金发挥最大的效益，</w:t>
      </w:r>
      <w:r>
        <w:rPr>
          <w:rStyle w:val="18"/>
          <w:rFonts w:hint="eastAsia" w:eastAsia="仿宋_GB2312"/>
          <w:b w:val="0"/>
          <w:sz w:val="32"/>
          <w:szCs w:val="32"/>
        </w:rPr>
        <w:t>按照保进度、重质量、求实效的要求，全面推进各项重点工作，较好地完成了各项目标任务；米易县城区第三轮绿化养护市场化采购招标项目绩效自评得分100分，绩效自评综述：通过项目实施，为国家园林城市、全国文明城市、天府旅游名县等金字招牌助力添彩，切实保障城市景观效果，提升园林绿化品质，进一步增强城市居民生活幸福感、获得感、满足感；米易县城乡环卫一体化（县城区域第三轮环卫市场化）公开招标采购项目自评得分100分，绩效自评综述：通过项目实施，提升了米易城市形象、优化了生态环境，带动了第三产业的发展。</w:t>
      </w:r>
      <w:r>
        <w:rPr>
          <w:rStyle w:val="18"/>
          <w:rFonts w:hint="eastAsia" w:eastAsia="仿宋_GB2312"/>
          <w:b w:val="0"/>
          <w:sz w:val="32"/>
          <w:szCs w:val="32"/>
          <w:lang w:val="zh-CN"/>
        </w:rPr>
        <w:t>为</w:t>
      </w:r>
      <w:r>
        <w:rPr>
          <w:rStyle w:val="18"/>
          <w:rFonts w:hint="eastAsia" w:eastAsia="仿宋_GB2312"/>
          <w:b w:val="0"/>
          <w:sz w:val="32"/>
          <w:szCs w:val="32"/>
        </w:rPr>
        <w:t>米易县创建</w:t>
      </w:r>
      <w:r>
        <w:rPr>
          <w:rStyle w:val="18"/>
          <w:rFonts w:hint="eastAsia" w:eastAsia="仿宋_GB2312"/>
          <w:b w:val="0"/>
          <w:sz w:val="32"/>
          <w:szCs w:val="32"/>
          <w:lang w:val="zh-CN"/>
        </w:rPr>
        <w:t>“全国文明城市”、“天府旅游名县”</w:t>
      </w:r>
      <w:r>
        <w:rPr>
          <w:rStyle w:val="18"/>
          <w:rFonts w:hint="eastAsia" w:eastAsia="仿宋_GB2312"/>
          <w:b w:val="0"/>
          <w:sz w:val="32"/>
          <w:szCs w:val="32"/>
        </w:rPr>
        <w:t>及巩固“国家卫生县城”</w:t>
      </w:r>
      <w:r>
        <w:rPr>
          <w:rStyle w:val="18"/>
          <w:rFonts w:hint="eastAsia" w:eastAsia="仿宋_GB2312"/>
          <w:b w:val="0"/>
          <w:sz w:val="32"/>
          <w:szCs w:val="32"/>
          <w:lang w:val="zh-CN"/>
        </w:rPr>
        <w:t>等各项殊荣做出了贡献。</w:t>
      </w:r>
      <w:r>
        <w:rPr>
          <w:rStyle w:val="18"/>
          <w:rFonts w:hint="eastAsia" w:eastAsia="仿宋_GB2312"/>
          <w:b w:val="0"/>
          <w:sz w:val="32"/>
          <w:szCs w:val="32"/>
        </w:rPr>
        <w:t>同时，提高了城区环卫机械化作业水平，降低环卫工人劳动强度和作业交通安全风险，有效</w:t>
      </w:r>
      <w:r>
        <w:rPr>
          <w:rStyle w:val="18"/>
          <w:rFonts w:hint="eastAsia" w:eastAsia="仿宋_GB2312"/>
          <w:b w:val="0"/>
          <w:sz w:val="32"/>
          <w:szCs w:val="32"/>
          <w:lang w:val="zh-CN"/>
        </w:rPr>
        <w:t>提高了米易的知名度。</w:t>
      </w:r>
      <w:r>
        <w:rPr>
          <w:rFonts w:hint="eastAsia" w:eastAsia="仿宋_GB2312"/>
          <w:kern w:val="0"/>
          <w:sz w:val="32"/>
          <w:szCs w:val="32"/>
        </w:rPr>
        <w:t>绩效自评报告详见附件</w:t>
      </w:r>
      <w:r>
        <w:rPr>
          <w:rFonts w:eastAsia="仿宋_GB2312"/>
          <w:sz w:val="32"/>
          <w:szCs w:val="32"/>
        </w:rPr>
        <w:t>（</w:t>
      </w:r>
      <w:r>
        <w:rPr>
          <w:rFonts w:hint="eastAsia" w:eastAsia="仿宋_GB2312"/>
          <w:sz w:val="32"/>
          <w:szCs w:val="32"/>
        </w:rPr>
        <w:t>附件1、附件2、附件3</w:t>
      </w:r>
      <w:r>
        <w:rPr>
          <w:rFonts w:eastAsia="仿宋_GB2312"/>
          <w:sz w:val="32"/>
          <w:szCs w:val="32"/>
        </w:rPr>
        <w:t>）</w:t>
      </w:r>
      <w:r>
        <w:rPr>
          <w:rFonts w:hint="eastAsia" w:eastAsia="仿宋_GB2312"/>
          <w:sz w:val="32"/>
          <w:szCs w:val="32"/>
        </w:rPr>
        <w:t>。</w:t>
      </w:r>
    </w:p>
    <w:p w14:paraId="225CCAB8">
      <w:pPr>
        <w:spacing w:line="560" w:lineRule="exact"/>
        <w:ind w:firstLine="640" w:firstLineChars="200"/>
        <w:rPr>
          <w:rStyle w:val="18"/>
          <w:rFonts w:eastAsia="仿宋_GB2312"/>
          <w:b w:val="0"/>
          <w:sz w:val="32"/>
          <w:szCs w:val="32"/>
        </w:rPr>
      </w:pPr>
      <w:r>
        <w:rPr>
          <w:rStyle w:val="18"/>
          <w:rFonts w:hint="eastAsia" w:eastAsia="仿宋_GB2312"/>
          <w:b w:val="0"/>
          <w:sz w:val="32"/>
          <w:szCs w:val="32"/>
        </w:rPr>
        <w:t>本部门在2022年度部门决算中反映“米易县法制公园游步道改造项目”、“米易县商业步行街提升打造项目”、“米易县城区环卫清扫保洁市场化”等5个项目绩效目标实际完成情况。</w:t>
      </w:r>
    </w:p>
    <w:p w14:paraId="4EC95759">
      <w:pPr>
        <w:spacing w:line="560" w:lineRule="exact"/>
        <w:ind w:firstLine="640" w:firstLineChars="200"/>
        <w:rPr>
          <w:rStyle w:val="18"/>
          <w:rFonts w:eastAsia="仿宋_GB2312"/>
          <w:b w:val="0"/>
          <w:sz w:val="32"/>
          <w:szCs w:val="32"/>
        </w:rPr>
      </w:pPr>
      <w:r>
        <w:rPr>
          <w:rStyle w:val="18"/>
          <w:rFonts w:hint="eastAsia" w:eastAsia="仿宋_GB2312"/>
          <w:b w:val="0"/>
          <w:bCs w:val="0"/>
          <w:sz w:val="32"/>
          <w:szCs w:val="32"/>
        </w:rPr>
        <w:t>（1）</w:t>
      </w:r>
      <w:r>
        <w:rPr>
          <w:rStyle w:val="18"/>
          <w:rFonts w:hint="eastAsia" w:eastAsia="仿宋_GB2312"/>
          <w:b w:val="0"/>
          <w:sz w:val="32"/>
          <w:szCs w:val="32"/>
        </w:rPr>
        <w:t>“米易县法制公园游步道改造项目”绩效目标完成情况综述。项目全年预算数55.97万元，执行数为55.97万元，完成预算的100%。通过将法制公园游步道破损基础修复铺装塑胶路面后，提升游客观光步行的舒适度，不断提升城市环境品质，为全面推动全县旅游产业高质量发展打下了坚实的基础。发现的主要问题：由于施工过程中需对游步道进行封闭施工，影响群众正常出行。下一步改进措施：督促施工单位加快施工进度，减小对群众出行的影响。</w:t>
      </w:r>
    </w:p>
    <w:p w14:paraId="488E66EB">
      <w:pPr>
        <w:spacing w:line="560" w:lineRule="exact"/>
        <w:ind w:firstLine="640" w:firstLineChars="200"/>
        <w:rPr>
          <w:rStyle w:val="18"/>
          <w:rFonts w:eastAsia="仿宋_GB2312"/>
          <w:b w:val="0"/>
          <w:sz w:val="32"/>
          <w:szCs w:val="32"/>
        </w:rPr>
      </w:pPr>
      <w:r>
        <w:rPr>
          <w:rStyle w:val="18"/>
          <w:rFonts w:hint="eastAsia" w:eastAsia="仿宋_GB2312"/>
          <w:b w:val="0"/>
          <w:bCs w:val="0"/>
          <w:sz w:val="32"/>
          <w:szCs w:val="32"/>
        </w:rPr>
        <w:t>（2）</w:t>
      </w:r>
      <w:r>
        <w:rPr>
          <w:rStyle w:val="18"/>
          <w:rFonts w:hint="eastAsia" w:eastAsia="仿宋_GB2312"/>
          <w:b w:val="0"/>
          <w:sz w:val="32"/>
          <w:szCs w:val="32"/>
        </w:rPr>
        <w:t>“米易县商业步行街提升打造项目”绩效目标完成情况综述。项目全年预算数43.90万元，执行数为43.90万元，完成预算的100%。通过项目实施，进一步完善商业步行街基础设施，及时补齐基础设施不健全、功能配套品质不高等短板，不断提升城市环境品质，为全面推动全县旅游产业高质量发展打下了坚实的基础。发现的主要问题：施工过程中建筑材料堆放不规范，部分施工人员在施工过程中存在安全意识淡薄等情况。下一步改进措施：在后期各类项目中严格要求施工单位规范施工，加强安全教育。</w:t>
      </w:r>
    </w:p>
    <w:p w14:paraId="6C209516">
      <w:pPr>
        <w:numPr>
          <w:ilvl w:val="0"/>
          <w:numId w:val="0"/>
        </w:numPr>
        <w:spacing w:line="560" w:lineRule="exact"/>
        <w:ind w:firstLine="640" w:firstLineChars="200"/>
      </w:pPr>
      <w:r>
        <w:rPr>
          <w:rStyle w:val="18"/>
          <w:rFonts w:hint="eastAsia" w:eastAsia="仿宋_GB2312"/>
          <w:b w:val="0"/>
          <w:bCs w:val="0"/>
          <w:sz w:val="32"/>
          <w:szCs w:val="32"/>
        </w:rPr>
        <w:t>（</w:t>
      </w:r>
      <w:r>
        <w:rPr>
          <w:rStyle w:val="18"/>
          <w:rFonts w:hint="eastAsia" w:eastAsia="仿宋_GB2312"/>
          <w:b w:val="0"/>
          <w:bCs w:val="0"/>
          <w:sz w:val="32"/>
          <w:szCs w:val="32"/>
          <w:lang w:val="en-US" w:eastAsia="zh-CN"/>
        </w:rPr>
        <w:t>3</w:t>
      </w:r>
      <w:r>
        <w:rPr>
          <w:rStyle w:val="18"/>
          <w:rFonts w:hint="eastAsia" w:eastAsia="仿宋_GB2312"/>
          <w:b w:val="0"/>
          <w:bCs w:val="0"/>
          <w:sz w:val="32"/>
          <w:szCs w:val="32"/>
        </w:rPr>
        <w:t>）</w:t>
      </w:r>
      <w:r>
        <w:rPr>
          <w:rFonts w:hint="eastAsia" w:ascii="仿宋_GB2312" w:hAnsi="仿宋_GB2312" w:eastAsia="仿宋_GB2312" w:cs="仿宋_GB2312"/>
          <w:sz w:val="32"/>
          <w:szCs w:val="32"/>
        </w:rPr>
        <w:t>“米易县城区第三轮绿化养护市场化采购招标项目”绩效目标完成情况综述。项目全年（2021年11月-2022年10月）预算数1084.62万元，执行数为1084.62万元，完成预算的100%。通过项目实施，为国家园林城市、全国文明城市、天府旅游名县等金字招牌助力添彩，切实保障城市景观效果，提升园林绿化品质，进一步增强城市居民生活幸福感、获得感、满足感。</w:t>
      </w:r>
    </w:p>
    <w:p w14:paraId="7EA618CB">
      <w:pPr>
        <w:numPr>
          <w:ilvl w:val="0"/>
          <w:numId w:val="0"/>
        </w:numPr>
        <w:spacing w:line="560" w:lineRule="exact"/>
        <w:ind w:firstLine="640" w:firstLineChars="200"/>
        <w:rPr>
          <w:rFonts w:ascii="仿宋_GB2312" w:hAnsi="仿宋_GB2312" w:eastAsia="仿宋_GB2312" w:cs="仿宋_GB2312"/>
          <w:sz w:val="32"/>
          <w:szCs w:val="32"/>
        </w:rPr>
      </w:pPr>
      <w:r>
        <w:rPr>
          <w:rStyle w:val="18"/>
          <w:rFonts w:hint="eastAsia" w:eastAsia="仿宋_GB2312"/>
          <w:b w:val="0"/>
          <w:bCs w:val="0"/>
          <w:sz w:val="32"/>
          <w:szCs w:val="32"/>
        </w:rPr>
        <w:t>（</w:t>
      </w:r>
      <w:r>
        <w:rPr>
          <w:rStyle w:val="18"/>
          <w:rFonts w:hint="eastAsia" w:eastAsia="仿宋_GB2312"/>
          <w:b w:val="0"/>
          <w:bCs w:val="0"/>
          <w:sz w:val="32"/>
          <w:szCs w:val="32"/>
          <w:lang w:val="en-US" w:eastAsia="zh-CN"/>
        </w:rPr>
        <w:t>4</w:t>
      </w:r>
      <w:r>
        <w:rPr>
          <w:rStyle w:val="18"/>
          <w:rFonts w:hint="eastAsia" w:eastAsia="仿宋_GB2312"/>
          <w:b w:val="0"/>
          <w:bCs w:val="0"/>
          <w:sz w:val="32"/>
          <w:szCs w:val="32"/>
        </w:rPr>
        <w:t>）</w:t>
      </w:r>
      <w:r>
        <w:rPr>
          <w:rFonts w:hint="eastAsia" w:ascii="仿宋_GB2312" w:hAnsi="仿宋_GB2312" w:eastAsia="仿宋_GB2312" w:cs="仿宋_GB2312"/>
          <w:sz w:val="32"/>
          <w:szCs w:val="32"/>
        </w:rPr>
        <w:t>“米易县城区环卫清扫保洁市场化项目”项目绩效目标完成情况综述。项目全年预算数646.92万元，执行数为646.92万元，完成预算的100%，完成县城区作业</w:t>
      </w:r>
      <w:r>
        <w:rPr>
          <w:rFonts w:hint="eastAsia" w:ascii="仿宋_GB2312" w:hAnsi="仿宋_GB2312" w:eastAsia="仿宋_GB2312" w:cs="仿宋_GB2312"/>
          <w:kern w:val="0"/>
          <w:sz w:val="32"/>
          <w:szCs w:val="32"/>
        </w:rPr>
        <w:t>面积960757.23平方米，湖面面积149500平方米，免费公厕13座的清扫保洁，垃圾无害化处理率100%。</w:t>
      </w:r>
      <w:r>
        <w:rPr>
          <w:rFonts w:hint="eastAsia" w:ascii="仿宋_GB2312" w:hAnsi="仿宋_GB2312" w:eastAsia="仿宋_GB2312" w:cs="仿宋_GB2312"/>
          <w:sz w:val="32"/>
          <w:szCs w:val="32"/>
        </w:rPr>
        <w:t>通过项目实施，有效</w:t>
      </w:r>
      <w:r>
        <w:rPr>
          <w:rFonts w:hint="eastAsia" w:ascii="仿宋_GB2312" w:hAnsi="仿宋_GB2312" w:eastAsia="仿宋_GB2312" w:cs="仿宋_GB2312"/>
          <w:sz w:val="32"/>
          <w:szCs w:val="32"/>
          <w:lang w:val="zh-CN"/>
        </w:rPr>
        <w:t>提升了</w:t>
      </w:r>
      <w:r>
        <w:rPr>
          <w:rFonts w:hint="eastAsia" w:ascii="仿宋_GB2312" w:hAnsi="仿宋_GB2312" w:eastAsia="仿宋_GB2312" w:cs="仿宋_GB2312"/>
          <w:sz w:val="32"/>
          <w:szCs w:val="32"/>
        </w:rPr>
        <w:t>米易</w:t>
      </w:r>
      <w:r>
        <w:rPr>
          <w:rFonts w:hint="eastAsia" w:ascii="仿宋_GB2312" w:hAnsi="仿宋_GB2312" w:eastAsia="仿宋_GB2312" w:cs="仿宋_GB2312"/>
          <w:sz w:val="32"/>
          <w:szCs w:val="32"/>
          <w:lang w:val="zh-CN"/>
        </w:rPr>
        <w:t>城市形象，为荣获“国家园林城市”、“全国文明城市”、“天府旅游名县”</w:t>
      </w:r>
      <w:r>
        <w:rPr>
          <w:rFonts w:hint="eastAsia" w:ascii="仿宋_GB2312" w:hAnsi="仿宋_GB2312" w:eastAsia="仿宋_GB2312" w:cs="仿宋_GB2312"/>
          <w:sz w:val="32"/>
          <w:szCs w:val="32"/>
        </w:rPr>
        <w:t>及巩固“国家卫生县城”</w:t>
      </w:r>
      <w:r>
        <w:rPr>
          <w:rFonts w:hint="eastAsia" w:ascii="仿宋_GB2312" w:hAnsi="仿宋_GB2312" w:eastAsia="仿宋_GB2312" w:cs="仿宋_GB2312"/>
          <w:sz w:val="32"/>
          <w:szCs w:val="32"/>
          <w:lang w:val="zh-CN"/>
        </w:rPr>
        <w:t>等各项殊荣做出了贡献。</w:t>
      </w:r>
      <w:r>
        <w:rPr>
          <w:rFonts w:hint="eastAsia" w:ascii="仿宋_GB2312" w:hAnsi="仿宋_GB2312" w:eastAsia="仿宋_GB2312" w:cs="仿宋_GB2312"/>
          <w:sz w:val="32"/>
          <w:szCs w:val="32"/>
        </w:rPr>
        <w:t>有效</w:t>
      </w:r>
      <w:r>
        <w:rPr>
          <w:rFonts w:hint="eastAsia" w:ascii="仿宋_GB2312" w:hAnsi="仿宋_GB2312" w:eastAsia="仿宋_GB2312" w:cs="仿宋_GB2312"/>
          <w:sz w:val="32"/>
          <w:szCs w:val="32"/>
          <w:lang w:val="zh-CN"/>
        </w:rPr>
        <w:t>提高了米易的知名度。优化了生态环境，带动了第三产业的发展</w:t>
      </w:r>
      <w:r>
        <w:rPr>
          <w:rFonts w:hint="eastAsia" w:ascii="仿宋_GB2312" w:hAnsi="仿宋_GB2312" w:eastAsia="仿宋_GB2312" w:cs="仿宋_GB2312"/>
          <w:sz w:val="32"/>
          <w:szCs w:val="32"/>
        </w:rPr>
        <w:t>。主要问题：存在清扫保洁与垃圾清运、绿化管护交叉区域的责任认定问题。下一步改进措施：在新一轮环卫市场化项目中将生活垃圾清扫保洁、垃圾清运整体纳入环卫市场化统筹管理。</w:t>
      </w:r>
    </w:p>
    <w:p w14:paraId="4E175E5B">
      <w:pPr>
        <w:numPr>
          <w:ilvl w:val="0"/>
          <w:numId w:val="0"/>
        </w:numPr>
        <w:spacing w:line="560" w:lineRule="exact"/>
        <w:ind w:firstLine="640" w:firstLineChars="200"/>
        <w:rPr>
          <w:rFonts w:ascii="仿宋_GB2312" w:hAnsi="仿宋_GB2312" w:eastAsia="仿宋_GB2312" w:cs="仿宋_GB2312"/>
          <w:sz w:val="32"/>
          <w:szCs w:val="32"/>
          <w:lang w:val="zh-CN"/>
        </w:rPr>
      </w:pPr>
      <w:r>
        <w:rPr>
          <w:rStyle w:val="18"/>
          <w:rFonts w:hint="eastAsia" w:eastAsia="仿宋_GB2312"/>
          <w:b w:val="0"/>
          <w:bCs w:val="0"/>
          <w:sz w:val="32"/>
          <w:szCs w:val="32"/>
        </w:rPr>
        <w:t>（</w:t>
      </w:r>
      <w:r>
        <w:rPr>
          <w:rStyle w:val="18"/>
          <w:rFonts w:hint="eastAsia" w:eastAsia="仿宋_GB2312"/>
          <w:b w:val="0"/>
          <w:bCs w:val="0"/>
          <w:sz w:val="32"/>
          <w:szCs w:val="32"/>
          <w:lang w:val="en-US" w:eastAsia="zh-CN"/>
        </w:rPr>
        <w:t>5</w:t>
      </w:r>
      <w:r>
        <w:rPr>
          <w:rStyle w:val="18"/>
          <w:rFonts w:hint="eastAsia" w:eastAsia="仿宋_GB2312"/>
          <w:b w:val="0"/>
          <w:bCs w:val="0"/>
          <w:sz w:val="32"/>
          <w:szCs w:val="32"/>
        </w:rPr>
        <w:t>）</w:t>
      </w:r>
      <w:r>
        <w:rPr>
          <w:rFonts w:hint="eastAsia" w:ascii="仿宋_GB2312" w:hAnsi="仿宋_GB2312" w:eastAsia="仿宋_GB2312" w:cs="仿宋_GB2312"/>
          <w:sz w:val="32"/>
          <w:szCs w:val="32"/>
        </w:rPr>
        <w:t>米易县城乡环卫一体化（县城区域第三轮环卫市场化）公开招标采购项目（2022年4月-12月）绩效目标完成情况综述。项目全年预算数1247.34万元，执行数为1247.34万元，完成预算的100%，米易县城区第三轮环卫清扫保洁市场化每月考核得分均合格，完成县城区环卫作业面积136.055万平方米，河道及湖面面积48.8万平方米，公厕23座的清扫保洁，县城区生活垃圾收运量15118吨，转运城乡生活垃圾至攀枝花旺能环保科技有限公司处置量29301.9吨，生活垃圾无害化处理率100%。项目的实施，提升了米易城市形象、优化了生态环境，带动了第三产业的发展。</w:t>
      </w:r>
      <w:r>
        <w:rPr>
          <w:rFonts w:hint="eastAsia" w:ascii="仿宋_GB2312" w:hAnsi="仿宋_GB2312" w:eastAsia="仿宋_GB2312" w:cs="仿宋_GB2312"/>
          <w:sz w:val="32"/>
          <w:szCs w:val="32"/>
          <w:lang w:val="zh-CN"/>
        </w:rPr>
        <w:t>为</w:t>
      </w:r>
      <w:r>
        <w:rPr>
          <w:rFonts w:hint="eastAsia" w:ascii="仿宋_GB2312" w:hAnsi="仿宋_GB2312" w:eastAsia="仿宋_GB2312" w:cs="仿宋_GB2312"/>
          <w:sz w:val="32"/>
          <w:szCs w:val="32"/>
        </w:rPr>
        <w:t>米易县创建</w:t>
      </w:r>
      <w:r>
        <w:rPr>
          <w:rFonts w:hint="eastAsia" w:ascii="仿宋_GB2312" w:hAnsi="仿宋_GB2312" w:eastAsia="仿宋_GB2312" w:cs="仿宋_GB2312"/>
          <w:sz w:val="32"/>
          <w:szCs w:val="32"/>
          <w:lang w:val="zh-CN"/>
        </w:rPr>
        <w:t>“全国文明城市”、“天府旅游名县”</w:t>
      </w:r>
      <w:r>
        <w:rPr>
          <w:rFonts w:hint="eastAsia" w:ascii="仿宋_GB2312" w:hAnsi="仿宋_GB2312" w:eastAsia="仿宋_GB2312" w:cs="仿宋_GB2312"/>
          <w:sz w:val="32"/>
          <w:szCs w:val="32"/>
        </w:rPr>
        <w:t>及巩固“国家卫生县城”</w:t>
      </w:r>
      <w:r>
        <w:rPr>
          <w:rFonts w:hint="eastAsia" w:ascii="仿宋_GB2312" w:hAnsi="仿宋_GB2312" w:eastAsia="仿宋_GB2312" w:cs="仿宋_GB2312"/>
          <w:sz w:val="32"/>
          <w:szCs w:val="32"/>
          <w:lang w:val="zh-CN"/>
        </w:rPr>
        <w:t>等各项殊荣做出了贡献。</w:t>
      </w:r>
      <w:r>
        <w:rPr>
          <w:rFonts w:hint="eastAsia" w:ascii="仿宋_GB2312" w:hAnsi="仿宋_GB2312" w:eastAsia="仿宋_GB2312" w:cs="仿宋_GB2312"/>
          <w:sz w:val="32"/>
          <w:szCs w:val="32"/>
        </w:rPr>
        <w:t>同时，提高了城区环卫机械化作业水平，降低环卫工人劳动强度和作业交通安全风险，有效</w:t>
      </w:r>
      <w:r>
        <w:rPr>
          <w:rFonts w:hint="eastAsia" w:ascii="仿宋_GB2312" w:hAnsi="仿宋_GB2312" w:eastAsia="仿宋_GB2312" w:cs="仿宋_GB2312"/>
          <w:sz w:val="32"/>
          <w:szCs w:val="32"/>
          <w:lang w:val="zh-CN"/>
        </w:rPr>
        <w:t>提高了米易的知名度。</w:t>
      </w:r>
    </w:p>
    <w:p w14:paraId="7213EACB">
      <w:pPr>
        <w:pStyle w:val="2"/>
        <w:spacing w:before="93"/>
        <w:rPr>
          <w:rFonts w:ascii="Times New Roman"/>
          <w:sz w:val="32"/>
          <w:szCs w:val="32"/>
        </w:rPr>
      </w:pPr>
      <w:bookmarkStart w:id="51" w:name="_Toc15377225"/>
      <w:bookmarkStart w:id="52" w:name="_Toc15396613"/>
    </w:p>
    <w:p w14:paraId="3AE9F09B">
      <w:pPr>
        <w:numPr>
          <w:ilvl w:val="0"/>
          <w:numId w:val="4"/>
        </w:numPr>
        <w:spacing w:line="600" w:lineRule="exact"/>
        <w:ind w:firstLine="660" w:firstLineChars="150"/>
        <w:jc w:val="center"/>
        <w:outlineLvl w:val="0"/>
        <w:rPr>
          <w:rStyle w:val="29"/>
          <w:rFonts w:ascii="黑体" w:hAnsi="黑体" w:eastAsia="黑体"/>
          <w:b w:val="0"/>
        </w:rPr>
      </w:pPr>
      <w:r>
        <w:rPr>
          <w:rFonts w:hint="eastAsia" w:ascii="黑体" w:hAnsi="黑体" w:eastAsia="黑体"/>
          <w:sz w:val="44"/>
          <w:szCs w:val="44"/>
        </w:rPr>
        <w:t>名</w:t>
      </w:r>
      <w:r>
        <w:rPr>
          <w:rStyle w:val="29"/>
          <w:rFonts w:hint="eastAsia" w:ascii="黑体" w:hAnsi="黑体" w:eastAsia="黑体"/>
          <w:b w:val="0"/>
        </w:rPr>
        <w:t>词解释</w:t>
      </w:r>
      <w:bookmarkEnd w:id="51"/>
      <w:bookmarkEnd w:id="52"/>
    </w:p>
    <w:p w14:paraId="2242E2D4">
      <w:pPr>
        <w:spacing w:line="600" w:lineRule="exact"/>
        <w:jc w:val="left"/>
        <w:rPr>
          <w:rFonts w:ascii="宋体"/>
          <w:b/>
          <w:sz w:val="44"/>
          <w:szCs w:val="44"/>
        </w:rPr>
      </w:pPr>
    </w:p>
    <w:p w14:paraId="2735BE42">
      <w:pPr>
        <w:pStyle w:val="20"/>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1.财政拨款收入：指单位从同级财政部门取得的财政预算资金。 </w:t>
      </w:r>
    </w:p>
    <w:p w14:paraId="5281B88D">
      <w:pPr>
        <w:pStyle w:val="20"/>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2.年初结转和结余：指以前年度尚未完成、结转到本年按有关规定继续使用的资金。 </w:t>
      </w:r>
    </w:p>
    <w:p w14:paraId="2634799F">
      <w:pPr>
        <w:pStyle w:val="20"/>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3.年末结转和结余：指单位按有关规定结转到下年或以后年度继续使用的资金。</w:t>
      </w:r>
    </w:p>
    <w:p w14:paraId="0E56150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4.一般公共服务（类）发展与改革事务（款）一般行政管理事务（项）：指反映行政单位（包括实行公务员管理的事业单位）未单独设置项级科目的其他项目支出。</w:t>
      </w:r>
    </w:p>
    <w:p w14:paraId="190A4B2F">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5.社会保障和就业支出（类）行政事业单位养老支出（款）行政单位离退休（项）：反映行政单位（包括实行公务员管理的事业单位）开支的离退休经费。</w:t>
      </w:r>
    </w:p>
    <w:p w14:paraId="68772454">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6.社会保障和就业支出（类）行政事业单位养老支出（款）机关事业单位基本养老保险缴费支出（项）：反映机关事业单位实施养老保险制度由单位缴纳的基本养老保险费支出。</w:t>
      </w:r>
    </w:p>
    <w:p w14:paraId="05A9C3D8">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7.社会保障和就业支出（类）行政事业单位养老支出（款） 机关事业单位职业年金缴费支出（项）：反映机关事业单位实施养老保险制度由单位实际缴纳的职业年金支出。</w:t>
      </w:r>
    </w:p>
    <w:p w14:paraId="5D8746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卫生健康支出（类）行政事业单位医疗（款）行政单位医疗（项）:指反映财政部门安排的行政单位(包括实行公务员管理的事业单位)基本医疗保险缴费经费，未参加医疗保险的行政单位的公费医疗经费，按国家规定享受离休人员、红军老战士待遇人员的医疗经费。</w:t>
      </w:r>
    </w:p>
    <w:p w14:paraId="06CEC584">
      <w:pPr>
        <w:spacing w:line="560" w:lineRule="exact"/>
        <w:ind w:firstLine="640" w:firstLineChars="200"/>
        <w:rPr>
          <w:rFonts w:ascii="仿宋_GB2312" w:hAnsi="仿宋_GB2312" w:eastAsia="仿宋_GB2312" w:cs="仿宋_GB2312"/>
          <w:color w:val="000000"/>
          <w:sz w:val="32"/>
        </w:rPr>
      </w:pPr>
      <w:r>
        <w:rPr>
          <w:rFonts w:hint="eastAsia" w:ascii="仿宋_GB2312" w:hAnsi="仿宋_GB2312" w:eastAsia="仿宋_GB2312" w:cs="仿宋_GB2312"/>
          <w:color w:val="000000"/>
          <w:sz w:val="32"/>
        </w:rPr>
        <w:t>9.卫生健康支出（类）行政事业单位医疗（款）公务员医疗补助（项）: 指财政部门安排的公务员医疗补助经费。</w:t>
      </w:r>
    </w:p>
    <w:p w14:paraId="709D567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10.节能环保支出（类）自然生态保护（款）其他自然生态保护支出（项）：</w:t>
      </w:r>
      <w:r>
        <w:rPr>
          <w:rFonts w:hint="eastAsia" w:ascii="仿宋_GB2312" w:hAnsi="仿宋_GB2312" w:eastAsia="仿宋_GB2312" w:cs="仿宋_GB2312"/>
          <w:color w:val="000000"/>
          <w:sz w:val="32"/>
        </w:rPr>
        <w:t>指除生态保护、农村环境保护、生物及物种资源保护、草原生态修复治理、自然保护地项目以外其他用于自然生态保护方面的支出</w:t>
      </w:r>
      <w:r>
        <w:rPr>
          <w:rFonts w:hint="eastAsia" w:ascii="仿宋_GB2312" w:hAnsi="仿宋_GB2312" w:eastAsia="仿宋_GB2312" w:cs="仿宋_GB2312"/>
          <w:sz w:val="32"/>
          <w:szCs w:val="32"/>
        </w:rPr>
        <w:t>。</w:t>
      </w:r>
    </w:p>
    <w:p w14:paraId="19E2921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11.城乡社区支出（类）城乡社区管理事务（款）行政运行（项）：指反映行政单位（包括实行公务员管理的事业单位）的基本支出。</w:t>
      </w:r>
    </w:p>
    <w:p w14:paraId="1C6FBE4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12.城乡社区支出（类）城乡社区管理事务（款） 一般行政管理事务（项）：指反映行政单位（包括实行公务员管理的事业单位）未单独设置项级科目的其他项目支出。</w:t>
      </w:r>
    </w:p>
    <w:p w14:paraId="3257310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城乡社区支出（类）城乡社区管理事务（款）其他城乡社区管理事务支出（项）：指除行政运行、一般行政管理事务、机关服务、城管执法、工程建设标准规范编制与监管、工程建设管理、市政公用行业市场监管、住宅建设与房地产市场监管、执业资格注册、资质审查项目以外其他用于城乡社区公共设施方面的支出。</w:t>
      </w:r>
    </w:p>
    <w:p w14:paraId="769D7678">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sz w:val="32"/>
          <w:szCs w:val="32"/>
        </w:rPr>
        <w:t>14.城乡社区支出（类）城乡社区环境卫生（款）城乡社区环境卫生（项）：指反映城乡社区道路清扫、垃圾清运与处理、公厕建设与维护、园林绿化等方面的支出。</w:t>
      </w:r>
    </w:p>
    <w:p w14:paraId="03D2E4B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15.城乡社区支出（类）国有土地使用权出让收入安排的支出（款）土地开发支出（项）：指反映新疆生产建设兵团和地方政府用于前期土地开发性支出以及与前期土地开发相关的费用等支出。</w:t>
      </w:r>
    </w:p>
    <w:p w14:paraId="7E800D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16.城乡社区支出（类）城市基础设施配套费安排的支出（款）城市环境卫生（项）：指反映城市基础设施配套费安排用于道路清扫、垃圾清运与处理、污水处理、园林绿化等方面的支出。</w:t>
      </w:r>
    </w:p>
    <w:p w14:paraId="72DBAB4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17.城乡社区支出（类）污水处理费安排的支出（款）其他污水处理费安排的支出（项）：指反映用污水处理费安排的其他支出。</w:t>
      </w:r>
    </w:p>
    <w:p w14:paraId="2484D52F">
      <w:pPr>
        <w:pStyle w:val="2"/>
        <w:spacing w:beforeLines="0" w:line="560" w:lineRule="exact"/>
        <w:ind w:firstLine="640" w:firstLineChars="200"/>
        <w:rPr>
          <w:rFonts w:hAnsi="仿宋_GB2312" w:cs="仿宋_GB2312"/>
          <w:sz w:val="32"/>
          <w:szCs w:val="32"/>
        </w:rPr>
      </w:pPr>
      <w:r>
        <w:rPr>
          <w:rFonts w:hint="eastAsia" w:hAnsi="仿宋_GB2312" w:cs="仿宋_GB2312"/>
          <w:sz w:val="32"/>
          <w:szCs w:val="32"/>
        </w:rPr>
        <w:t>18.农林水支出（类）其他农林水支出（款）其他农林水支出（项）：指反映除化解债务支出以外其他用于农林水方面的支出。</w:t>
      </w:r>
    </w:p>
    <w:p w14:paraId="0774D87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19.住房保障支出（类）住房改革支出（款）住房公积金（项）：指反映行政事业单位按人力资源和社会保障部、财政部规定的基本工资和津贴补贴以及规定比例为职工缴纳的住房公积金。</w:t>
      </w:r>
    </w:p>
    <w:p w14:paraId="24A01DF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20.灾害防治及应急管理支出（类）应急管理事务（款）灾害风险防治（项）：指反映组织、指导、协调各类风险灾害防范治理方面的支出。</w:t>
      </w:r>
    </w:p>
    <w:p w14:paraId="065F5B3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21.基本支出：指为保障机构正常运转、完成日常工作任务而发生的人员支出和公用支出。</w:t>
      </w:r>
    </w:p>
    <w:p w14:paraId="441C65C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22.项目支出：指在基本支出之外为完成特定行政任务和事业发展目标所发生的支出。 </w:t>
      </w:r>
    </w:p>
    <w:p w14:paraId="39B9C316">
      <w:pPr>
        <w:pStyle w:val="20"/>
        <w:spacing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96C2FC9">
      <w:pPr>
        <w:pStyle w:val="20"/>
        <w:spacing w:line="560" w:lineRule="exact"/>
        <w:ind w:firstLine="640" w:firstLineChars="200"/>
        <w:jc w:val="left"/>
        <w:rPr>
          <w:rFonts w:ascii="Times New Roman" w:hAnsi="Times New Roman" w:eastAsia="方正小标宋简体" w:cs="Times New Roman"/>
          <w:color w:val="auto"/>
          <w:kern w:val="2"/>
          <w:sz w:val="44"/>
          <w:szCs w:val="44"/>
        </w:rPr>
      </w:pPr>
      <w:r>
        <w:rPr>
          <w:rFonts w:hint="eastAsia" w:ascii="仿宋_GB2312" w:hAnsi="仿宋_GB2312" w:eastAsia="仿宋_GB2312" w:cs="仿宋_GB2312"/>
          <w:color w:val="auto"/>
          <w:sz w:val="32"/>
          <w:szCs w:val="32"/>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3" w:name="_Toc15377226"/>
      <w:r>
        <w:rPr>
          <w:rFonts w:ascii="宋体"/>
          <w:b/>
          <w:color w:val="auto"/>
          <w:sz w:val="44"/>
          <w:szCs w:val="44"/>
        </w:rPr>
        <w:br w:type="page"/>
      </w:r>
      <w:bookmarkStart w:id="54" w:name="_Toc15396614"/>
      <w:r>
        <w:rPr>
          <w:rFonts w:hint="eastAsia" w:ascii="Times New Roman" w:hAnsi="Times New Roman" w:eastAsia="方正小标宋简体" w:cs="Times New Roman"/>
          <w:color w:val="auto"/>
          <w:kern w:val="2"/>
          <w:sz w:val="44"/>
          <w:szCs w:val="44"/>
        </w:rPr>
        <w:t>第四部分 附件</w:t>
      </w:r>
      <w:bookmarkEnd w:id="54"/>
    </w:p>
    <w:p w14:paraId="27629AD0">
      <w:pPr>
        <w:spacing w:line="560" w:lineRule="exact"/>
        <w:jc w:val="left"/>
        <w:outlineLvl w:val="0"/>
        <w:rPr>
          <w:rFonts w:eastAsia="黑体"/>
          <w:sz w:val="32"/>
          <w:szCs w:val="32"/>
        </w:rPr>
      </w:pPr>
      <w:r>
        <w:rPr>
          <w:rFonts w:hint="eastAsia" w:eastAsia="黑体"/>
          <w:sz w:val="32"/>
          <w:szCs w:val="32"/>
        </w:rPr>
        <w:t>附件1</w:t>
      </w:r>
    </w:p>
    <w:p w14:paraId="5812CA74">
      <w:pPr>
        <w:widowControl/>
        <w:spacing w:line="560" w:lineRule="exact"/>
        <w:contextualSpacing/>
        <w:jc w:val="center"/>
        <w:rPr>
          <w:rFonts w:ascii="方正小标宋_GBK" w:hAnsi="方正小标宋_GBK" w:eastAsia="方正小标宋_GBK" w:cs="方正小标宋_GBK"/>
          <w:bCs/>
          <w:sz w:val="44"/>
          <w:szCs w:val="44"/>
          <w:shd w:val="clear" w:color="auto" w:fill="FFFFFF"/>
        </w:rPr>
      </w:pPr>
      <w:r>
        <w:rPr>
          <w:rFonts w:hint="eastAsia" w:ascii="方正小标宋_GBK" w:hAnsi="方正小标宋_GBK" w:eastAsia="方正小标宋_GBK" w:cs="方正小标宋_GBK"/>
          <w:bCs/>
          <w:sz w:val="44"/>
          <w:szCs w:val="44"/>
          <w:shd w:val="clear" w:color="auto" w:fill="FFFFFF"/>
        </w:rPr>
        <w:t>米易县综合行政执法局</w:t>
      </w:r>
    </w:p>
    <w:p w14:paraId="35A021F3">
      <w:pPr>
        <w:widowControl/>
        <w:spacing w:line="560" w:lineRule="exact"/>
        <w:contextualSpacing/>
        <w:jc w:val="center"/>
        <w:rPr>
          <w:rFonts w:ascii="方正小标宋_GBK" w:hAnsi="方正小标宋_GBK" w:eastAsia="方正小标宋_GBK" w:cs="方正小标宋_GBK"/>
          <w:bCs/>
          <w:sz w:val="44"/>
          <w:szCs w:val="44"/>
          <w:shd w:val="clear" w:color="auto" w:fill="FFFFFF"/>
        </w:rPr>
      </w:pPr>
      <w:r>
        <w:rPr>
          <w:rFonts w:hint="eastAsia" w:ascii="方正小标宋_GBK" w:hAnsi="方正小标宋_GBK" w:eastAsia="方正小标宋_GBK" w:cs="方正小标宋_GBK"/>
          <w:bCs/>
          <w:sz w:val="44"/>
          <w:szCs w:val="44"/>
          <w:shd w:val="clear" w:color="auto" w:fill="FFFFFF"/>
        </w:rPr>
        <w:t>2022年部门整体绩效评价报告</w:t>
      </w:r>
    </w:p>
    <w:p w14:paraId="1AEA0E14">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14:paraId="7B2454BC">
      <w:pPr>
        <w:widowControl/>
        <w:adjustRightInd w:val="0"/>
        <w:snapToGrid w:val="0"/>
        <w:spacing w:line="560" w:lineRule="exact"/>
        <w:ind w:firstLine="640" w:firstLineChars="200"/>
        <w:rPr>
          <w:rFonts w:eastAsia="黑体"/>
          <w:color w:val="000000"/>
          <w:kern w:val="0"/>
          <w:sz w:val="32"/>
          <w:szCs w:val="32"/>
          <w:shd w:val="clear" w:color="auto" w:fill="FFFFFF"/>
          <w:lang w:val="zh-CN"/>
        </w:rPr>
      </w:pPr>
      <w:r>
        <w:rPr>
          <w:rFonts w:hint="eastAsia" w:eastAsia="黑体"/>
          <w:color w:val="000000"/>
          <w:kern w:val="0"/>
          <w:sz w:val="32"/>
          <w:szCs w:val="32"/>
          <w:shd w:val="clear" w:color="auto" w:fill="FFFFFF"/>
        </w:rPr>
        <w:t>一、</w:t>
      </w:r>
      <w:r>
        <w:rPr>
          <w:rFonts w:hint="eastAsia" w:eastAsia="黑体"/>
          <w:color w:val="000000"/>
          <w:kern w:val="0"/>
          <w:sz w:val="32"/>
          <w:szCs w:val="32"/>
          <w:shd w:val="clear" w:color="auto" w:fill="FFFFFF"/>
          <w:lang w:val="zh-CN"/>
        </w:rPr>
        <w:t>部门（单位）基本情况</w:t>
      </w:r>
    </w:p>
    <w:p w14:paraId="3CCF177C">
      <w:pPr>
        <w:widowControl/>
        <w:snapToGrid w:val="0"/>
        <w:spacing w:line="560" w:lineRule="exact"/>
        <w:ind w:firstLine="640"/>
        <w:jc w:val="left"/>
        <w:rPr>
          <w:rFonts w:ascii="方正楷体_GB2312" w:hAnsi="方正楷体_GB2312" w:eastAsia="方正楷体_GB2312" w:cs="方正楷体_GB2312"/>
          <w:bCs/>
          <w:kern w:val="0"/>
          <w:sz w:val="32"/>
          <w:szCs w:val="32"/>
          <w:lang w:val="zh-CN"/>
        </w:rPr>
      </w:pPr>
      <w:r>
        <w:rPr>
          <w:rFonts w:hint="eastAsia" w:ascii="方正楷体_GB2312" w:hAnsi="方正楷体_GB2312" w:eastAsia="方正楷体_GB2312" w:cs="方正楷体_GB2312"/>
          <w:bCs/>
          <w:kern w:val="0"/>
          <w:sz w:val="32"/>
          <w:szCs w:val="32"/>
          <w:lang w:val="zh-CN"/>
        </w:rPr>
        <w:t>（</w:t>
      </w:r>
      <w:r>
        <w:rPr>
          <w:rFonts w:hint="eastAsia" w:ascii="方正楷体_GB2312" w:hAnsi="方正楷体_GB2312" w:eastAsia="方正楷体_GB2312" w:cs="方正楷体_GB2312"/>
          <w:bCs/>
          <w:kern w:val="0"/>
          <w:sz w:val="32"/>
          <w:szCs w:val="32"/>
        </w:rPr>
        <w:t>一</w:t>
      </w:r>
      <w:r>
        <w:rPr>
          <w:rFonts w:hint="eastAsia" w:ascii="方正楷体_GB2312" w:hAnsi="方正楷体_GB2312" w:eastAsia="方正楷体_GB2312" w:cs="方正楷体_GB2312"/>
          <w:bCs/>
          <w:kern w:val="0"/>
          <w:sz w:val="32"/>
          <w:szCs w:val="32"/>
          <w:lang w:val="zh-CN"/>
        </w:rPr>
        <w:t>）机构组成。</w:t>
      </w:r>
    </w:p>
    <w:p w14:paraId="15447EF3">
      <w:pPr>
        <w:spacing w:line="560" w:lineRule="exact"/>
        <w:ind w:firstLine="640" w:firstLineChars="200"/>
        <w:rPr>
          <w:rFonts w:eastAsia="仿宋_GB2312"/>
          <w:sz w:val="32"/>
          <w:szCs w:val="32"/>
          <w:lang w:val="zh-CN"/>
        </w:rPr>
      </w:pPr>
      <w:r>
        <w:rPr>
          <w:rFonts w:eastAsia="仿宋_GB2312"/>
          <w:sz w:val="32"/>
          <w:szCs w:val="32"/>
          <w:lang w:val="zh-CN"/>
        </w:rPr>
        <w:t>2019年3月25日，</w:t>
      </w:r>
      <w:r>
        <w:rPr>
          <w:rFonts w:eastAsia="仿宋_GB2312"/>
          <w:sz w:val="32"/>
          <w:szCs w:val="32"/>
        </w:rPr>
        <w:t>根据</w:t>
      </w:r>
      <w:r>
        <w:rPr>
          <w:rFonts w:eastAsia="仿宋_GB2312"/>
          <w:color w:val="000000"/>
          <w:kern w:val="0"/>
          <w:sz w:val="32"/>
          <w:szCs w:val="32"/>
        </w:rPr>
        <w:t>《中共米易县委办公室米易县人民政府办公室关于印发</w:t>
      </w:r>
      <w:r>
        <w:rPr>
          <w:rFonts w:eastAsia="仿宋_GB2312"/>
          <w:sz w:val="32"/>
          <w:szCs w:val="32"/>
        </w:rPr>
        <w:t>〈</w:t>
      </w:r>
      <w:r>
        <w:rPr>
          <w:rFonts w:eastAsia="仿宋_GB2312"/>
          <w:color w:val="000000"/>
          <w:kern w:val="0"/>
          <w:sz w:val="32"/>
          <w:szCs w:val="32"/>
        </w:rPr>
        <w:t>米易县综合行政执法局职能配置、内设机构和人员编制规定</w:t>
      </w:r>
      <w:r>
        <w:rPr>
          <w:rFonts w:eastAsia="仿宋_GB2312"/>
          <w:sz w:val="32"/>
          <w:szCs w:val="32"/>
        </w:rPr>
        <w:t>〉</w:t>
      </w:r>
      <w:r>
        <w:rPr>
          <w:rFonts w:eastAsia="仿宋_GB2312"/>
          <w:color w:val="000000"/>
          <w:kern w:val="0"/>
          <w:sz w:val="32"/>
          <w:szCs w:val="32"/>
        </w:rPr>
        <w:t>的通知》（米委办发〔2019〕25号），</w:t>
      </w:r>
      <w:r>
        <w:rPr>
          <w:rFonts w:eastAsia="仿宋_GB2312"/>
          <w:sz w:val="32"/>
          <w:szCs w:val="32"/>
          <w:lang w:val="zh-CN"/>
        </w:rPr>
        <w:t>米易县综合行政执法局（简称县综合执法局）是米易县人民政府工作部门，为正科级，加挂县城市管理局（简称县城管局）牌子。米易县综合行政执法局贯彻落实党中央关于推进综合行政执法和城市管理工作的方针政策和省委、市委、县委的决策部署，在履行职责过程中坚持并加强党对综合行政执法和城市管理工作的集中统一领导。县综合行政执法局行政编制5名。其中，局长1名，副局长2名（不含兼职），内设机构领导职数2名。机关后勤服务人员控制数（机关后勤事业编制）1名。</w:t>
      </w:r>
    </w:p>
    <w:p w14:paraId="0D80521C">
      <w:pPr>
        <w:spacing w:line="560" w:lineRule="exact"/>
        <w:ind w:firstLine="640" w:firstLineChars="200"/>
        <w:rPr>
          <w:rFonts w:eastAsia="仿宋_GB2312"/>
          <w:sz w:val="32"/>
          <w:szCs w:val="32"/>
          <w:lang w:val="zh-CN"/>
        </w:rPr>
      </w:pPr>
      <w:r>
        <w:rPr>
          <w:rFonts w:eastAsia="仿宋_GB2312"/>
          <w:sz w:val="32"/>
          <w:szCs w:val="32"/>
          <w:lang w:val="zh-CN"/>
        </w:rPr>
        <w:t>2019年6月4日,根据</w:t>
      </w:r>
      <w:r>
        <w:rPr>
          <w:rFonts w:eastAsia="仿宋_GB2312"/>
          <w:color w:val="000000"/>
          <w:kern w:val="0"/>
          <w:sz w:val="32"/>
          <w:szCs w:val="32"/>
        </w:rPr>
        <w:t>《</w:t>
      </w:r>
      <w:r>
        <w:rPr>
          <w:rFonts w:eastAsia="仿宋_GB2312"/>
          <w:sz w:val="32"/>
          <w:szCs w:val="32"/>
          <w:lang w:val="zh-CN"/>
        </w:rPr>
        <w:t>中共米易县委机构编制委员会关于调整米易县城市管理局有关机构编制事项的通知</w:t>
      </w:r>
      <w:r>
        <w:rPr>
          <w:rFonts w:eastAsia="仿宋_GB2312"/>
          <w:color w:val="000000"/>
          <w:kern w:val="0"/>
          <w:sz w:val="32"/>
          <w:szCs w:val="32"/>
        </w:rPr>
        <w:t>》</w:t>
      </w:r>
      <w:r>
        <w:rPr>
          <w:rFonts w:eastAsia="仿宋_GB2312"/>
          <w:sz w:val="32"/>
          <w:szCs w:val="32"/>
          <w:lang w:val="zh-CN"/>
        </w:rPr>
        <w:t>（米编发〔2019〕14号）,根据《米易县机构改革方案》（米委发〔2019〕2号）和《关于&lt;米易县机构改革方案&gt;的实施意见》（米机改〔2019〕2号），经县委编委会议研究，并报市委编委批复，将原作为县政府直属事业单位设置的米易县城市管理局更名为米易县城市公用事业服务中心，为县政府直属公益一类事业单位，由县综合行政执法局代管。米易县城市公用事业服务中心主要职责：承担城市绿化、保洁等城市公用事业服务及相关事务性工作。单位参照公务员法管理、机构规格为正科级、事业编制27名、领导职数1正2副不变。</w:t>
      </w:r>
    </w:p>
    <w:p w14:paraId="54CA714D">
      <w:pPr>
        <w:spacing w:line="560" w:lineRule="exact"/>
        <w:ind w:firstLine="640" w:firstLineChars="200"/>
        <w:rPr>
          <w:rFonts w:eastAsia="方正楷体简体"/>
          <w:b/>
          <w:kern w:val="0"/>
          <w:sz w:val="32"/>
          <w:szCs w:val="32"/>
          <w:lang w:val="zh-CN"/>
        </w:rPr>
      </w:pPr>
      <w:r>
        <w:rPr>
          <w:rFonts w:eastAsia="仿宋_GB2312"/>
          <w:sz w:val="32"/>
          <w:szCs w:val="32"/>
          <w:lang w:val="zh-CN"/>
        </w:rPr>
        <w:t>2020年8月5日，根据米编发〔2020〕15号，在县综合行政执法局（县城市管理局）增设内设机构“行政执法监督股”，挂“米易县城市管理综合行政执法大队”牌子。核定人员参照公务员法管理的事业编制15名（从县城市公用事业服务中心连人带编制划转）。增设内设机构领导数1名。调整后，县城市公用事业服务中心人员参照公务员法管理的事业编制为12名。</w:t>
      </w:r>
    </w:p>
    <w:p w14:paraId="071D664C">
      <w:pPr>
        <w:spacing w:line="560" w:lineRule="exact"/>
        <w:ind w:firstLine="640" w:firstLineChars="200"/>
        <w:rPr>
          <w:rFonts w:eastAsia="仿宋_GB2312"/>
          <w:sz w:val="32"/>
          <w:szCs w:val="32"/>
        </w:rPr>
      </w:pPr>
      <w:r>
        <w:rPr>
          <w:rFonts w:eastAsia="仿宋_GB2312"/>
          <w:kern w:val="0"/>
          <w:sz w:val="32"/>
          <w:szCs w:val="32"/>
        </w:rPr>
        <w:t>县综合执法局</w:t>
      </w:r>
      <w:r>
        <w:rPr>
          <w:rFonts w:eastAsia="仿宋_GB2312"/>
          <w:sz w:val="32"/>
          <w:szCs w:val="32"/>
        </w:rPr>
        <w:t>下属二级预算单位0个，其中行政单位0个，参照公务员法管理的事业单位</w:t>
      </w:r>
      <w:r>
        <w:rPr>
          <w:rFonts w:eastAsia="仿宋_GB2312"/>
          <w:bCs/>
          <w:sz w:val="32"/>
          <w:szCs w:val="32"/>
        </w:rPr>
        <w:t>0</w:t>
      </w:r>
      <w:r>
        <w:rPr>
          <w:rFonts w:eastAsia="仿宋_GB2312"/>
          <w:sz w:val="32"/>
          <w:szCs w:val="32"/>
        </w:rPr>
        <w:t>个，其他事业单位0个。</w:t>
      </w:r>
    </w:p>
    <w:p w14:paraId="3AA5F649">
      <w:pPr>
        <w:pStyle w:val="2"/>
        <w:adjustRightInd w:val="0"/>
        <w:snapToGrid w:val="0"/>
        <w:spacing w:before="93" w:line="560" w:lineRule="exact"/>
        <w:ind w:firstLine="640" w:firstLineChars="200"/>
        <w:rPr>
          <w:rFonts w:ascii="Times New Roman"/>
          <w:sz w:val="32"/>
          <w:szCs w:val="32"/>
        </w:rPr>
      </w:pPr>
      <w:r>
        <w:rPr>
          <w:rFonts w:ascii="Times New Roman"/>
          <w:sz w:val="32"/>
          <w:szCs w:val="32"/>
        </w:rPr>
        <w:t>纳入县综合执法局2022年度部门决算编制范围的二级预算单位包括：无</w:t>
      </w:r>
    </w:p>
    <w:p w14:paraId="5BFF736D">
      <w:pPr>
        <w:pStyle w:val="2"/>
        <w:adjustRightInd w:val="0"/>
        <w:snapToGrid w:val="0"/>
        <w:spacing w:before="93" w:line="560" w:lineRule="exact"/>
        <w:ind w:firstLine="640" w:firstLineChars="200"/>
        <w:rPr>
          <w:rFonts w:ascii="Times New Roman"/>
          <w:sz w:val="32"/>
          <w:szCs w:val="32"/>
        </w:rPr>
      </w:pPr>
      <w:r>
        <w:rPr>
          <w:rFonts w:ascii="Times New Roman"/>
          <w:sz w:val="32"/>
          <w:szCs w:val="32"/>
        </w:rPr>
        <w:t xml:space="preserve">纳入县综合执法局2022年度部门决算编制范围的二级单位包括：米易县城市公用事业服务中心 </w:t>
      </w:r>
    </w:p>
    <w:p w14:paraId="52020F0F">
      <w:pPr>
        <w:widowControl/>
        <w:numPr>
          <w:ilvl w:val="0"/>
          <w:numId w:val="5"/>
        </w:numPr>
        <w:adjustRightInd w:val="0"/>
        <w:snapToGrid w:val="0"/>
        <w:spacing w:line="560" w:lineRule="exact"/>
        <w:ind w:firstLine="640" w:firstLineChars="200"/>
        <w:rPr>
          <w:rFonts w:ascii="方正楷体_GB2312" w:hAnsi="方正楷体_GB2312" w:eastAsia="方正楷体_GB2312" w:cs="方正楷体_GB2312"/>
          <w:color w:val="000000"/>
          <w:kern w:val="0"/>
          <w:sz w:val="32"/>
          <w:szCs w:val="32"/>
          <w:shd w:val="clear" w:color="auto" w:fill="FFFFFF"/>
          <w:lang w:val="zh-CN"/>
        </w:rPr>
      </w:pPr>
      <w:r>
        <w:rPr>
          <w:rFonts w:hint="eastAsia" w:ascii="方正楷体_GB2312" w:hAnsi="方正楷体_GB2312" w:eastAsia="方正楷体_GB2312" w:cs="方正楷体_GB2312"/>
          <w:color w:val="000000"/>
          <w:kern w:val="0"/>
          <w:sz w:val="32"/>
          <w:szCs w:val="32"/>
          <w:shd w:val="clear" w:color="auto" w:fill="FFFFFF"/>
          <w:lang w:val="zh-CN"/>
        </w:rPr>
        <w:t>机构职能和人员概况。</w:t>
      </w:r>
    </w:p>
    <w:p w14:paraId="357A115A">
      <w:pPr>
        <w:widowControl/>
        <w:numPr>
          <w:ilvl w:val="0"/>
          <w:numId w:val="6"/>
        </w:numPr>
        <w:snapToGrid w:val="0"/>
        <w:spacing w:line="560" w:lineRule="exact"/>
        <w:ind w:firstLine="964" w:firstLineChars="300"/>
        <w:rPr>
          <w:rFonts w:eastAsia="仿宋_GB2312"/>
          <w:b/>
          <w:color w:val="000000"/>
          <w:sz w:val="32"/>
          <w:szCs w:val="32"/>
          <w:shd w:val="clear" w:color="auto" w:fill="FFFFFF"/>
        </w:rPr>
      </w:pPr>
      <w:r>
        <w:rPr>
          <w:rFonts w:hint="eastAsia" w:eastAsia="仿宋_GB2312"/>
          <w:b/>
          <w:color w:val="000000"/>
          <w:sz w:val="32"/>
          <w:szCs w:val="32"/>
          <w:shd w:val="clear" w:color="auto" w:fill="FFFFFF"/>
        </w:rPr>
        <w:t>主要职能。</w:t>
      </w:r>
    </w:p>
    <w:p w14:paraId="6B062AF7">
      <w:pPr>
        <w:spacing w:line="560" w:lineRule="exact"/>
        <w:ind w:firstLine="640" w:firstLineChars="200"/>
        <w:jc w:val="left"/>
        <w:rPr>
          <w:rFonts w:eastAsia="仿宋_GB2312"/>
          <w:kern w:val="0"/>
          <w:sz w:val="32"/>
          <w:szCs w:val="32"/>
        </w:rPr>
      </w:pPr>
      <w:r>
        <w:rPr>
          <w:rFonts w:eastAsia="仿宋_GB2312"/>
          <w:kern w:val="0"/>
          <w:sz w:val="32"/>
          <w:szCs w:val="32"/>
        </w:rPr>
        <w:t>（一）宣传、贯彻、执行国家和省、市、县关于开展综合行政执法工作及市容环卫、园林绿化的法律、法规、方针、政策，治理和维护城市管理秩序。参与拟订城市管理地方性法规、规章草案。拟订综合行政执法和城市管理发展规划、实施计划、管理标准、工作目标并组织实施。</w:t>
      </w:r>
    </w:p>
    <w:p w14:paraId="4A9E9C08">
      <w:pPr>
        <w:spacing w:line="560" w:lineRule="exact"/>
        <w:ind w:firstLine="640" w:firstLineChars="200"/>
        <w:jc w:val="left"/>
        <w:rPr>
          <w:rFonts w:eastAsia="仿宋_GB2312"/>
          <w:kern w:val="0"/>
          <w:sz w:val="32"/>
          <w:szCs w:val="32"/>
        </w:rPr>
      </w:pPr>
      <w:r>
        <w:rPr>
          <w:rFonts w:eastAsia="仿宋_GB2312"/>
          <w:kern w:val="0"/>
          <w:sz w:val="32"/>
          <w:szCs w:val="32"/>
        </w:rPr>
        <w:t>（二）负责城市管理的行政执法工作。集中行使市容环境卫生管理、城市绿化管理、公用事业管理方面的行政处罚权。根据省、市、县部署和要求，推进城市执法体制改革，改进城市管理工作。根据授权，负责组织指导、统筹协调、监督检查、综合考评各乡镇的城乡管理综合行政执法工作。</w:t>
      </w:r>
    </w:p>
    <w:p w14:paraId="283BD5F4">
      <w:pPr>
        <w:spacing w:line="560" w:lineRule="exact"/>
        <w:ind w:firstLine="640" w:firstLineChars="200"/>
        <w:jc w:val="left"/>
        <w:rPr>
          <w:rFonts w:eastAsia="仿宋_GB2312"/>
          <w:kern w:val="0"/>
          <w:sz w:val="32"/>
          <w:szCs w:val="32"/>
        </w:rPr>
      </w:pPr>
      <w:r>
        <w:rPr>
          <w:rFonts w:eastAsia="仿宋_GB2312"/>
          <w:kern w:val="0"/>
          <w:sz w:val="32"/>
          <w:szCs w:val="32"/>
        </w:rPr>
        <w:t>（三）会同城乡规划主管部门编制城市市容环卫、园林绿化等各项专业规划，参与城市建设项目设计方案、初步设计的审查。</w:t>
      </w:r>
    </w:p>
    <w:p w14:paraId="5A44FCC9">
      <w:pPr>
        <w:spacing w:line="560" w:lineRule="exact"/>
        <w:ind w:firstLine="640" w:firstLineChars="200"/>
        <w:jc w:val="left"/>
        <w:rPr>
          <w:rFonts w:eastAsia="仿宋_GB2312"/>
          <w:kern w:val="0"/>
          <w:sz w:val="32"/>
          <w:szCs w:val="32"/>
        </w:rPr>
      </w:pPr>
      <w:r>
        <w:rPr>
          <w:rFonts w:eastAsia="仿宋_GB2312"/>
          <w:kern w:val="0"/>
          <w:sz w:val="32"/>
          <w:szCs w:val="32"/>
        </w:rPr>
        <w:t>（四）负责城市市容环境卫生综合管理工作。依法对市容环境卫生实施监督检查和考核。负责环境卫生作业企业的行业管理。负责城市建成区户外广告和招牌的监督管理。</w:t>
      </w:r>
    </w:p>
    <w:p w14:paraId="56682381">
      <w:pPr>
        <w:spacing w:line="560" w:lineRule="exact"/>
        <w:ind w:firstLine="640" w:firstLineChars="200"/>
        <w:jc w:val="left"/>
        <w:rPr>
          <w:rFonts w:eastAsia="仿宋_GB2312"/>
          <w:kern w:val="0"/>
          <w:sz w:val="32"/>
          <w:szCs w:val="32"/>
        </w:rPr>
      </w:pPr>
      <w:r>
        <w:rPr>
          <w:rFonts w:eastAsia="仿宋_GB2312"/>
          <w:kern w:val="0"/>
          <w:sz w:val="32"/>
          <w:szCs w:val="32"/>
        </w:rPr>
        <w:t>（五）负责全县城市市容环卫、园林绿化等基础设施的管理和有关的行政许可工作。参与临时占用城市道路的机动车、非机动车停车场（点）的规划定点工作。</w:t>
      </w:r>
    </w:p>
    <w:p w14:paraId="6B5B7691">
      <w:pPr>
        <w:spacing w:line="560" w:lineRule="exact"/>
        <w:ind w:firstLine="640" w:firstLineChars="200"/>
        <w:jc w:val="left"/>
        <w:rPr>
          <w:rFonts w:eastAsia="仿宋_GB2312"/>
          <w:kern w:val="0"/>
          <w:sz w:val="32"/>
          <w:szCs w:val="32"/>
        </w:rPr>
      </w:pPr>
      <w:r>
        <w:rPr>
          <w:rFonts w:eastAsia="仿宋_GB2312"/>
          <w:kern w:val="0"/>
          <w:sz w:val="32"/>
          <w:szCs w:val="32"/>
        </w:rPr>
        <w:t>（六）负责全县城市绿化监督管理工作。负责对规划区内城市园林绿化行业的管理、业务指导、培训、督促和检查。参与城市园林绿化管理标准和城市园林绿化建设工程有关管理规范的制定。负责城市建成区城市主干道道路两侧的行道树及其附属公共绿地的管理。负责城市规划区古树名木的保护管理工作。负责对权限内园林绿化企业监督管理工作。</w:t>
      </w:r>
    </w:p>
    <w:p w14:paraId="7B0F72BB">
      <w:pPr>
        <w:spacing w:line="560" w:lineRule="exact"/>
        <w:ind w:firstLine="640" w:firstLineChars="200"/>
        <w:jc w:val="left"/>
        <w:rPr>
          <w:rFonts w:eastAsia="仿宋_GB2312"/>
          <w:kern w:val="0"/>
          <w:sz w:val="32"/>
          <w:szCs w:val="32"/>
        </w:rPr>
      </w:pPr>
      <w:r>
        <w:rPr>
          <w:rFonts w:eastAsia="仿宋_GB2312"/>
          <w:kern w:val="0"/>
          <w:sz w:val="32"/>
          <w:szCs w:val="32"/>
        </w:rPr>
        <w:t>（七）负责燃气行业综合管理工作。拟订燃气行业发展规划并组织实施。监督指导燃气经营单位落实行业规范、标准。监督指导燃气工程建设及备案工作。</w:t>
      </w:r>
    </w:p>
    <w:p w14:paraId="4C86DB75">
      <w:pPr>
        <w:spacing w:line="560" w:lineRule="exact"/>
        <w:ind w:firstLine="640" w:firstLineChars="200"/>
        <w:jc w:val="left"/>
        <w:rPr>
          <w:rFonts w:eastAsia="仿宋_GB2312"/>
          <w:kern w:val="0"/>
          <w:sz w:val="32"/>
          <w:szCs w:val="32"/>
        </w:rPr>
      </w:pPr>
      <w:r>
        <w:rPr>
          <w:rFonts w:eastAsia="仿宋_GB2312"/>
          <w:kern w:val="0"/>
          <w:sz w:val="32"/>
          <w:szCs w:val="32"/>
        </w:rPr>
        <w:t>（八）负推进数字化城市管理和信息化建设。</w:t>
      </w:r>
    </w:p>
    <w:p w14:paraId="067110B8">
      <w:pPr>
        <w:spacing w:line="560" w:lineRule="exact"/>
        <w:ind w:firstLine="640" w:firstLineChars="200"/>
        <w:jc w:val="left"/>
        <w:rPr>
          <w:rFonts w:eastAsia="仿宋_GB2312"/>
          <w:kern w:val="0"/>
          <w:sz w:val="32"/>
          <w:szCs w:val="32"/>
        </w:rPr>
      </w:pPr>
      <w:r>
        <w:rPr>
          <w:rFonts w:eastAsia="仿宋_GB2312"/>
          <w:kern w:val="0"/>
          <w:sz w:val="32"/>
          <w:szCs w:val="32"/>
        </w:rPr>
        <w:t>（九）会同财政部门拟订城市管理维护和综合行政执法经费的中长期规划和年度计划，并组织实施和监管使用。</w:t>
      </w:r>
    </w:p>
    <w:p w14:paraId="461D639D">
      <w:pPr>
        <w:spacing w:line="560" w:lineRule="exact"/>
        <w:ind w:firstLine="640" w:firstLineChars="200"/>
        <w:jc w:val="left"/>
        <w:rPr>
          <w:rFonts w:eastAsia="仿宋_GB2312"/>
          <w:kern w:val="0"/>
          <w:sz w:val="32"/>
          <w:szCs w:val="32"/>
        </w:rPr>
      </w:pPr>
      <w:r>
        <w:rPr>
          <w:rFonts w:eastAsia="仿宋_GB2312"/>
          <w:kern w:val="0"/>
          <w:sz w:val="32"/>
          <w:szCs w:val="32"/>
        </w:rPr>
        <w:t>（十）参与城市新建、改（扩）建项目中涉及市容环境卫生、园林绿化建设项目的规划、方案审查、综合验收。</w:t>
      </w:r>
    </w:p>
    <w:p w14:paraId="473D8252">
      <w:pPr>
        <w:spacing w:line="560" w:lineRule="exact"/>
        <w:ind w:firstLine="640" w:firstLineChars="200"/>
        <w:jc w:val="left"/>
        <w:rPr>
          <w:rFonts w:eastAsia="仿宋_GB2312"/>
          <w:kern w:val="0"/>
          <w:sz w:val="32"/>
          <w:szCs w:val="32"/>
        </w:rPr>
      </w:pPr>
      <w:r>
        <w:rPr>
          <w:rFonts w:eastAsia="仿宋_GB2312"/>
          <w:kern w:val="0"/>
          <w:sz w:val="32"/>
          <w:szCs w:val="32"/>
        </w:rPr>
        <w:t>（十一）承担职责范围内的安全生产和职业健康、生态环境保护、审批服务便民化等工作。</w:t>
      </w:r>
    </w:p>
    <w:p w14:paraId="5A7E798D">
      <w:pPr>
        <w:spacing w:line="560" w:lineRule="exact"/>
        <w:ind w:firstLine="640" w:firstLineChars="200"/>
        <w:jc w:val="left"/>
        <w:rPr>
          <w:rFonts w:eastAsia="仿宋_GB2312"/>
          <w:kern w:val="0"/>
          <w:sz w:val="32"/>
          <w:szCs w:val="32"/>
        </w:rPr>
      </w:pPr>
      <w:r>
        <w:rPr>
          <w:rFonts w:eastAsia="仿宋_GB2312"/>
          <w:kern w:val="0"/>
          <w:sz w:val="32"/>
          <w:szCs w:val="32"/>
        </w:rPr>
        <w:t>（十二）完成县委、县政府交办的其他任务。</w:t>
      </w:r>
    </w:p>
    <w:p w14:paraId="07764B98">
      <w:pPr>
        <w:spacing w:line="560" w:lineRule="exact"/>
        <w:ind w:firstLine="640" w:firstLineChars="200"/>
        <w:jc w:val="left"/>
        <w:rPr>
          <w:rFonts w:eastAsia="仿宋_GB2312"/>
          <w:kern w:val="0"/>
          <w:sz w:val="32"/>
          <w:szCs w:val="32"/>
        </w:rPr>
      </w:pPr>
      <w:r>
        <w:rPr>
          <w:rFonts w:eastAsia="仿宋_GB2312"/>
          <w:kern w:val="0"/>
          <w:sz w:val="32"/>
          <w:szCs w:val="32"/>
        </w:rPr>
        <w:t>（十三）职能转变。1.根据“放管服”改革和政府职能转变的要求，精简审批环节，优化项目报建审批流程，推动“最多跑一次”“互联网+政务服务”等改革事项取得重大突破。参与并联审批、联合勘验、联合测绘、联合审图、联合验收以及区域评估。推动审批服务理念、制度、作风全方位深层次变革，最大限度提高企业和群众办事便捷性。推进线上线下深度融合。运用大数据精准分析和评估审批服务办件情况，有针对性地改进办理流程，让办事更便捷、服务更优质。以审批智能化、服务自助化、办事移动化为重点，整合实体大厅、网上平台、移动客户端、自助终端、服务热线等，建立统一的政务咨询投诉举报平台，实现线上线下功能互补、融合发展。加快水、气等服务领域改革，引入社会竞争，强化行业监管和社会监督，解决办事手续繁、效率低问题，提高服务质量。压缩办水办气时间，推动取消申请费、手续费等收费。2.综合行政执法的职权划转根据法律、法规、规章规定执行，职权划转需根据省政府批准的行政执法职权划转目录实施的，以政府公告为准执行。3.统筹推进承担行政职能的事业单位改革。作为政府直属事业单位设置的县城管局不再承担城市管理职责，相关行政职能交由县综合执法局有关内设机构承担。</w:t>
      </w:r>
    </w:p>
    <w:p w14:paraId="3FD97618">
      <w:pPr>
        <w:spacing w:line="560" w:lineRule="exact"/>
        <w:ind w:firstLine="640" w:firstLineChars="200"/>
        <w:jc w:val="left"/>
        <w:rPr>
          <w:rFonts w:eastAsia="仿宋_GB2312"/>
          <w:kern w:val="0"/>
          <w:sz w:val="32"/>
          <w:szCs w:val="32"/>
        </w:rPr>
      </w:pPr>
      <w:r>
        <w:rPr>
          <w:rFonts w:eastAsia="仿宋_GB2312"/>
          <w:kern w:val="0"/>
          <w:sz w:val="32"/>
          <w:szCs w:val="32"/>
        </w:rPr>
        <w:t>（十四）行政处罚权划转后有关职责分工。有关行政处罚权划转后，原行政管理部门的行业监管主体责任不变，继续履行管理事项的日常监督检查、监测、违法行政发现等行政管理职能。城市管理综合行政执法部门实时将执行行政处罚或行政强制的情况反馈相关部门，实现末端执法与源头治理有机结合。</w:t>
      </w:r>
    </w:p>
    <w:p w14:paraId="61400D41">
      <w:pPr>
        <w:widowControl/>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县城市公用事业服务中心主要职能：承担城市绿化、保洁等城市公用事业服务及相关事务性工作。</w:t>
      </w:r>
    </w:p>
    <w:p w14:paraId="222C7976">
      <w:pPr>
        <w:widowControl/>
        <w:numPr>
          <w:ilvl w:val="0"/>
          <w:numId w:val="6"/>
        </w:numPr>
        <w:snapToGrid w:val="0"/>
        <w:spacing w:line="560" w:lineRule="exact"/>
        <w:ind w:firstLine="964" w:firstLineChars="300"/>
        <w:rPr>
          <w:rFonts w:eastAsia="仿宋_GB2312"/>
          <w:b/>
          <w:color w:val="000000"/>
          <w:sz w:val="32"/>
          <w:szCs w:val="32"/>
          <w:shd w:val="clear" w:color="auto" w:fill="FFFFFF"/>
        </w:rPr>
      </w:pPr>
      <w:r>
        <w:rPr>
          <w:rFonts w:hint="eastAsia" w:eastAsia="仿宋_GB2312"/>
          <w:b/>
          <w:color w:val="000000"/>
          <w:sz w:val="32"/>
          <w:szCs w:val="32"/>
          <w:shd w:val="clear" w:color="auto" w:fill="FFFFFF"/>
        </w:rPr>
        <w:t>人员概况。</w:t>
      </w:r>
    </w:p>
    <w:p w14:paraId="3F44D1E3">
      <w:pPr>
        <w:spacing w:line="560" w:lineRule="exact"/>
        <w:ind w:firstLine="640" w:firstLineChars="200"/>
        <w:rPr>
          <w:lang w:val="zh-CN"/>
        </w:rPr>
      </w:pPr>
      <w:r>
        <w:rPr>
          <w:rFonts w:eastAsia="仿宋_GB2312"/>
          <w:sz w:val="32"/>
          <w:szCs w:val="32"/>
          <w:lang w:val="zh-CN"/>
        </w:rPr>
        <w:t>米易县综合行政执法局（含米易县城市公用事业服务中心）2022年末实有人数111人，其中：公务员</w:t>
      </w:r>
      <w:r>
        <w:rPr>
          <w:rFonts w:hint="eastAsia" w:eastAsia="仿宋_GB2312"/>
          <w:sz w:val="32"/>
          <w:szCs w:val="32"/>
          <w:lang w:val="en-US" w:eastAsia="zh-CN"/>
        </w:rPr>
        <w:t>5</w:t>
      </w:r>
      <w:r>
        <w:rPr>
          <w:rFonts w:eastAsia="仿宋_GB2312"/>
          <w:sz w:val="32"/>
          <w:szCs w:val="32"/>
          <w:lang w:val="zh-CN"/>
        </w:rPr>
        <w:t>名，参照公务员法管理人员</w:t>
      </w:r>
      <w:r>
        <w:rPr>
          <w:rFonts w:hint="eastAsia" w:eastAsia="仿宋_GB2312"/>
          <w:sz w:val="32"/>
          <w:szCs w:val="32"/>
        </w:rPr>
        <w:t>2</w:t>
      </w:r>
      <w:r>
        <w:rPr>
          <w:rFonts w:hint="eastAsia" w:eastAsia="仿宋_GB2312"/>
          <w:sz w:val="32"/>
          <w:szCs w:val="32"/>
          <w:lang w:val="en-US" w:eastAsia="zh-CN"/>
        </w:rPr>
        <w:t>8</w:t>
      </w:r>
      <w:r>
        <w:rPr>
          <w:rFonts w:eastAsia="仿宋_GB2312"/>
          <w:sz w:val="32"/>
          <w:szCs w:val="32"/>
          <w:lang w:val="zh-CN"/>
        </w:rPr>
        <w:t>人，机关工勤人员2人，新聘工勤2人，临时聘用人员74人</w:t>
      </w:r>
      <w:r>
        <w:rPr>
          <w:rFonts w:hint="eastAsia" w:eastAsia="仿宋_GB2312"/>
          <w:sz w:val="32"/>
          <w:szCs w:val="32"/>
          <w:lang w:val="zh-CN"/>
        </w:rPr>
        <w:t>（</w:t>
      </w:r>
      <w:r>
        <w:rPr>
          <w:rFonts w:hint="eastAsia" w:ascii="仿宋_GB2312" w:hAnsi="仿宋_GB2312" w:eastAsia="仿宋_GB2312" w:cs="仿宋_GB2312"/>
          <w:sz w:val="32"/>
          <w:szCs w:val="32"/>
        </w:rPr>
        <w:t>包括城市监察协管员及电工等）</w:t>
      </w:r>
      <w:r>
        <w:rPr>
          <w:rFonts w:eastAsia="仿宋_GB2312"/>
          <w:sz w:val="32"/>
          <w:szCs w:val="32"/>
          <w:lang w:val="zh-CN"/>
        </w:rPr>
        <w:t>，退休人员11人。</w:t>
      </w:r>
    </w:p>
    <w:p w14:paraId="49934049">
      <w:pPr>
        <w:widowControl/>
        <w:numPr>
          <w:ilvl w:val="0"/>
          <w:numId w:val="5"/>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年度主要工作任务。</w:t>
      </w:r>
    </w:p>
    <w:p w14:paraId="00C3210A">
      <w:pPr>
        <w:spacing w:line="540" w:lineRule="exact"/>
        <w:ind w:firstLine="640" w:firstLineChars="200"/>
        <w:rPr>
          <w:rFonts w:eastAsia="仿宋_GB2312"/>
          <w:sz w:val="32"/>
          <w:szCs w:val="32"/>
        </w:rPr>
      </w:pPr>
      <w:r>
        <w:rPr>
          <w:rFonts w:hAnsi="仿宋_GB2312" w:eastAsia="仿宋_GB2312"/>
          <w:sz w:val="32"/>
          <w:szCs w:val="32"/>
        </w:rPr>
        <w:t>深入贯彻落实县委、县政府关于城市管理的决策部署，不断提高城市精细化管理水平，巩固提升全国文明城市、天府旅游名县创建成果，为打造更具活力的开放创新之城、更可持续的绿色智慧之城、更富魅力的美丽宜居之城、更有温度的文明幸福之城作出应有贡献。</w:t>
      </w:r>
    </w:p>
    <w:p w14:paraId="207CB1CC">
      <w:pPr>
        <w:spacing w:line="540" w:lineRule="exact"/>
        <w:ind w:firstLine="640" w:firstLineChars="200"/>
        <w:rPr>
          <w:rFonts w:eastAsia="仿宋_GB2312"/>
          <w:color w:val="000000"/>
          <w:kern w:val="0"/>
          <w:sz w:val="32"/>
          <w:szCs w:val="32"/>
          <w:lang w:bidi="ar"/>
        </w:rPr>
      </w:pPr>
      <w:r>
        <w:rPr>
          <w:rFonts w:hint="eastAsia" w:hAnsi="仿宋_GB2312"/>
          <w:color w:val="000000"/>
          <w:kern w:val="0"/>
          <w:sz w:val="32"/>
          <w:szCs w:val="32"/>
          <w:lang w:bidi="ar"/>
        </w:rPr>
        <w:t>1.</w:t>
      </w:r>
      <w:r>
        <w:rPr>
          <w:rFonts w:hAnsi="仿宋_GB2312" w:eastAsia="仿宋_GB2312"/>
          <w:color w:val="000000"/>
          <w:kern w:val="0"/>
          <w:sz w:val="32"/>
          <w:szCs w:val="32"/>
          <w:lang w:bidi="ar"/>
        </w:rPr>
        <w:t>环境卫生。一是巩固县城区环境卫生保障工作，完成环卫第三轮市场化项目和老旧公厕升级改造项目；指导餐厨垃圾产生单位规范处置餐厨垃圾。二是加强生活垃圾中转站管理，完成中转站渗滤液处置设备采购项目和中转站北侧边坡治理项目。三是推进城乡人居环境整治</w:t>
      </w:r>
      <w:r>
        <w:rPr>
          <w:rFonts w:hint="eastAsia" w:hAnsi="仿宋_GB2312" w:eastAsia="仿宋_GB2312"/>
          <w:color w:val="000000"/>
          <w:kern w:val="0"/>
          <w:sz w:val="32"/>
          <w:szCs w:val="32"/>
          <w:lang w:eastAsia="zh-CN" w:bidi="ar"/>
        </w:rPr>
        <w:t>，</w:t>
      </w:r>
      <w:r>
        <w:rPr>
          <w:rFonts w:hAnsi="仿宋_GB2312" w:eastAsia="仿宋_GB2312"/>
          <w:color w:val="000000"/>
          <w:kern w:val="0"/>
          <w:sz w:val="32"/>
          <w:szCs w:val="32"/>
          <w:lang w:bidi="ar"/>
        </w:rPr>
        <w:t>完善《农村生活垃圾治理长效机制》，深入农村开展暗访指导；完成铁路沿线安全环境整治任务，建立路地联勤机制。四是试点推进我县城乡垃圾分类工作，完善县城区及</w:t>
      </w:r>
      <w:r>
        <w:rPr>
          <w:rFonts w:eastAsia="仿宋_GB2312"/>
          <w:color w:val="000000"/>
          <w:kern w:val="0"/>
          <w:sz w:val="32"/>
          <w:szCs w:val="32"/>
          <w:lang w:bidi="ar"/>
        </w:rPr>
        <w:t>11</w:t>
      </w:r>
      <w:r>
        <w:rPr>
          <w:rFonts w:hAnsi="仿宋_GB2312" w:eastAsia="仿宋_GB2312"/>
          <w:color w:val="000000"/>
          <w:kern w:val="0"/>
          <w:sz w:val="32"/>
          <w:szCs w:val="32"/>
          <w:lang w:bidi="ar"/>
        </w:rPr>
        <w:t>个乡镇生活垃圾分类配套体系。</w:t>
      </w:r>
    </w:p>
    <w:p w14:paraId="2D7768B4">
      <w:pPr>
        <w:spacing w:line="540" w:lineRule="exact"/>
        <w:ind w:firstLine="640" w:firstLineChars="200"/>
        <w:rPr>
          <w:rFonts w:eastAsia="仿宋_GB2312"/>
          <w:color w:val="000000"/>
          <w:kern w:val="0"/>
          <w:sz w:val="32"/>
          <w:szCs w:val="32"/>
          <w:lang w:bidi="ar"/>
        </w:rPr>
      </w:pPr>
      <w:r>
        <w:rPr>
          <w:rFonts w:hint="eastAsia" w:hAnsi="仿宋_GB2312"/>
          <w:color w:val="000000"/>
          <w:kern w:val="0"/>
          <w:sz w:val="32"/>
          <w:szCs w:val="32"/>
          <w:lang w:bidi="ar"/>
        </w:rPr>
        <w:t>2.</w:t>
      </w:r>
      <w:r>
        <w:rPr>
          <w:rFonts w:hAnsi="仿宋_GB2312" w:eastAsia="仿宋_GB2312"/>
          <w:color w:val="000000"/>
          <w:kern w:val="0"/>
          <w:sz w:val="32"/>
          <w:szCs w:val="32"/>
          <w:lang w:bidi="ar"/>
        </w:rPr>
        <w:t>绿化养护。一是有序实施城区第三轮绿化养护市场化</w:t>
      </w:r>
      <w:r>
        <w:rPr>
          <w:rFonts w:eastAsia="仿宋_GB2312"/>
          <w:color w:val="000000"/>
          <w:kern w:val="0"/>
          <w:sz w:val="32"/>
          <w:szCs w:val="32"/>
          <w:lang w:bidi="ar"/>
        </w:rPr>
        <w:t>（2021年2月1日至2024年1月31日）。</w:t>
      </w:r>
      <w:r>
        <w:rPr>
          <w:rFonts w:hAnsi="仿宋_GB2312" w:eastAsia="仿宋_GB2312"/>
          <w:color w:val="000000"/>
          <w:kern w:val="0"/>
          <w:sz w:val="32"/>
          <w:szCs w:val="32"/>
          <w:lang w:bidi="ar"/>
        </w:rPr>
        <w:t>实行日常巡查、月度考核和其他检查考核相结合的方式，进一步加强对绿化管护公司市场化运作的监管，持续保障城区绿地养护效果。二是开展存量绿地更新。对存在功能退化，植物配置不合理和土壤板结严重等问题绿地进行更新，提升城区整体绿化景观效果。三是探索公园建管运营一体化。通过学习先进地区建管运一体化模式先进经验，结合学习经验讨论形成初步方案，根据米易实际完善方案，选择公园进行试点，阶段性总结试点经验逐步推广。四是积极开展园林细胞创建工作。积极推荐花园家庭、花园农家乐、花园单位、美丽街道参选园林细胞创建，并根据活动时间按时完成创建初审工作。五是完成重大节日鲜花氛围营造。完成</w:t>
      </w:r>
      <w:r>
        <w:rPr>
          <w:rFonts w:eastAsia="仿宋_GB2312"/>
          <w:color w:val="000000"/>
          <w:kern w:val="0"/>
          <w:sz w:val="32"/>
          <w:szCs w:val="32"/>
          <w:lang w:bidi="ar"/>
        </w:rPr>
        <w:t>2022</w:t>
      </w:r>
      <w:r>
        <w:rPr>
          <w:rFonts w:hAnsi="仿宋_GB2312" w:eastAsia="仿宋_GB2312"/>
          <w:color w:val="000000"/>
          <w:kern w:val="0"/>
          <w:sz w:val="32"/>
          <w:szCs w:val="32"/>
          <w:lang w:bidi="ar"/>
        </w:rPr>
        <w:t>年春节、五一、国庆等重大节日鲜花氛围营造工作。六是应用绿化废弃物资源化利用产品。继续探索绿化废弃物资源化利用米易模式，将资源化利用产生的有机基质广泛地应用到绿地中，改良土壤，增加土壤肥力。七是完成国家园林城市复审相关工作。八是完成县委、县政府交办的其他工作。</w:t>
      </w:r>
    </w:p>
    <w:p w14:paraId="24761A73">
      <w:pPr>
        <w:spacing w:line="540" w:lineRule="exact"/>
        <w:ind w:firstLine="640" w:firstLineChars="200"/>
        <w:rPr>
          <w:rFonts w:eastAsia="仿宋_GB2312"/>
          <w:color w:val="000000"/>
          <w:kern w:val="0"/>
          <w:sz w:val="32"/>
          <w:szCs w:val="32"/>
          <w:lang w:bidi="ar"/>
        </w:rPr>
      </w:pPr>
      <w:r>
        <w:rPr>
          <w:rFonts w:hint="eastAsia" w:hAnsi="仿宋_GB2312"/>
          <w:color w:val="000000"/>
          <w:kern w:val="0"/>
          <w:sz w:val="32"/>
          <w:szCs w:val="32"/>
          <w:lang w:bidi="ar"/>
        </w:rPr>
        <w:t>3.</w:t>
      </w:r>
      <w:r>
        <w:rPr>
          <w:rFonts w:hAnsi="仿宋_GB2312" w:eastAsia="仿宋_GB2312"/>
          <w:color w:val="000000"/>
          <w:kern w:val="0"/>
          <w:sz w:val="32"/>
          <w:szCs w:val="32"/>
          <w:lang w:bidi="ar"/>
        </w:rPr>
        <w:t>市容秩序。一是对存在的乱摆摊设点、流动摊点、占道经营、坐商不归店、乱牵乱挂、餐饮油烟设备检查、露天烧烤、沿街散发小广告、车辆带泥上路、摩托车上绿道骑行劝导、倚车售卖、各类违规户外广告等各种涉及城市管理违法违规行为进行纠正和查处；配合其他行政管理部门按照职责分工，开展城市管理专项整治，依法共同搞好城市管理执法工作。二是根据传统民俗节日和季节性水果上市时，在不影响行人通行的前提下，设置便民服务临时交易区。三是牵头负责全县</w:t>
      </w:r>
      <w:r>
        <w:rPr>
          <w:rFonts w:eastAsia="仿宋_GB2312"/>
          <w:color w:val="000000"/>
          <w:kern w:val="0"/>
          <w:sz w:val="32"/>
          <w:szCs w:val="32"/>
          <w:lang w:bidi="ar"/>
        </w:rPr>
        <w:t>12345</w:t>
      </w:r>
      <w:r>
        <w:rPr>
          <w:rFonts w:hAnsi="仿宋_GB2312" w:eastAsia="仿宋_GB2312"/>
          <w:color w:val="000000"/>
          <w:kern w:val="0"/>
          <w:sz w:val="32"/>
          <w:szCs w:val="32"/>
          <w:lang w:bidi="ar"/>
        </w:rPr>
        <w:t>政务服务热线的派件、督促处置、答复等工作。四是配合做好工程建设项目平台、一体化服务平台及行权责任清单的编制工作。做好店招店牌、户外广告、临时户外宣传、临时施工占道、拉运土方等审批工作</w:t>
      </w:r>
      <w:r>
        <w:rPr>
          <w:rFonts w:hint="eastAsia" w:hAnsi="仿宋_GB2312"/>
          <w:color w:val="000000"/>
          <w:kern w:val="0"/>
          <w:sz w:val="32"/>
          <w:szCs w:val="32"/>
          <w:lang w:bidi="ar"/>
        </w:rPr>
        <w:t>。</w:t>
      </w:r>
      <w:r>
        <w:rPr>
          <w:rFonts w:hAnsi="仿宋_GB2312" w:eastAsia="仿宋_GB2312"/>
          <w:color w:val="000000"/>
          <w:kern w:val="0"/>
          <w:sz w:val="32"/>
          <w:szCs w:val="32"/>
          <w:lang w:bidi="ar"/>
        </w:rPr>
        <w:t>五是积极做好脏车治理工作、信用体系建设工作和积极完成上级交给的各项工作任务及临时交办的各种迎检任务。</w:t>
      </w:r>
    </w:p>
    <w:p w14:paraId="6AE5E635">
      <w:pPr>
        <w:pStyle w:val="2"/>
        <w:spacing w:before="93"/>
        <w:ind w:firstLine="640" w:firstLineChars="200"/>
        <w:rPr>
          <w:lang w:val="zh-CN"/>
        </w:rPr>
      </w:pPr>
      <w:r>
        <w:rPr>
          <w:rFonts w:hint="eastAsia" w:hAnsi="仿宋_GB2312"/>
          <w:color w:val="000000"/>
          <w:sz w:val="32"/>
          <w:szCs w:val="32"/>
          <w:lang w:bidi="ar"/>
        </w:rPr>
        <w:t>4.</w:t>
      </w:r>
      <w:r>
        <w:rPr>
          <w:rFonts w:hAnsi="仿宋_GB2312"/>
          <w:color w:val="000000"/>
          <w:sz w:val="32"/>
          <w:szCs w:val="32"/>
          <w:lang w:bidi="ar"/>
        </w:rPr>
        <w:t>其他。完善城镇燃气安全管理制度机制，联合各职能部门加强燃气安全排查整治，推进老旧城区燃气改造。认真落实森林草原防灭火、新冠肺炎疫情防控、河（湖）长制联络单位巡查等工作要求，完成县委县政府交办的工作任务。</w:t>
      </w:r>
    </w:p>
    <w:p w14:paraId="1389C266">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（四）部门整体支出绩效目标。</w:t>
      </w:r>
    </w:p>
    <w:p w14:paraId="5A12276C">
      <w:pPr>
        <w:pStyle w:val="2"/>
        <w:adjustRightInd w:val="0"/>
        <w:snapToGrid w:val="0"/>
        <w:spacing w:before="93" w:line="560" w:lineRule="exact"/>
        <w:ind w:firstLine="672" w:firstLineChars="210"/>
        <w:rPr>
          <w:lang w:val="zh-CN"/>
        </w:rPr>
      </w:pPr>
      <w:r>
        <w:rPr>
          <w:rFonts w:hint="eastAsia" w:hAnsi="仿宋_GB2312" w:cs="仿宋_GB2312"/>
          <w:sz w:val="32"/>
          <w:szCs w:val="32"/>
        </w:rPr>
        <w:t>2022年，县综合执法局坚持以习近平新时代中国特色社会主义思想为指导，深入贯彻落实县委、县政府关于综合执法工作的决策部署，立足城市精细化管理职责，认真开展城市经营秩序、城乡生活垃圾治理、园林绿化管护和文明秩序维护等各项工作，全力做好全国文明城市巩固提升、重大活动保障，以实际行动维护好市民群众的生活环境，最大努力向外界展示生态、和谐、美丽的城市形象。</w:t>
      </w:r>
    </w:p>
    <w:p w14:paraId="5FCB740F">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14:paraId="14DD8396">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14:paraId="71A1A44B">
      <w:pPr>
        <w:widowControl/>
        <w:adjustRightInd w:val="0"/>
        <w:snapToGrid w:val="0"/>
        <w:spacing w:line="560" w:lineRule="exact"/>
        <w:ind w:firstLine="643" w:firstLineChars="200"/>
        <w:contextualSpacing/>
        <w:jc w:val="left"/>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1.部门总体收入情况。</w:t>
      </w:r>
    </w:p>
    <w:p w14:paraId="448FD940">
      <w:pPr>
        <w:spacing w:line="560" w:lineRule="exact"/>
        <w:ind w:firstLine="640" w:firstLineChars="200"/>
      </w:pPr>
      <w:r>
        <w:rPr>
          <w:rFonts w:eastAsia="仿宋_GB2312"/>
          <w:sz w:val="32"/>
          <w:szCs w:val="32"/>
          <w:lang w:val="zh-CN"/>
        </w:rPr>
        <w:t>2022年米易县综合行政执法局收入决算总额为5407.30万元，其中：一般公共预算财政拨款收入2383.16万元，政府性基金预算财政拨款收入1552.04万元，年初结转和结余1472.10万元。</w:t>
      </w:r>
    </w:p>
    <w:p w14:paraId="6447661C">
      <w:pPr>
        <w:widowControl/>
        <w:adjustRightInd w:val="0"/>
        <w:snapToGrid w:val="0"/>
        <w:spacing w:line="560" w:lineRule="exact"/>
        <w:ind w:firstLine="643" w:firstLineChars="200"/>
        <w:contextualSpacing/>
        <w:jc w:val="left"/>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2.部门总体支出情况。</w:t>
      </w:r>
    </w:p>
    <w:p w14:paraId="5D23B5BA">
      <w:pPr>
        <w:spacing w:line="560" w:lineRule="exact"/>
        <w:ind w:firstLine="640" w:firstLineChars="200"/>
        <w:rPr>
          <w:rFonts w:ascii="仿宋_GB2312" w:hAnsi="仿宋_GB2312" w:eastAsia="仿宋_GB2312" w:cs="仿宋_GB2312"/>
        </w:rPr>
      </w:pPr>
      <w:r>
        <w:rPr>
          <w:rFonts w:hint="eastAsia" w:ascii="仿宋_GB2312" w:hAnsi="仿宋_GB2312" w:eastAsia="仿宋_GB2312" w:cs="仿宋_GB2312"/>
          <w:sz w:val="32"/>
          <w:szCs w:val="32"/>
          <w:lang w:val="zh-CN"/>
        </w:rPr>
        <w:t>2022年支出合计5407.22万元，按支出功能分类构成为：一般公共服务支出1.95万元，文化旅游体育与传媒支出55.97万元，社会保障和就业支出58.28万元,卫生健康支出43.70万元，节能环保支出121.70万元，城乡社区支出3923.08万元,农林水支出1149.26万元，住房保障支出44.28万元，灾害防治及应急管理支出9.00万元。按支出性质分类构成为：基本支出665.83万元，项目支出4741.39万元。</w:t>
      </w:r>
    </w:p>
    <w:p w14:paraId="5040EF4A">
      <w:pPr>
        <w:widowControl/>
        <w:adjustRightInd w:val="0"/>
        <w:snapToGrid w:val="0"/>
        <w:spacing w:line="560" w:lineRule="exact"/>
        <w:ind w:left="630" w:leftChars="300"/>
        <w:contextualSpacing/>
        <w:jc w:val="left"/>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3.部门总体结转结余情况。</w:t>
      </w:r>
    </w:p>
    <w:p w14:paraId="3C6A935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2022年度收入总计5407.30万元，支出总计5407.22万元，年末基本支出结转0.06万元，项目支出结转0.02万元。</w:t>
      </w:r>
    </w:p>
    <w:p w14:paraId="53F5D4A9">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14:paraId="70CF8CAB">
      <w:pPr>
        <w:widowControl/>
        <w:adjustRightInd w:val="0"/>
        <w:snapToGrid w:val="0"/>
        <w:spacing w:line="560" w:lineRule="exact"/>
        <w:ind w:firstLine="643" w:firstLineChars="200"/>
        <w:contextualSpacing/>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1.部门财政拨款收入情况。</w:t>
      </w:r>
    </w:p>
    <w:p w14:paraId="5465EDB3">
      <w:pPr>
        <w:widowControl/>
        <w:adjustRightInd w:val="0"/>
        <w:snapToGrid w:val="0"/>
        <w:spacing w:line="560" w:lineRule="exact"/>
        <w:ind w:firstLine="640" w:firstLineChars="200"/>
        <w:contextualSpacing/>
        <w:jc w:val="left"/>
        <w:rPr>
          <w:rFonts w:eastAsia="仿宋_GB2312"/>
          <w:kern w:val="0"/>
          <w:sz w:val="32"/>
          <w:szCs w:val="32"/>
        </w:rPr>
      </w:pPr>
      <w:r>
        <w:rPr>
          <w:rFonts w:hint="eastAsia" w:eastAsia="仿宋_GB2312"/>
          <w:kern w:val="0"/>
          <w:sz w:val="32"/>
          <w:szCs w:val="32"/>
        </w:rPr>
        <w:t>2022年度收、支总计5407.30万元。与2021年相比，收、支总计各减少</w:t>
      </w:r>
      <w:r>
        <w:rPr>
          <w:rFonts w:hint="eastAsia" w:eastAsia="仿宋_GB2312"/>
          <w:kern w:val="0"/>
          <w:sz w:val="32"/>
          <w:szCs w:val="32"/>
          <w:lang w:val="en-US" w:eastAsia="zh-CN"/>
        </w:rPr>
        <w:t>1515.63</w:t>
      </w:r>
      <w:r>
        <w:rPr>
          <w:rFonts w:hint="eastAsia" w:eastAsia="仿宋_GB2312"/>
          <w:kern w:val="0"/>
          <w:sz w:val="32"/>
          <w:szCs w:val="32"/>
        </w:rPr>
        <w:t>万元，下降</w:t>
      </w:r>
      <w:r>
        <w:rPr>
          <w:rFonts w:hint="eastAsia" w:eastAsia="仿宋_GB2312"/>
          <w:kern w:val="0"/>
          <w:sz w:val="32"/>
          <w:szCs w:val="32"/>
          <w:lang w:val="en-US" w:eastAsia="zh-CN"/>
        </w:rPr>
        <w:t>21.89</w:t>
      </w:r>
      <w:r>
        <w:rPr>
          <w:rFonts w:hint="eastAsia" w:eastAsia="仿宋_GB2312"/>
          <w:kern w:val="0"/>
          <w:sz w:val="32"/>
          <w:szCs w:val="32"/>
        </w:rPr>
        <w:t>%。</w:t>
      </w:r>
    </w:p>
    <w:p w14:paraId="4428B40E">
      <w:pPr>
        <w:widowControl/>
        <w:adjustRightInd w:val="0"/>
        <w:snapToGrid w:val="0"/>
        <w:spacing w:line="560" w:lineRule="exact"/>
        <w:ind w:firstLine="643" w:firstLineChars="200"/>
        <w:contextualSpacing/>
        <w:jc w:val="left"/>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2.部门财政拨款支出情况。</w:t>
      </w:r>
    </w:p>
    <w:p w14:paraId="274BA71C">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eastAsia="仿宋_GB2312"/>
          <w:kern w:val="0"/>
          <w:sz w:val="32"/>
          <w:szCs w:val="32"/>
        </w:rPr>
        <w:t>2022年支出总计为</w:t>
      </w:r>
      <w:r>
        <w:rPr>
          <w:rFonts w:eastAsia="仿宋_GB2312"/>
          <w:sz w:val="32"/>
          <w:szCs w:val="32"/>
        </w:rPr>
        <w:t>5407.22</w:t>
      </w:r>
      <w:r>
        <w:rPr>
          <w:rFonts w:eastAsia="仿宋_GB2312"/>
          <w:kern w:val="0"/>
          <w:sz w:val="32"/>
          <w:szCs w:val="32"/>
        </w:rPr>
        <w:t>万元。与2021年相比</w:t>
      </w:r>
      <w:r>
        <w:rPr>
          <w:rFonts w:hint="eastAsia" w:eastAsia="仿宋_GB2312"/>
          <w:kern w:val="0"/>
          <w:sz w:val="32"/>
          <w:szCs w:val="32"/>
          <w:lang w:val="en-US" w:eastAsia="zh-CN"/>
        </w:rPr>
        <w:t>下降21.89</w:t>
      </w:r>
      <w:r>
        <w:rPr>
          <w:rFonts w:eastAsia="仿宋_GB2312"/>
          <w:kern w:val="0"/>
          <w:sz w:val="32"/>
          <w:szCs w:val="32"/>
        </w:rPr>
        <w:t>%。其中：基本支出665.83万元，占12.31%；项目支出4741.39万元，占87.69%。</w:t>
      </w:r>
    </w:p>
    <w:p w14:paraId="008E68FC">
      <w:pPr>
        <w:widowControl/>
        <w:adjustRightInd w:val="0"/>
        <w:snapToGrid w:val="0"/>
        <w:spacing w:line="560" w:lineRule="exact"/>
        <w:ind w:firstLine="643" w:firstLineChars="200"/>
        <w:contextualSpacing/>
        <w:jc w:val="left"/>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3.部门财政拨款结转结余情况。</w:t>
      </w:r>
    </w:p>
    <w:p w14:paraId="0E717D72">
      <w:pPr>
        <w:widowControl/>
        <w:adjustRightInd w:val="0"/>
        <w:snapToGrid w:val="0"/>
        <w:spacing w:line="560" w:lineRule="exact"/>
        <w:ind w:firstLine="640" w:firstLineChars="200"/>
        <w:contextualSpacing/>
        <w:jc w:val="left"/>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sz w:val="32"/>
          <w:szCs w:val="32"/>
        </w:rPr>
        <w:t>2022年年末基本支出结转0.06万元，项目支出结转0.02万元。</w:t>
      </w:r>
    </w:p>
    <w:p w14:paraId="067278DB">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14:paraId="4A9C9501">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14:paraId="2843BB05">
      <w:pPr>
        <w:widowControl/>
        <w:adjustRightInd w:val="0"/>
        <w:snapToGrid w:val="0"/>
        <w:spacing w:line="560" w:lineRule="exact"/>
        <w:ind w:firstLine="643" w:firstLineChars="200"/>
        <w:contextualSpacing/>
        <w:jc w:val="left"/>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1.人员类项目绩效分析。</w:t>
      </w:r>
    </w:p>
    <w:p w14:paraId="0025C484">
      <w:pPr>
        <w:widowControl/>
        <w:adjustRightInd w:val="0"/>
        <w:snapToGrid w:val="0"/>
        <w:spacing w:line="560" w:lineRule="exact"/>
        <w:ind w:firstLine="640" w:firstLineChars="200"/>
        <w:contextualSpacing/>
        <w:jc w:val="left"/>
        <w:rPr>
          <w:rFonts w:eastAsia="仿宋_GB2312"/>
          <w:kern w:val="0"/>
          <w:sz w:val="32"/>
          <w:szCs w:val="32"/>
          <w:lang w:val="zh-CN"/>
        </w:rPr>
      </w:pPr>
      <w:r>
        <w:rPr>
          <w:rFonts w:eastAsia="仿宋_GB2312"/>
          <w:kern w:val="0"/>
          <w:sz w:val="32"/>
          <w:szCs w:val="32"/>
        </w:rPr>
        <w:t>2022年</w:t>
      </w:r>
      <w:r>
        <w:rPr>
          <w:rFonts w:eastAsia="仿宋_GB2312"/>
          <w:kern w:val="0"/>
          <w:sz w:val="32"/>
          <w:szCs w:val="32"/>
          <w:lang w:val="zh-CN"/>
        </w:rPr>
        <w:t>预算安排</w:t>
      </w:r>
      <w:r>
        <w:rPr>
          <w:rFonts w:eastAsia="仿宋_GB2312"/>
          <w:kern w:val="0"/>
          <w:sz w:val="32"/>
          <w:szCs w:val="32"/>
        </w:rPr>
        <w:t>人员类项目</w:t>
      </w:r>
      <w:r>
        <w:rPr>
          <w:rFonts w:eastAsia="仿宋_GB2312"/>
          <w:kern w:val="0"/>
          <w:sz w:val="32"/>
          <w:szCs w:val="32"/>
          <w:lang w:val="zh-CN"/>
        </w:rPr>
        <w:t>经费</w:t>
      </w:r>
      <w:r>
        <w:rPr>
          <w:rFonts w:hint="eastAsia" w:eastAsia="仿宋_GB2312"/>
          <w:kern w:val="0"/>
          <w:sz w:val="32"/>
          <w:szCs w:val="32"/>
        </w:rPr>
        <w:t>603.51</w:t>
      </w:r>
      <w:r>
        <w:rPr>
          <w:rFonts w:eastAsia="仿宋_GB2312"/>
          <w:kern w:val="0"/>
          <w:sz w:val="32"/>
          <w:szCs w:val="32"/>
          <w:lang w:val="zh-CN"/>
        </w:rPr>
        <w:t>万元，预算执行</w:t>
      </w:r>
      <w:r>
        <w:rPr>
          <w:rFonts w:hint="eastAsia" w:eastAsia="仿宋_GB2312"/>
          <w:kern w:val="0"/>
          <w:sz w:val="32"/>
          <w:szCs w:val="32"/>
        </w:rPr>
        <w:t>603.47</w:t>
      </w:r>
      <w:r>
        <w:rPr>
          <w:rFonts w:eastAsia="仿宋_GB2312"/>
          <w:kern w:val="0"/>
          <w:sz w:val="32"/>
          <w:szCs w:val="32"/>
          <w:lang w:val="zh-CN"/>
        </w:rPr>
        <w:t>万元，预算执行率</w:t>
      </w:r>
      <w:r>
        <w:rPr>
          <w:rFonts w:hint="eastAsia" w:eastAsia="仿宋_GB2312"/>
          <w:kern w:val="0"/>
          <w:sz w:val="32"/>
          <w:szCs w:val="32"/>
        </w:rPr>
        <w:t>99.99</w:t>
      </w:r>
      <w:r>
        <w:rPr>
          <w:rFonts w:eastAsia="仿宋_GB2312"/>
          <w:kern w:val="0"/>
          <w:sz w:val="32"/>
          <w:szCs w:val="32"/>
        </w:rPr>
        <w:t>%，</w:t>
      </w:r>
      <w:r>
        <w:rPr>
          <w:rFonts w:eastAsia="仿宋_GB2312"/>
          <w:kern w:val="0"/>
          <w:sz w:val="32"/>
          <w:szCs w:val="32"/>
          <w:lang w:val="zh-CN"/>
        </w:rPr>
        <w:t>资金结余</w:t>
      </w:r>
      <w:r>
        <w:rPr>
          <w:rFonts w:hint="eastAsia" w:eastAsia="仿宋_GB2312"/>
          <w:kern w:val="0"/>
          <w:sz w:val="32"/>
          <w:szCs w:val="32"/>
        </w:rPr>
        <w:t>0.04万元</w:t>
      </w:r>
      <w:r>
        <w:rPr>
          <w:rFonts w:eastAsia="仿宋_GB2312"/>
          <w:kern w:val="0"/>
          <w:sz w:val="32"/>
          <w:szCs w:val="32"/>
          <w:lang w:val="zh-CN"/>
        </w:rPr>
        <w:t>。</w:t>
      </w:r>
    </w:p>
    <w:p w14:paraId="26D755B2">
      <w:pPr>
        <w:widowControl/>
        <w:adjustRightInd w:val="0"/>
        <w:snapToGrid w:val="0"/>
        <w:spacing w:line="560" w:lineRule="exact"/>
        <w:ind w:firstLine="640" w:firstLineChars="200"/>
        <w:contextualSpacing/>
        <w:jc w:val="left"/>
        <w:rPr>
          <w:rFonts w:eastAsia="仿宋_GB2312"/>
          <w:kern w:val="0"/>
          <w:sz w:val="32"/>
          <w:szCs w:val="32"/>
          <w:lang w:val="zh-CN"/>
        </w:rPr>
      </w:pPr>
      <w:r>
        <w:rPr>
          <w:rFonts w:eastAsia="仿宋_GB2312"/>
          <w:kern w:val="0"/>
          <w:sz w:val="32"/>
          <w:szCs w:val="32"/>
          <w:lang w:val="zh-CN"/>
        </w:rPr>
        <w:t>人员类项目经费支出严格执行财务管理制度</w:t>
      </w:r>
      <w:r>
        <w:rPr>
          <w:rFonts w:hint="eastAsia" w:eastAsia="仿宋_GB2312"/>
          <w:kern w:val="0"/>
          <w:sz w:val="32"/>
          <w:szCs w:val="32"/>
          <w:lang w:val="zh-CN"/>
        </w:rPr>
        <w:t>，</w:t>
      </w:r>
      <w:r>
        <w:rPr>
          <w:rFonts w:eastAsia="仿宋_GB2312"/>
          <w:kern w:val="0"/>
          <w:sz w:val="32"/>
          <w:szCs w:val="32"/>
          <w:lang w:val="zh-CN"/>
        </w:rPr>
        <w:t>专款专用，保障工资、社保、公积金等工资福利支出及对个人和家庭的补助支出及时足额发放、缴纳，账务处理及时，会计核算规范，未存在挪用或超标准开支的违规记录等情况。有效地维持了本单位工作的正常运转，实现了年初设定的绩效目标，项目资金使用率</w:t>
      </w:r>
      <w:r>
        <w:rPr>
          <w:rFonts w:hint="eastAsia" w:eastAsia="仿宋_GB2312"/>
          <w:kern w:val="0"/>
          <w:sz w:val="32"/>
          <w:szCs w:val="32"/>
        </w:rPr>
        <w:t>99.99</w:t>
      </w:r>
      <w:r>
        <w:rPr>
          <w:rFonts w:eastAsia="仿宋_GB2312"/>
          <w:kern w:val="0"/>
          <w:sz w:val="32"/>
          <w:szCs w:val="32"/>
          <w:lang w:val="zh-CN"/>
        </w:rPr>
        <w:t>%。</w:t>
      </w:r>
    </w:p>
    <w:p w14:paraId="7DBDA89F">
      <w:pPr>
        <w:widowControl/>
        <w:adjustRightInd w:val="0"/>
        <w:snapToGrid w:val="0"/>
        <w:spacing w:line="560" w:lineRule="exact"/>
        <w:ind w:firstLine="640" w:firstLineChars="200"/>
        <w:contextualSpacing/>
        <w:jc w:val="left"/>
        <w:rPr>
          <w:rFonts w:eastAsia="仿宋_GB2312"/>
          <w:kern w:val="0"/>
          <w:sz w:val="32"/>
          <w:szCs w:val="32"/>
          <w:lang w:val="zh-CN"/>
        </w:rPr>
      </w:pPr>
    </w:p>
    <w:p w14:paraId="2CF6080F">
      <w:pPr>
        <w:widowControl/>
        <w:adjustRightInd w:val="0"/>
        <w:snapToGrid w:val="0"/>
        <w:spacing w:line="560" w:lineRule="exact"/>
        <w:ind w:firstLine="643" w:firstLineChars="200"/>
        <w:contextualSpacing/>
        <w:jc w:val="left"/>
        <w:rPr>
          <w:rFonts w:ascii="仿宋_GB2312" w:hAnsi="仿宋_GB2312" w:eastAsia="仿宋_GB2312" w:cs="仿宋_GB2312"/>
          <w:b/>
          <w:bCs/>
          <w:kern w:val="0"/>
          <w:sz w:val="32"/>
          <w:szCs w:val="32"/>
          <w:shd w:val="clear" w:color="auto" w:fill="FFFFFF"/>
        </w:rPr>
      </w:pPr>
    </w:p>
    <w:p w14:paraId="3A570F7C">
      <w:pPr>
        <w:widowControl/>
        <w:adjustRightInd w:val="0"/>
        <w:snapToGrid w:val="0"/>
        <w:spacing w:line="560" w:lineRule="exact"/>
        <w:ind w:firstLine="643" w:firstLineChars="200"/>
        <w:contextualSpacing/>
        <w:jc w:val="left"/>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2.运转类项目绩效分析。</w:t>
      </w:r>
    </w:p>
    <w:p w14:paraId="764475DC">
      <w:pPr>
        <w:widowControl/>
        <w:adjustRightInd w:val="0"/>
        <w:snapToGrid w:val="0"/>
        <w:spacing w:line="560" w:lineRule="exact"/>
        <w:ind w:firstLine="640" w:firstLineChars="200"/>
        <w:contextualSpacing/>
        <w:jc w:val="left"/>
        <w:rPr>
          <w:rFonts w:eastAsia="仿宋_GB2312"/>
          <w:kern w:val="0"/>
          <w:sz w:val="32"/>
          <w:szCs w:val="32"/>
          <w:lang w:val="zh-CN"/>
        </w:rPr>
      </w:pPr>
      <w:r>
        <w:rPr>
          <w:rFonts w:eastAsia="仿宋_GB2312"/>
          <w:kern w:val="0"/>
          <w:sz w:val="32"/>
          <w:szCs w:val="32"/>
        </w:rPr>
        <w:t>2022年</w:t>
      </w:r>
      <w:r>
        <w:rPr>
          <w:rFonts w:eastAsia="仿宋_GB2312"/>
          <w:kern w:val="0"/>
          <w:sz w:val="32"/>
          <w:szCs w:val="32"/>
          <w:lang w:val="zh-CN"/>
        </w:rPr>
        <w:t>预算安排运转类项目经费</w:t>
      </w:r>
      <w:r>
        <w:rPr>
          <w:rFonts w:hint="eastAsia" w:eastAsia="仿宋_GB2312"/>
          <w:kern w:val="0"/>
          <w:sz w:val="32"/>
          <w:szCs w:val="32"/>
        </w:rPr>
        <w:t>1864.48</w:t>
      </w:r>
      <w:r>
        <w:rPr>
          <w:rFonts w:eastAsia="仿宋_GB2312"/>
          <w:kern w:val="0"/>
          <w:sz w:val="32"/>
          <w:szCs w:val="32"/>
          <w:lang w:val="zh-CN"/>
        </w:rPr>
        <w:t>万元，预算执行</w:t>
      </w:r>
      <w:r>
        <w:rPr>
          <w:rFonts w:hint="eastAsia" w:eastAsia="仿宋_GB2312"/>
          <w:kern w:val="0"/>
          <w:sz w:val="32"/>
          <w:szCs w:val="32"/>
        </w:rPr>
        <w:t>1864.48</w:t>
      </w:r>
      <w:r>
        <w:rPr>
          <w:rFonts w:eastAsia="仿宋_GB2312"/>
          <w:kern w:val="0"/>
          <w:sz w:val="32"/>
          <w:szCs w:val="32"/>
          <w:lang w:val="zh-CN"/>
        </w:rPr>
        <w:t>万元，预算执行率</w:t>
      </w:r>
      <w:r>
        <w:rPr>
          <w:rFonts w:eastAsia="仿宋_GB2312"/>
          <w:kern w:val="0"/>
          <w:sz w:val="32"/>
          <w:szCs w:val="32"/>
        </w:rPr>
        <w:t>100%，无</w:t>
      </w:r>
      <w:r>
        <w:rPr>
          <w:rFonts w:eastAsia="仿宋_GB2312"/>
          <w:kern w:val="0"/>
          <w:sz w:val="32"/>
          <w:szCs w:val="32"/>
          <w:lang w:val="zh-CN"/>
        </w:rPr>
        <w:t>资金结余。</w:t>
      </w:r>
    </w:p>
    <w:p w14:paraId="1508A4D9">
      <w:pPr>
        <w:widowControl/>
        <w:adjustRightInd w:val="0"/>
        <w:snapToGrid w:val="0"/>
        <w:spacing w:line="560" w:lineRule="exact"/>
        <w:ind w:firstLine="640" w:firstLineChars="200"/>
        <w:contextualSpacing/>
        <w:jc w:val="left"/>
        <w:rPr>
          <w:rFonts w:eastAsia="仿宋_GB2312"/>
          <w:kern w:val="0"/>
          <w:sz w:val="32"/>
          <w:szCs w:val="32"/>
        </w:rPr>
      </w:pPr>
      <w:r>
        <w:rPr>
          <w:rFonts w:eastAsia="仿宋_GB2312"/>
          <w:kern w:val="0"/>
          <w:sz w:val="32"/>
          <w:szCs w:val="32"/>
          <w:lang w:val="zh-CN"/>
        </w:rPr>
        <w:t>运转类项目经费</w:t>
      </w:r>
      <w:r>
        <w:rPr>
          <w:rFonts w:eastAsia="仿宋_GB2312"/>
          <w:kern w:val="0"/>
          <w:sz w:val="32"/>
          <w:szCs w:val="32"/>
        </w:rPr>
        <w:t>在资金使用上，严格按照资金使用用途进行审核审批，及时足额划拨资金，保障了单位日常运转，完成各项目标任务。</w:t>
      </w:r>
      <w:r>
        <w:rPr>
          <w:rFonts w:eastAsia="仿宋_GB2312"/>
          <w:kern w:val="0"/>
          <w:sz w:val="32"/>
          <w:szCs w:val="32"/>
          <w:lang w:val="zh-CN"/>
        </w:rPr>
        <w:t>未存在挪用或超标准开支的违规记录等情况。实现了年初设定的绩效目标，项目资金使用率</w:t>
      </w:r>
      <w:r>
        <w:rPr>
          <w:rFonts w:eastAsia="仿宋_GB2312"/>
          <w:kern w:val="0"/>
          <w:sz w:val="32"/>
          <w:szCs w:val="32"/>
        </w:rPr>
        <w:t>100%。</w:t>
      </w:r>
    </w:p>
    <w:p w14:paraId="3C7DC1B7">
      <w:pPr>
        <w:widowControl/>
        <w:adjustRightInd w:val="0"/>
        <w:snapToGrid w:val="0"/>
        <w:spacing w:line="560" w:lineRule="exact"/>
        <w:ind w:firstLine="643" w:firstLineChars="200"/>
        <w:contextualSpacing/>
        <w:jc w:val="left"/>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3.特定目标类项目绩效分析。</w:t>
      </w:r>
    </w:p>
    <w:p w14:paraId="79C3F0EA">
      <w:pPr>
        <w:widowControl/>
        <w:adjustRightInd w:val="0"/>
        <w:snapToGrid w:val="0"/>
        <w:spacing w:line="560" w:lineRule="exact"/>
        <w:ind w:firstLine="640" w:firstLineChars="200"/>
        <w:contextualSpacing/>
        <w:jc w:val="left"/>
        <w:rPr>
          <w:rFonts w:eastAsia="仿宋_GB2312"/>
          <w:kern w:val="0"/>
          <w:sz w:val="32"/>
          <w:szCs w:val="32"/>
          <w:lang w:val="zh-CN"/>
        </w:rPr>
      </w:pPr>
      <w:r>
        <w:rPr>
          <w:rFonts w:eastAsia="仿宋_GB2312"/>
          <w:kern w:val="0"/>
          <w:sz w:val="32"/>
          <w:szCs w:val="32"/>
        </w:rPr>
        <w:t>2022年</w:t>
      </w:r>
      <w:r>
        <w:rPr>
          <w:rFonts w:eastAsia="仿宋_GB2312"/>
          <w:kern w:val="0"/>
          <w:sz w:val="32"/>
          <w:szCs w:val="32"/>
          <w:lang w:val="zh-CN"/>
        </w:rPr>
        <w:t>预算安排</w:t>
      </w:r>
      <w:r>
        <w:rPr>
          <w:rFonts w:hint="eastAsia" w:eastAsia="仿宋_GB2312"/>
          <w:kern w:val="0"/>
          <w:sz w:val="32"/>
          <w:szCs w:val="32"/>
        </w:rPr>
        <w:t>特定目标类</w:t>
      </w:r>
      <w:r>
        <w:rPr>
          <w:rFonts w:eastAsia="仿宋_GB2312"/>
          <w:kern w:val="0"/>
          <w:sz w:val="32"/>
          <w:szCs w:val="32"/>
          <w:lang w:val="zh-CN"/>
        </w:rPr>
        <w:t>项目经费</w:t>
      </w:r>
      <w:r>
        <w:rPr>
          <w:rFonts w:eastAsia="仿宋_GB2312"/>
          <w:kern w:val="0"/>
          <w:sz w:val="32"/>
          <w:szCs w:val="32"/>
        </w:rPr>
        <w:t>139.44</w:t>
      </w:r>
      <w:r>
        <w:rPr>
          <w:rFonts w:eastAsia="仿宋_GB2312"/>
          <w:kern w:val="0"/>
          <w:sz w:val="32"/>
          <w:szCs w:val="32"/>
          <w:lang w:val="zh-CN"/>
        </w:rPr>
        <w:t>万元，预算执行</w:t>
      </w:r>
      <w:r>
        <w:rPr>
          <w:rFonts w:eastAsia="仿宋_GB2312"/>
          <w:kern w:val="0"/>
          <w:sz w:val="32"/>
          <w:szCs w:val="32"/>
        </w:rPr>
        <w:t>139.44</w:t>
      </w:r>
      <w:r>
        <w:rPr>
          <w:rFonts w:eastAsia="仿宋_GB2312"/>
          <w:kern w:val="0"/>
          <w:sz w:val="32"/>
          <w:szCs w:val="32"/>
          <w:lang w:val="zh-CN"/>
        </w:rPr>
        <w:t>万元，预算执行率</w:t>
      </w:r>
      <w:r>
        <w:rPr>
          <w:rFonts w:eastAsia="仿宋_GB2312"/>
          <w:kern w:val="0"/>
          <w:sz w:val="32"/>
          <w:szCs w:val="32"/>
        </w:rPr>
        <w:t>100%，无</w:t>
      </w:r>
      <w:r>
        <w:rPr>
          <w:rFonts w:eastAsia="仿宋_GB2312"/>
          <w:kern w:val="0"/>
          <w:sz w:val="32"/>
          <w:szCs w:val="32"/>
          <w:lang w:val="zh-CN"/>
        </w:rPr>
        <w:t>资金结余。</w:t>
      </w:r>
    </w:p>
    <w:p w14:paraId="7B70A6D9">
      <w:pPr>
        <w:widowControl/>
        <w:adjustRightInd w:val="0"/>
        <w:snapToGrid w:val="0"/>
        <w:spacing w:line="560" w:lineRule="exact"/>
        <w:ind w:firstLine="640" w:firstLineChars="200"/>
        <w:contextualSpacing/>
        <w:jc w:val="left"/>
        <w:rPr>
          <w:rFonts w:eastAsia="仿宋_GB2312"/>
          <w:kern w:val="0"/>
          <w:sz w:val="32"/>
          <w:szCs w:val="32"/>
        </w:rPr>
      </w:pPr>
      <w:r>
        <w:rPr>
          <w:rFonts w:hint="eastAsia" w:eastAsia="仿宋_GB2312"/>
          <w:kern w:val="0"/>
          <w:sz w:val="32"/>
          <w:szCs w:val="32"/>
        </w:rPr>
        <w:t>特定目标类</w:t>
      </w:r>
      <w:r>
        <w:rPr>
          <w:rFonts w:eastAsia="仿宋_GB2312"/>
          <w:kern w:val="0"/>
          <w:sz w:val="32"/>
          <w:szCs w:val="32"/>
          <w:lang w:val="zh-CN"/>
        </w:rPr>
        <w:t>项目经费</w:t>
      </w:r>
      <w:r>
        <w:rPr>
          <w:rFonts w:eastAsia="仿宋_GB2312"/>
          <w:kern w:val="0"/>
          <w:sz w:val="32"/>
          <w:szCs w:val="32"/>
        </w:rPr>
        <w:t>在资金使用上，严格按照资金使用用途进行审核审批，及时足额划拨资金，保障了</w:t>
      </w:r>
      <w:r>
        <w:rPr>
          <w:rFonts w:hint="eastAsia" w:eastAsia="仿宋_GB2312"/>
          <w:kern w:val="0"/>
          <w:sz w:val="32"/>
          <w:szCs w:val="32"/>
        </w:rPr>
        <w:t>单位</w:t>
      </w:r>
      <w:r>
        <w:rPr>
          <w:rFonts w:hint="eastAsia" w:ascii="仿宋_GB2312" w:eastAsia="仿宋_GB2312"/>
          <w:sz w:val="32"/>
          <w:szCs w:val="32"/>
        </w:rPr>
        <w:t>完成日常工作任务以及承担的综合执法和城市管理相关工作</w:t>
      </w:r>
      <w:r>
        <w:rPr>
          <w:rFonts w:eastAsia="仿宋_GB2312"/>
          <w:kern w:val="0"/>
          <w:sz w:val="32"/>
          <w:szCs w:val="32"/>
        </w:rPr>
        <w:t>。</w:t>
      </w:r>
      <w:r>
        <w:rPr>
          <w:rFonts w:eastAsia="仿宋_GB2312"/>
          <w:kern w:val="0"/>
          <w:sz w:val="32"/>
          <w:szCs w:val="32"/>
          <w:lang w:val="zh-CN"/>
        </w:rPr>
        <w:t>未存在挪用或超标准开支的违规记录等情况。实现了年初设定的绩效目标，项目资金使用率</w:t>
      </w:r>
      <w:r>
        <w:rPr>
          <w:rFonts w:eastAsia="仿宋_GB2312"/>
          <w:kern w:val="0"/>
          <w:sz w:val="32"/>
          <w:szCs w:val="32"/>
        </w:rPr>
        <w:t>100%。</w:t>
      </w:r>
    </w:p>
    <w:p w14:paraId="575A4C7F">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14:paraId="25FF0F0C">
      <w:pPr>
        <w:widowControl/>
        <w:adjustRightInd w:val="0"/>
        <w:snapToGrid w:val="0"/>
        <w:spacing w:line="560" w:lineRule="exact"/>
        <w:ind w:firstLine="640" w:firstLineChars="200"/>
        <w:contextualSpacing/>
        <w:jc w:val="left"/>
        <w:rPr>
          <w:rFonts w:eastAsia="仿宋_GB2312"/>
          <w:kern w:val="0"/>
          <w:sz w:val="32"/>
          <w:szCs w:val="32"/>
          <w:lang w:val="zh-CN"/>
        </w:rPr>
      </w:pPr>
      <w:r>
        <w:rPr>
          <w:rFonts w:hint="eastAsia" w:eastAsia="仿宋_GB2312"/>
          <w:kern w:val="0"/>
          <w:sz w:val="32"/>
          <w:szCs w:val="32"/>
        </w:rPr>
        <w:t>我单位不断</w:t>
      </w:r>
      <w:r>
        <w:rPr>
          <w:rFonts w:eastAsia="仿宋_GB2312"/>
          <w:kern w:val="0"/>
          <w:sz w:val="32"/>
          <w:szCs w:val="32"/>
          <w:lang w:val="zh-CN"/>
        </w:rPr>
        <w:t>加强绩效评价工作，严格内部管理，通过绩效评价，我单位进一步掌握了项目经费使用情况和取得的效果，总结了项目资金管理经验，为</w:t>
      </w:r>
      <w:r>
        <w:rPr>
          <w:rFonts w:hint="eastAsia" w:eastAsia="仿宋_GB2312"/>
          <w:kern w:val="0"/>
          <w:sz w:val="32"/>
          <w:szCs w:val="32"/>
        </w:rPr>
        <w:t>在以后得工作中</w:t>
      </w:r>
      <w:r>
        <w:rPr>
          <w:rFonts w:eastAsia="仿宋_GB2312"/>
          <w:kern w:val="0"/>
          <w:sz w:val="32"/>
          <w:szCs w:val="32"/>
          <w:lang w:val="zh-CN"/>
        </w:rPr>
        <w:t>提高项目资金的使用效益，加强绩效目标管理等工作提供重要的参考依据。</w:t>
      </w:r>
    </w:p>
    <w:p w14:paraId="77787922">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14:paraId="4CC5EE41">
      <w:pPr>
        <w:widowControl/>
        <w:adjustRightInd w:val="0"/>
        <w:snapToGrid w:val="0"/>
        <w:spacing w:line="560" w:lineRule="exact"/>
        <w:ind w:firstLine="640" w:firstLineChars="200"/>
        <w:contextualSpacing/>
        <w:jc w:val="left"/>
        <w:rPr>
          <w:rFonts w:eastAsia="仿宋_GB2312"/>
          <w:kern w:val="0"/>
          <w:sz w:val="32"/>
          <w:szCs w:val="32"/>
          <w:lang w:val="zh-CN"/>
        </w:rPr>
      </w:pPr>
      <w:r>
        <w:rPr>
          <w:rFonts w:hint="eastAsia" w:ascii="仿宋_GB2312" w:hAnsi="仿宋_GB2312" w:eastAsia="仿宋_GB2312" w:cs="仿宋_GB2312"/>
          <w:kern w:val="0"/>
          <w:sz w:val="32"/>
          <w:szCs w:val="32"/>
        </w:rPr>
        <w:t>我单位开展了2022年1-8月事中绩效监控自评，对1-8月预算执行情况进行了分析</w:t>
      </w:r>
      <w:r>
        <w:rPr>
          <w:rFonts w:hint="eastAsia" w:ascii="仿宋_GB2312" w:hAnsi="仿宋_GB2312" w:eastAsia="仿宋_GB2312" w:cs="仿宋_GB2312"/>
          <w:sz w:val="32"/>
          <w:szCs w:val="32"/>
        </w:rPr>
        <w:t>，对本单位预算执行情况和完成情况进行了梳理和分析，</w:t>
      </w:r>
      <w:r>
        <w:rPr>
          <w:rFonts w:hint="eastAsia" w:ascii="仿宋_GB2312" w:hAnsi="仿宋_GB2312" w:eastAsia="仿宋_GB2312" w:cs="仿宋_GB2312"/>
          <w:kern w:val="0"/>
          <w:sz w:val="32"/>
          <w:szCs w:val="32"/>
        </w:rPr>
        <w:t>形成了事中绩效监控自评报告，</w:t>
      </w:r>
      <w:r>
        <w:rPr>
          <w:rFonts w:hint="eastAsia" w:ascii="仿宋_GB2312" w:hAnsi="仿宋_GB2312" w:eastAsia="仿宋_GB2312" w:cs="仿宋_GB2312"/>
          <w:sz w:val="32"/>
          <w:szCs w:val="32"/>
        </w:rPr>
        <w:t>及时总结本单位资金运行情况，促进资金的合理安排和使用</w:t>
      </w:r>
      <w:r>
        <w:rPr>
          <w:rFonts w:hint="eastAsia" w:ascii="仿宋_GB2312" w:hAnsi="仿宋_GB2312" w:eastAsia="仿宋_GB2312" w:cs="仿宋_GB2312"/>
          <w:kern w:val="0"/>
          <w:sz w:val="32"/>
          <w:szCs w:val="32"/>
        </w:rPr>
        <w:t>。</w:t>
      </w:r>
      <w:r>
        <w:rPr>
          <w:rFonts w:eastAsia="仿宋_GB2312"/>
          <w:kern w:val="0"/>
          <w:sz w:val="32"/>
          <w:szCs w:val="32"/>
          <w:lang w:val="zh-CN"/>
        </w:rPr>
        <w:t>绩效自评结果拟应用于今后的绩效管理工作，加强绩效评价工作，严格内部管理，通过绩效评价，我单位进一步掌握了项目经费使用情况和取得的效果，总结了项目资金管理经验，为下一年提高项目资金的使用效益，加强财政支出的规范管理，完善预算编制和加强绩效目标管理等工作提供重要的参考依据。</w:t>
      </w:r>
    </w:p>
    <w:p w14:paraId="2621D9A0">
      <w:pPr>
        <w:widowControl/>
        <w:numPr>
          <w:ilvl w:val="0"/>
          <w:numId w:val="7"/>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14:paraId="06CC7F36">
      <w:pPr>
        <w:widowControl/>
        <w:adjustRightInd w:val="0"/>
        <w:snapToGrid w:val="0"/>
        <w:spacing w:line="560"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仿宋_GB2312" w:eastAsia="仿宋_GB2312" w:cs="仿宋_GB2312"/>
          <w:kern w:val="0"/>
          <w:sz w:val="32"/>
          <w:szCs w:val="32"/>
        </w:rPr>
        <w:t>我单位对2022年财政预算资金使用情况开展自评，并撰写反映部门财政预算资金管理使用绩效情况的整体支出绩效自评报告，并根据县级部门预算整体绩效评价指标体系表，进行自评打分</w:t>
      </w:r>
      <w:r>
        <w:rPr>
          <w:rFonts w:hint="eastAsia" w:ascii="仿宋_GB2312" w:hAnsi="仿宋_GB2312" w:eastAsia="仿宋_GB2312" w:cs="仿宋_GB2312"/>
          <w:sz w:val="32"/>
          <w:szCs w:val="32"/>
        </w:rPr>
        <w:t>我单位“部门整体支出绩效评价指标体系”自评得分96分，其中：部门预算管理方面自评得分38分，专项预算管理方面自评得分方38分，绩效结果应用方面自评得分20分。</w:t>
      </w:r>
    </w:p>
    <w:p w14:paraId="1A14220F">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1D895BF5">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14:paraId="56F2186B">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在预算执行、决算编制、支出绩效方面，我单位都按相关规定严格执行，合理安排支出，较好的发挥了财政资金使用效益，有效推动全县经济和社会发展。</w:t>
      </w:r>
    </w:p>
    <w:p w14:paraId="69F9CD4B">
      <w:pPr>
        <w:widowControl/>
        <w:numPr>
          <w:ilvl w:val="0"/>
          <w:numId w:val="8"/>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存在问题。</w:t>
      </w:r>
    </w:p>
    <w:p w14:paraId="0E5E46C0">
      <w:pPr>
        <w:widowControl/>
        <w:adjustRightInd w:val="0"/>
        <w:snapToGrid w:val="0"/>
        <w:spacing w:line="560" w:lineRule="exact"/>
        <w:contextualSpacing/>
        <w:rPr>
          <w:rFonts w:eastAsia="仿宋_GB2312"/>
        </w:rPr>
      </w:pPr>
      <w:r>
        <w:rPr>
          <w:rFonts w:hint="eastAsia" w:ascii="仿宋_GB2312" w:hAnsi="仿宋_GB2312" w:eastAsia="仿宋_GB2312" w:cs="仿宋_GB2312"/>
          <w:kern w:val="0"/>
          <w:sz w:val="32"/>
          <w:szCs w:val="32"/>
        </w:rPr>
        <w:t xml:space="preserve">   预算编制是一个综合的过程，需要各个相关部门之间协调配合，在实际预算编制过程中，各部门缺乏高效的沟通合作，预算编制不够科学化、全面化、精细化。  </w:t>
      </w:r>
      <w:r>
        <w:rPr>
          <w:rFonts w:hint="eastAsia"/>
        </w:rPr>
        <w:t xml:space="preserve"> </w:t>
      </w:r>
    </w:p>
    <w:p w14:paraId="6C34277D">
      <w:pPr>
        <w:widowControl/>
        <w:numPr>
          <w:ilvl w:val="0"/>
          <w:numId w:val="8"/>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改进建议。</w:t>
      </w:r>
    </w:p>
    <w:p w14:paraId="50F4321F">
      <w:pPr>
        <w:pStyle w:val="2"/>
        <w:spacing w:before="93"/>
        <w:ind w:firstLine="640" w:firstLineChars="200"/>
        <w:rPr>
          <w:sz w:val="32"/>
          <w:szCs w:val="32"/>
          <w:lang w:val="zh-CN"/>
        </w:rPr>
      </w:pPr>
      <w:r>
        <w:rPr>
          <w:rFonts w:hint="eastAsia"/>
          <w:sz w:val="32"/>
          <w:szCs w:val="32"/>
        </w:rPr>
        <w:t>在编制预算的过程中，树立“事前有计划、事中有控制、事后有考评”的观念，加强对财务人员及项目工作人员的培训，把握资金安排的轻重缓急，保证预算编制的科学性，合理编制“统筹兼顾、勤俭节约”的预算项目，切实做到预算编制精细化、项目支出合理化，使财政资金最大化地发挥效益。</w:t>
      </w:r>
    </w:p>
    <w:p w14:paraId="01BF7A5D">
      <w:pPr>
        <w:pStyle w:val="15"/>
        <w:spacing w:line="560" w:lineRule="exact"/>
        <w:ind w:left="0" w:leftChars="0" w:firstLine="640"/>
        <w:rPr>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14:paraId="2845F85E">
      <w:pPr>
        <w:pStyle w:val="15"/>
        <w:spacing w:line="560" w:lineRule="exact"/>
        <w:ind w:left="0" w:leftChars="0" w:firstLine="0" w:firstLineChars="0"/>
        <w:rPr>
          <w:sz w:val="32"/>
          <w:lang w:val="zh-CN"/>
        </w:rPr>
      </w:pPr>
    </w:p>
    <w:p w14:paraId="2B48B9FC">
      <w:pPr>
        <w:pStyle w:val="15"/>
        <w:spacing w:line="560" w:lineRule="exact"/>
        <w:ind w:left="0" w:leftChars="0" w:firstLine="0" w:firstLineChars="0"/>
        <w:rPr>
          <w:sz w:val="32"/>
          <w:lang w:val="zh-CN"/>
        </w:rPr>
      </w:pPr>
    </w:p>
    <w:p w14:paraId="134521AF">
      <w:pPr>
        <w:pStyle w:val="15"/>
        <w:spacing w:line="560" w:lineRule="exact"/>
        <w:ind w:left="0" w:leftChars="0" w:firstLine="0" w:firstLineChars="0"/>
        <w:rPr>
          <w:sz w:val="32"/>
          <w:lang w:val="zh-CN"/>
        </w:rPr>
      </w:pPr>
    </w:p>
    <w:p w14:paraId="4B57EF83">
      <w:pPr>
        <w:pStyle w:val="15"/>
        <w:spacing w:line="560" w:lineRule="exact"/>
        <w:ind w:left="0" w:leftChars="0" w:firstLine="0" w:firstLineChars="0"/>
        <w:rPr>
          <w:sz w:val="32"/>
          <w:lang w:val="zh-CN"/>
        </w:rPr>
      </w:pPr>
    </w:p>
    <w:p w14:paraId="3DD46573">
      <w:pPr>
        <w:pStyle w:val="15"/>
        <w:spacing w:line="560" w:lineRule="exact"/>
        <w:ind w:left="0" w:leftChars="0" w:firstLine="0" w:firstLineChars="0"/>
        <w:rPr>
          <w:sz w:val="32"/>
          <w:lang w:val="zh-CN"/>
        </w:rPr>
      </w:pPr>
    </w:p>
    <w:p w14:paraId="2DF42AE0">
      <w:pPr>
        <w:pStyle w:val="15"/>
        <w:spacing w:line="560" w:lineRule="exact"/>
        <w:ind w:left="0" w:leftChars="0" w:firstLine="0" w:firstLineChars="0"/>
        <w:rPr>
          <w:sz w:val="32"/>
          <w:lang w:val="zh-CN"/>
        </w:rPr>
      </w:pPr>
    </w:p>
    <w:p w14:paraId="7144864D">
      <w:pPr>
        <w:pStyle w:val="15"/>
        <w:spacing w:line="560" w:lineRule="exact"/>
        <w:ind w:left="0" w:leftChars="0" w:firstLine="0" w:firstLineChars="0"/>
        <w:rPr>
          <w:sz w:val="32"/>
          <w:lang w:val="zh-CN"/>
        </w:rPr>
      </w:pPr>
    </w:p>
    <w:p w14:paraId="13AAF1EF">
      <w:pPr>
        <w:pStyle w:val="15"/>
        <w:spacing w:line="560" w:lineRule="exact"/>
        <w:ind w:left="0" w:leftChars="0" w:firstLine="0" w:firstLineChars="0"/>
        <w:rPr>
          <w:sz w:val="32"/>
          <w:lang w:val="zh-CN"/>
        </w:rPr>
      </w:pPr>
    </w:p>
    <w:p w14:paraId="4D941C6C">
      <w:pPr>
        <w:pStyle w:val="15"/>
        <w:spacing w:line="560" w:lineRule="exact"/>
        <w:ind w:left="0" w:leftChars="0" w:firstLine="0" w:firstLineChars="0"/>
        <w:rPr>
          <w:sz w:val="32"/>
          <w:lang w:val="zh-CN"/>
        </w:rPr>
      </w:pPr>
    </w:p>
    <w:p w14:paraId="65D2216D">
      <w:pPr>
        <w:pStyle w:val="2"/>
        <w:spacing w:before="93"/>
        <w:rPr>
          <w:rFonts w:hAnsi="宋体" w:cs="宋体"/>
          <w:sz w:val="32"/>
          <w:szCs w:val="32"/>
          <w:shd w:val="clear" w:color="auto" w:fill="FFFFFF"/>
          <w:lang w:val="zh-CN"/>
        </w:rPr>
      </w:pPr>
    </w:p>
    <w:p w14:paraId="5B5558CB">
      <w:pPr>
        <w:pStyle w:val="2"/>
        <w:spacing w:before="93"/>
        <w:rPr>
          <w:sz w:val="32"/>
          <w:szCs w:val="32"/>
        </w:rPr>
      </w:pPr>
      <w:bookmarkStart w:id="55" w:name="_Toc15396618"/>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14:paraId="3CC66726">
      <w:pPr>
        <w:pStyle w:val="35"/>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米易县城区第三轮绿化养护市场化采购招标项目</w:t>
      </w:r>
    </w:p>
    <w:p w14:paraId="59F5054B">
      <w:pPr>
        <w:pStyle w:val="35"/>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绩效自评报告</w:t>
      </w:r>
    </w:p>
    <w:p w14:paraId="51287617">
      <w:pPr>
        <w:pStyle w:val="35"/>
        <w:spacing w:line="578" w:lineRule="exact"/>
        <w:ind w:firstLine="640"/>
        <w:jc w:val="center"/>
        <w:rPr>
          <w:rFonts w:ascii="宋体" w:hAnsi="宋体"/>
          <w:color w:val="auto"/>
          <w:kern w:val="2"/>
          <w:sz w:val="32"/>
          <w:szCs w:val="32"/>
        </w:rPr>
      </w:pPr>
    </w:p>
    <w:p w14:paraId="2CE9EF7B">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19475C0">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4B538DB1">
      <w:pPr>
        <w:adjustRightInd w:val="0"/>
        <w:snapToGrid w:val="0"/>
        <w:spacing w:line="560" w:lineRule="exact"/>
        <w:ind w:firstLine="640" w:firstLineChars="200"/>
        <w:rPr>
          <w:lang w:val="zh-CN"/>
        </w:rPr>
      </w:pPr>
      <w:r>
        <w:rPr>
          <w:rFonts w:hint="eastAsia" w:eastAsia="仿宋_GB2312"/>
          <w:kern w:val="0"/>
          <w:sz w:val="32"/>
          <w:szCs w:val="32"/>
        </w:rPr>
        <w:t>1、</w:t>
      </w:r>
      <w:r>
        <w:rPr>
          <w:rFonts w:hint="eastAsia" w:eastAsia="仿宋_GB2312"/>
          <w:kern w:val="0"/>
          <w:sz w:val="32"/>
          <w:szCs w:val="32"/>
          <w:lang w:val="zh-CN"/>
        </w:rPr>
        <w:t>项目主管部门在该项目管理中的职能。</w:t>
      </w:r>
    </w:p>
    <w:p w14:paraId="0C134E1F">
      <w:pPr>
        <w:pStyle w:val="2"/>
        <w:spacing w:before="93" w:line="560" w:lineRule="exact"/>
        <w:ind w:firstLine="640" w:firstLineChars="200"/>
        <w:rPr>
          <w:sz w:val="32"/>
          <w:szCs w:val="32"/>
          <w:lang w:val="zh-CN"/>
        </w:rPr>
      </w:pPr>
      <w:r>
        <w:rPr>
          <w:rFonts w:hint="eastAsia"/>
          <w:sz w:val="32"/>
          <w:szCs w:val="32"/>
          <w:lang w:val="zh-CN"/>
        </w:rPr>
        <w:t>米易县综合执法局负责组织拟订城市园林绿化管理标准、城区绿化养护工作，包含项目预算、制定项目总体方案、项目申报、项目招标、制定项目考核制度并进行监督、考核、验收等一系列管理工作。</w:t>
      </w:r>
    </w:p>
    <w:p w14:paraId="36FEA5F7">
      <w:pPr>
        <w:adjustRightInd w:val="0"/>
        <w:snapToGrid w:val="0"/>
        <w:spacing w:line="560" w:lineRule="exact"/>
        <w:ind w:firstLine="640" w:firstLineChars="200"/>
        <w:rPr>
          <w:sz w:val="32"/>
          <w:szCs w:val="32"/>
          <w:lang w:val="zh-CN"/>
        </w:rPr>
      </w:pPr>
      <w:r>
        <w:rPr>
          <w:rFonts w:hint="eastAsia" w:eastAsia="仿宋_GB2312"/>
          <w:kern w:val="0"/>
          <w:sz w:val="32"/>
          <w:szCs w:val="32"/>
        </w:rPr>
        <w:t>2、</w:t>
      </w:r>
      <w:r>
        <w:rPr>
          <w:rFonts w:hint="eastAsia" w:eastAsia="仿宋_GB2312"/>
          <w:kern w:val="0"/>
          <w:sz w:val="32"/>
          <w:szCs w:val="32"/>
          <w:lang w:val="zh-CN"/>
        </w:rPr>
        <w:t>项目立项、资金申报的依据。</w:t>
      </w:r>
    </w:p>
    <w:p w14:paraId="3E82B1EE">
      <w:pPr>
        <w:pStyle w:val="2"/>
        <w:spacing w:before="93" w:line="560" w:lineRule="exact"/>
        <w:ind w:firstLine="640" w:firstLineChars="200"/>
        <w:rPr>
          <w:rFonts w:ascii="Times New Roman"/>
          <w:sz w:val="32"/>
          <w:szCs w:val="32"/>
          <w:lang w:val="zh-CN"/>
        </w:rPr>
      </w:pPr>
      <w:r>
        <w:rPr>
          <w:rFonts w:ascii="Times New Roman"/>
          <w:sz w:val="32"/>
          <w:szCs w:val="32"/>
          <w:lang w:val="zh-CN"/>
        </w:rPr>
        <w:t>2020年11月2日米易县人民政府第九十三次常务会(米府纪[2020] 25号)审议通过《关于解决米易县城区第三轮绿化养护市场化采购经费的请示》，米易县委财经委员会2021年第三次会议同意项目经费的批复等资料，项目申请、备案及批复资料齐全，项目</w:t>
      </w:r>
      <w:r>
        <w:rPr>
          <w:rFonts w:hint="eastAsia" w:ascii="Times New Roman"/>
          <w:sz w:val="32"/>
          <w:szCs w:val="32"/>
          <w:lang w:val="zh-CN"/>
        </w:rPr>
        <w:t>备案</w:t>
      </w:r>
      <w:r>
        <w:rPr>
          <w:rFonts w:ascii="Times New Roman"/>
          <w:sz w:val="32"/>
          <w:szCs w:val="32"/>
          <w:lang w:val="zh-CN"/>
        </w:rPr>
        <w:t>、资金申报依据充分。</w:t>
      </w:r>
    </w:p>
    <w:p w14:paraId="653C4059">
      <w:pPr>
        <w:widowControl/>
        <w:adjustRightInd w:val="0"/>
        <w:snapToGrid w:val="0"/>
        <w:spacing w:line="578" w:lineRule="exact"/>
        <w:ind w:firstLine="640" w:firstLineChars="200"/>
        <w:contextualSpacing/>
        <w:jc w:val="left"/>
        <w:rPr>
          <w:sz w:val="32"/>
          <w:szCs w:val="32"/>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w:t>
      </w:r>
    </w:p>
    <w:p w14:paraId="0D1AA489">
      <w:pPr>
        <w:pStyle w:val="2"/>
        <w:spacing w:before="93" w:line="560" w:lineRule="exact"/>
        <w:ind w:firstLine="640" w:firstLineChars="200"/>
        <w:rPr>
          <w:sz w:val="32"/>
          <w:szCs w:val="32"/>
          <w:lang w:val="zh-CN"/>
        </w:rPr>
      </w:pPr>
      <w:r>
        <w:rPr>
          <w:rFonts w:hint="eastAsia"/>
          <w:sz w:val="32"/>
          <w:szCs w:val="32"/>
          <w:lang w:val="zh-CN"/>
        </w:rPr>
        <w:t>县综合执法局资金管理制度健全;该项目主要根据月度考核及验收结果向县财政局申请资金并拨付中标企业;支付范围包括绿地养护、绿化废弃物资源化利用处理场的运行补贴、绿地零星调整、树木安全、鲜花种植及摆放、鲜花雕塑等;支付方式为银行转账。</w:t>
      </w:r>
    </w:p>
    <w:p w14:paraId="35F328AF">
      <w:pPr>
        <w:widowControl/>
        <w:adjustRightInd w:val="0"/>
        <w:snapToGrid w:val="0"/>
        <w:spacing w:line="578" w:lineRule="exact"/>
        <w:ind w:firstLine="640" w:firstLineChars="200"/>
        <w:contextualSpacing/>
        <w:jc w:val="left"/>
        <w:rPr>
          <w:sz w:val="32"/>
          <w:szCs w:val="32"/>
          <w:lang w:val="zh-CN"/>
        </w:rPr>
      </w:pPr>
      <w:r>
        <w:rPr>
          <w:rFonts w:hint="eastAsia" w:ascii="仿宋_GB2312" w:hAnsi="仿宋_GB2312" w:eastAsia="仿宋_GB2312" w:cs="仿宋_GB2312"/>
          <w:kern w:val="0"/>
          <w:sz w:val="32"/>
          <w:szCs w:val="32"/>
          <w:shd w:val="clear" w:color="auto" w:fill="FFFFFF"/>
          <w:lang w:val="zh-CN"/>
        </w:rPr>
        <w:t>4．资金分配的原则及考虑因素。</w:t>
      </w:r>
    </w:p>
    <w:p w14:paraId="4B3072DA">
      <w:pPr>
        <w:pStyle w:val="2"/>
        <w:spacing w:before="93" w:line="560" w:lineRule="exact"/>
        <w:ind w:firstLine="640" w:firstLineChars="200"/>
        <w:rPr>
          <w:sz w:val="32"/>
          <w:szCs w:val="32"/>
          <w:lang w:val="zh-CN"/>
        </w:rPr>
      </w:pPr>
      <w:r>
        <w:rPr>
          <w:rFonts w:hint="eastAsia"/>
          <w:sz w:val="32"/>
          <w:szCs w:val="32"/>
          <w:lang w:val="zh-CN"/>
        </w:rPr>
        <w:t>项目资金的分配遵循公开、公正、科学、高效原则，采用项目和因素结合的分配方法,主要根据项目预算及项目实际发生工作量得出的项目资金指标数，考虑因素包括人工成本、生产材料投入、项目实施质量及工作量变动进行动态调整。</w:t>
      </w:r>
    </w:p>
    <w:p w14:paraId="50E2FB50">
      <w:pPr>
        <w:numPr>
          <w:ilvl w:val="0"/>
          <w:numId w:val="9"/>
        </w:num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项目绩效目标。</w:t>
      </w:r>
    </w:p>
    <w:p w14:paraId="580C8ABC">
      <w:pPr>
        <w:adjustRightInd w:val="0"/>
        <w:snapToGrid w:val="0"/>
        <w:spacing w:line="560" w:lineRule="exact"/>
        <w:ind w:firstLine="630" w:firstLineChars="300"/>
        <w:rPr>
          <w:rFonts w:eastAsia="仿宋_GB2312"/>
        </w:rPr>
      </w:pPr>
      <w:r>
        <w:rPr>
          <w:rFonts w:hint="eastAsia"/>
        </w:rPr>
        <w:t xml:space="preserve"> </w:t>
      </w:r>
      <w:r>
        <w:rPr>
          <w:rFonts w:hint="eastAsia" w:eastAsia="仿宋_GB2312"/>
          <w:kern w:val="0"/>
          <w:sz w:val="32"/>
          <w:szCs w:val="32"/>
          <w:lang w:val="zh-CN"/>
        </w:rPr>
        <w:t>1、项目主要内容。</w:t>
      </w:r>
    </w:p>
    <w:p w14:paraId="63F11819">
      <w:pPr>
        <w:pStyle w:val="2"/>
        <w:spacing w:before="93" w:line="560" w:lineRule="exact"/>
        <w:ind w:firstLine="640" w:firstLineChars="200"/>
        <w:rPr>
          <w:sz w:val="32"/>
          <w:szCs w:val="32"/>
          <w:lang w:val="zh-CN"/>
        </w:rPr>
      </w:pPr>
      <w:r>
        <w:rPr>
          <w:rFonts w:hint="eastAsia"/>
          <w:sz w:val="32"/>
          <w:szCs w:val="32"/>
          <w:lang w:val="zh-CN"/>
        </w:rPr>
        <w:t>项目主要内容包括对城区40余万平方米绿化进行养护;绿化废弃物资源化利用处理场运行维护;对树木进行安全巡查、加固支撑、消除绿地安全隐患等;对存量绿地进行更新;在节点位置进行鲜花种植和摆放;建设春节、国庆、五一鲜花雕塑。</w:t>
      </w:r>
    </w:p>
    <w:p w14:paraId="1D912EFB">
      <w:pPr>
        <w:adjustRightInd w:val="0"/>
        <w:snapToGrid w:val="0"/>
        <w:spacing w:line="560" w:lineRule="exact"/>
        <w:ind w:firstLine="640" w:firstLineChars="200"/>
        <w:rPr>
          <w:sz w:val="32"/>
          <w:szCs w:val="32"/>
          <w:lang w:val="zh-CN"/>
        </w:rPr>
      </w:pPr>
      <w:r>
        <w:rPr>
          <w:rFonts w:hint="eastAsia" w:eastAsia="仿宋_GB2312"/>
          <w:kern w:val="0"/>
          <w:sz w:val="32"/>
          <w:szCs w:val="32"/>
          <w:lang w:val="zh-CN"/>
        </w:rPr>
        <w:t>2、项目应实现的具体绩效目标，包括目标的量化、细化情况以及项目实施进度计划等。</w:t>
      </w:r>
    </w:p>
    <w:p w14:paraId="375604AF">
      <w:pPr>
        <w:pStyle w:val="2"/>
        <w:spacing w:before="93" w:line="560" w:lineRule="exact"/>
        <w:ind w:firstLine="640" w:firstLineChars="200"/>
        <w:rPr>
          <w:rFonts w:ascii="Times New Roman"/>
          <w:sz w:val="32"/>
          <w:szCs w:val="32"/>
          <w:lang w:val="zh-CN"/>
        </w:rPr>
      </w:pPr>
      <w:r>
        <w:rPr>
          <w:rFonts w:hint="eastAsia" w:ascii="Times New Roman"/>
          <w:sz w:val="32"/>
          <w:szCs w:val="32"/>
          <w:lang w:val="zh-CN"/>
        </w:rPr>
        <w:t>（1）</w:t>
      </w:r>
      <w:r>
        <w:rPr>
          <w:rFonts w:ascii="Times New Roman"/>
          <w:sz w:val="32"/>
          <w:szCs w:val="32"/>
          <w:lang w:val="zh-CN"/>
        </w:rPr>
        <w:t>绿地养护</w:t>
      </w:r>
      <w:r>
        <w:rPr>
          <w:rFonts w:hint="eastAsia" w:ascii="Times New Roman"/>
          <w:sz w:val="32"/>
          <w:szCs w:val="32"/>
          <w:lang w:val="zh-CN"/>
        </w:rPr>
        <w:t>，</w:t>
      </w:r>
      <w:r>
        <w:rPr>
          <w:rFonts w:ascii="Times New Roman"/>
          <w:sz w:val="32"/>
          <w:szCs w:val="32"/>
          <w:lang w:val="zh-CN"/>
        </w:rPr>
        <w:t>对建成区</w:t>
      </w:r>
      <w:r>
        <w:rPr>
          <w:rFonts w:hint="eastAsia" w:ascii="Times New Roman"/>
          <w:sz w:val="32"/>
          <w:szCs w:val="32"/>
          <w:lang w:val="zh-CN"/>
        </w:rPr>
        <w:t>40余万</w:t>
      </w:r>
      <w:r>
        <w:rPr>
          <w:rFonts w:ascii="Times New Roman"/>
          <w:sz w:val="32"/>
          <w:szCs w:val="32"/>
          <w:lang w:val="zh-CN"/>
        </w:rPr>
        <w:t>平方米绿化进行养护</w:t>
      </w:r>
      <w:r>
        <w:rPr>
          <w:rFonts w:hint="eastAsia" w:ascii="Times New Roman"/>
          <w:sz w:val="32"/>
          <w:szCs w:val="32"/>
          <w:lang w:val="zh-CN"/>
        </w:rPr>
        <w:t>，保障城区绿地景观效果。</w:t>
      </w:r>
    </w:p>
    <w:p w14:paraId="6952B904">
      <w:pPr>
        <w:pStyle w:val="2"/>
        <w:spacing w:before="93" w:line="560" w:lineRule="exact"/>
        <w:ind w:firstLine="640" w:firstLineChars="200"/>
        <w:rPr>
          <w:rFonts w:ascii="Times New Roman"/>
          <w:sz w:val="32"/>
          <w:szCs w:val="32"/>
          <w:lang w:val="zh-CN"/>
        </w:rPr>
      </w:pPr>
      <w:r>
        <w:rPr>
          <w:rFonts w:hint="eastAsia" w:ascii="Times New Roman"/>
          <w:sz w:val="32"/>
          <w:szCs w:val="32"/>
          <w:lang w:val="zh-CN"/>
        </w:rPr>
        <w:t>（2）建设绿地废弃物资源化利用处理场。采用“好氧沤堆”方式将城区绿化养护范围内绿化废弃物转化为绿化用有机基质，用于城区绿化养护范围内的绿地土壤改良。</w:t>
      </w:r>
    </w:p>
    <w:p w14:paraId="629E8147">
      <w:pPr>
        <w:pStyle w:val="2"/>
        <w:spacing w:before="93" w:line="560" w:lineRule="exact"/>
        <w:ind w:firstLine="640" w:firstLineChars="200"/>
        <w:rPr>
          <w:rFonts w:ascii="Times New Roman"/>
          <w:sz w:val="32"/>
          <w:szCs w:val="32"/>
          <w:lang w:val="zh-CN"/>
        </w:rPr>
      </w:pPr>
      <w:r>
        <w:rPr>
          <w:rFonts w:hint="eastAsia" w:ascii="Times New Roman"/>
          <w:sz w:val="32"/>
          <w:szCs w:val="32"/>
          <w:lang w:val="zh-CN"/>
        </w:rPr>
        <w:t>（3）绿地零星调整。预算年度绿地零星调整经费为20万元/年，养护企业按照米易县综合执法局要求进行绿地更新，结合绿地实际情况，2022年度计划更新地被植物1500余平方米。</w:t>
      </w:r>
    </w:p>
    <w:p w14:paraId="0808D2ED">
      <w:pPr>
        <w:pStyle w:val="2"/>
        <w:spacing w:before="93" w:line="560" w:lineRule="exact"/>
        <w:ind w:firstLine="640" w:firstLineChars="200"/>
        <w:rPr>
          <w:rFonts w:ascii="Times New Roman"/>
          <w:sz w:val="32"/>
          <w:szCs w:val="32"/>
          <w:lang w:val="zh-CN"/>
        </w:rPr>
      </w:pPr>
      <w:r>
        <w:rPr>
          <w:rFonts w:hint="eastAsia" w:ascii="Times New Roman"/>
          <w:sz w:val="32"/>
          <w:szCs w:val="32"/>
          <w:lang w:val="zh-CN"/>
        </w:rPr>
        <w:t>（4）树木安全。预算年度树木安全经费12万元/年，用于隐患乔木修剪整形、树木支撑、封闭树洞、移植移除等。2022年度加强树木安全巡查，根据实际隐患乔木情况进行作业，尽量减少绿地安全隐患。</w:t>
      </w:r>
    </w:p>
    <w:p w14:paraId="4A7F0BC5">
      <w:pPr>
        <w:pStyle w:val="2"/>
        <w:spacing w:before="93" w:line="560" w:lineRule="exact"/>
        <w:ind w:firstLine="640" w:firstLineChars="200"/>
        <w:rPr>
          <w:rFonts w:ascii="Times New Roman"/>
          <w:sz w:val="32"/>
          <w:szCs w:val="32"/>
          <w:lang w:val="zh-CN"/>
        </w:rPr>
      </w:pPr>
      <w:r>
        <w:rPr>
          <w:rFonts w:hint="eastAsia" w:ascii="Times New Roman"/>
          <w:sz w:val="32"/>
          <w:szCs w:val="32"/>
          <w:lang w:val="zh-CN"/>
        </w:rPr>
        <w:t>（5）鲜花种植及摆放。对主城区迎宾大道、人民路、易园、绿道等22处节点位置进行鲜花种植和摆放，其中鲜花种植面积2848平方米/次、鲜花摆放32608盆/次，2022 年计划鲜花种植及摆放各6次，以及完成春节、国庆、五一等6组节庆鲜花雕塑建设。</w:t>
      </w:r>
    </w:p>
    <w:p w14:paraId="4EBDE11F">
      <w:pPr>
        <w:pStyle w:val="2"/>
        <w:spacing w:before="93" w:line="560" w:lineRule="exact"/>
        <w:ind w:firstLine="640" w:firstLineChars="200"/>
        <w:rPr>
          <w:sz w:val="32"/>
          <w:szCs w:val="32"/>
          <w:lang w:val="zh-CN"/>
        </w:rPr>
      </w:pPr>
      <w:r>
        <w:rPr>
          <w:rFonts w:hint="eastAsia"/>
          <w:sz w:val="32"/>
          <w:szCs w:val="32"/>
          <w:lang w:val="zh-CN"/>
        </w:rPr>
        <w:t>县综合执法局制定的招标工作方案中关于项目的规划、与中标单位合同义务相符，同时根据对中标单位的考核结果、验收单及验收过程影像资料综合分析，该项目实施完成情况与规划情况相符，申报目标合理可行。</w:t>
      </w:r>
    </w:p>
    <w:p w14:paraId="69F9D6F3">
      <w:pPr>
        <w:numPr>
          <w:ilvl w:val="0"/>
          <w:numId w:val="9"/>
        </w:num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项目自评步骤及方法。</w:t>
      </w:r>
    </w:p>
    <w:p w14:paraId="44781FAA">
      <w:pPr>
        <w:pStyle w:val="2"/>
        <w:spacing w:before="93" w:line="560" w:lineRule="exact"/>
        <w:ind w:firstLine="640" w:firstLineChars="200"/>
        <w:rPr>
          <w:lang w:val="zh-CN"/>
        </w:rPr>
      </w:pPr>
      <w:r>
        <w:rPr>
          <w:rFonts w:hint="eastAsia"/>
          <w:sz w:val="32"/>
          <w:szCs w:val="32"/>
        </w:rPr>
        <w:t>项目在政府采购招标前期县综合执法局组织了县发改局、县财政局、县公共资源交易中心召开了《县城区绿化养护第三轮市场化招标综合评分表征求意见会》，县财政局负责项目政府采购备案、资金保障、资金拨付等，县发改局负责该项目中绿化废弃物资源化利用处理场建设前期立项等，县综合执法局负责该项目的实施、日常考核及验收等。</w:t>
      </w:r>
    </w:p>
    <w:p w14:paraId="0CCA00A9">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5576750E">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20C73B1C">
      <w:pPr>
        <w:pStyle w:val="2"/>
        <w:spacing w:before="93" w:line="560" w:lineRule="exact"/>
        <w:ind w:firstLine="640" w:firstLineChars="200"/>
        <w:rPr>
          <w:lang w:val="zh-CN"/>
        </w:rPr>
      </w:pPr>
      <w:r>
        <w:rPr>
          <w:rFonts w:hint="eastAsia"/>
          <w:sz w:val="32"/>
          <w:szCs w:val="32"/>
          <w:lang w:val="zh-CN"/>
        </w:rPr>
        <w:t>县综合执法局向县政府申请该项目招标经费的请示(米综执</w:t>
      </w:r>
      <w:r>
        <w:rPr>
          <w:rFonts w:ascii="Times New Roman"/>
          <w:sz w:val="32"/>
          <w:szCs w:val="32"/>
        </w:rPr>
        <w:t>〔2020〕</w:t>
      </w:r>
      <w:r>
        <w:rPr>
          <w:rFonts w:ascii="Times New Roman"/>
          <w:sz w:val="32"/>
          <w:szCs w:val="32"/>
          <w:lang w:val="zh-CN"/>
        </w:rPr>
        <w:t xml:space="preserve"> 78号文件)</w:t>
      </w:r>
      <w:r>
        <w:rPr>
          <w:rFonts w:hint="eastAsia" w:ascii="Times New Roman"/>
          <w:sz w:val="32"/>
          <w:szCs w:val="32"/>
          <w:lang w:val="zh-CN"/>
        </w:rPr>
        <w:t>，依据</w:t>
      </w:r>
      <w:r>
        <w:rPr>
          <w:rFonts w:ascii="Times New Roman"/>
          <w:sz w:val="32"/>
          <w:szCs w:val="32"/>
          <w:lang w:val="zh-CN"/>
        </w:rPr>
        <w:t>米易县人民政府第九十三次常务会议纪要(米府纪</w:t>
      </w:r>
      <w:r>
        <w:rPr>
          <w:rFonts w:ascii="Times New Roman"/>
          <w:sz w:val="32"/>
          <w:szCs w:val="32"/>
        </w:rPr>
        <w:t>〔2020〕</w:t>
      </w:r>
      <w:r>
        <w:rPr>
          <w:rFonts w:ascii="Times New Roman"/>
          <w:sz w:val="32"/>
          <w:szCs w:val="32"/>
          <w:lang w:val="zh-CN"/>
        </w:rPr>
        <w:t>25号)</w:t>
      </w:r>
      <w:r>
        <w:rPr>
          <w:rFonts w:hint="eastAsia"/>
          <w:sz w:val="32"/>
          <w:szCs w:val="32"/>
          <w:lang w:val="zh-CN"/>
        </w:rPr>
        <w:t>、中共米易县委财经委员会会议纪要对该项目的同意决定后，由县综合执法局按政府采购流程及规定组织采购，每月根据县综合执法局对中标企业考核结果及验收情况核定后按实际审核金额拨款。资金申请、批复程序完备。</w:t>
      </w:r>
    </w:p>
    <w:p w14:paraId="2B62E6F6">
      <w:pPr>
        <w:adjustRightInd w:val="0"/>
        <w:snapToGrid w:val="0"/>
        <w:spacing w:line="560"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14:paraId="2519E743">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w:t>
      </w:r>
    </w:p>
    <w:p w14:paraId="39442ACE">
      <w:pPr>
        <w:widowControl/>
        <w:adjustRightInd w:val="0"/>
        <w:snapToGrid w:val="0"/>
        <w:spacing w:line="560" w:lineRule="exact"/>
        <w:ind w:firstLine="640" w:firstLineChars="200"/>
        <w:contextualSpacing/>
        <w:jc w:val="left"/>
        <w:rPr>
          <w:rFonts w:eastAsia="仿宋_GB2312"/>
          <w:kern w:val="0"/>
          <w:sz w:val="32"/>
          <w:szCs w:val="32"/>
          <w:shd w:val="clear" w:color="auto" w:fill="FFFFFF"/>
          <w:lang w:val="zh-CN"/>
        </w:rPr>
      </w:pPr>
      <w:r>
        <w:rPr>
          <w:rFonts w:hAnsi="仿宋_GB2312" w:eastAsia="仿宋_GB2312"/>
          <w:kern w:val="0"/>
          <w:sz w:val="32"/>
          <w:szCs w:val="32"/>
          <w:shd w:val="clear" w:color="auto" w:fill="FFFFFF"/>
          <w:lang w:val="zh-CN"/>
        </w:rPr>
        <w:t>米易县城区第三轮绿化养护项目预算</w:t>
      </w:r>
      <w:r>
        <w:rPr>
          <w:rFonts w:eastAsia="仿宋_GB2312"/>
          <w:kern w:val="0"/>
          <w:sz w:val="32"/>
          <w:szCs w:val="32"/>
          <w:shd w:val="clear" w:color="auto" w:fill="FFFFFF"/>
          <w:lang w:val="zh-CN"/>
        </w:rPr>
        <w:t>3278.23</w:t>
      </w:r>
      <w:r>
        <w:rPr>
          <w:rFonts w:hAnsi="仿宋_GB2312" w:eastAsia="仿宋_GB2312"/>
          <w:kern w:val="0"/>
          <w:sz w:val="32"/>
          <w:szCs w:val="32"/>
          <w:shd w:val="clear" w:color="auto" w:fill="FFFFFF"/>
          <w:lang w:val="zh-CN"/>
        </w:rPr>
        <w:t>万元，政府采购合同价为</w:t>
      </w:r>
      <w:r>
        <w:rPr>
          <w:rFonts w:eastAsia="仿宋_GB2312"/>
          <w:kern w:val="0"/>
          <w:sz w:val="32"/>
          <w:szCs w:val="32"/>
          <w:shd w:val="clear" w:color="auto" w:fill="FFFFFF"/>
          <w:lang w:val="zh-CN"/>
        </w:rPr>
        <w:t>3225.49</w:t>
      </w:r>
      <w:r>
        <w:rPr>
          <w:rFonts w:hAnsi="仿宋_GB2312" w:eastAsia="仿宋_GB2312"/>
          <w:kern w:val="0"/>
          <w:sz w:val="32"/>
          <w:szCs w:val="32"/>
          <w:shd w:val="clear" w:color="auto" w:fill="FFFFFF"/>
          <w:lang w:val="zh-CN"/>
        </w:rPr>
        <w:t>万元，为期三年即</w:t>
      </w:r>
      <w:r>
        <w:rPr>
          <w:rFonts w:eastAsia="仿宋_GB2312"/>
          <w:kern w:val="0"/>
          <w:sz w:val="32"/>
          <w:szCs w:val="32"/>
          <w:shd w:val="clear" w:color="auto" w:fill="FFFFFF"/>
          <w:lang w:val="zh-CN"/>
        </w:rPr>
        <w:t>2021</w:t>
      </w:r>
      <w:r>
        <w:rPr>
          <w:rFonts w:hAnsi="仿宋_GB2312" w:eastAsia="仿宋_GB2312"/>
          <w:kern w:val="0"/>
          <w:sz w:val="32"/>
          <w:szCs w:val="32"/>
          <w:shd w:val="clear" w:color="auto" w:fill="FFFFFF"/>
          <w:lang w:val="zh-CN"/>
        </w:rPr>
        <w:t>年</w:t>
      </w:r>
      <w:r>
        <w:rPr>
          <w:rFonts w:eastAsia="仿宋_GB2312"/>
          <w:kern w:val="0"/>
          <w:sz w:val="32"/>
          <w:szCs w:val="32"/>
          <w:shd w:val="clear" w:color="auto" w:fill="FFFFFF"/>
          <w:lang w:val="zh-CN"/>
        </w:rPr>
        <w:t>2</w:t>
      </w:r>
      <w:r>
        <w:rPr>
          <w:rFonts w:hAnsi="仿宋_GB2312" w:eastAsia="仿宋_GB2312"/>
          <w:kern w:val="0"/>
          <w:sz w:val="32"/>
          <w:szCs w:val="32"/>
          <w:shd w:val="clear" w:color="auto" w:fill="FFFFFF"/>
          <w:lang w:val="zh-CN"/>
        </w:rPr>
        <w:t>月</w:t>
      </w:r>
      <w:r>
        <w:rPr>
          <w:rFonts w:eastAsia="仿宋_GB2312"/>
          <w:kern w:val="0"/>
          <w:sz w:val="32"/>
          <w:szCs w:val="32"/>
          <w:shd w:val="clear" w:color="auto" w:fill="FFFFFF"/>
          <w:lang w:val="zh-CN"/>
        </w:rPr>
        <w:t>1</w:t>
      </w:r>
      <w:r>
        <w:rPr>
          <w:rFonts w:hAnsi="仿宋_GB2312" w:eastAsia="仿宋_GB2312"/>
          <w:kern w:val="0"/>
          <w:sz w:val="32"/>
          <w:szCs w:val="32"/>
          <w:shd w:val="clear" w:color="auto" w:fill="FFFFFF"/>
          <w:lang w:val="zh-CN"/>
        </w:rPr>
        <w:t>日</w:t>
      </w:r>
      <w:r>
        <w:rPr>
          <w:rFonts w:eastAsia="仿宋_GB2312"/>
          <w:kern w:val="0"/>
          <w:sz w:val="32"/>
          <w:szCs w:val="32"/>
          <w:shd w:val="clear" w:color="auto" w:fill="FFFFFF"/>
          <w:lang w:val="zh-CN"/>
        </w:rPr>
        <w:t>-2024</w:t>
      </w:r>
      <w:r>
        <w:rPr>
          <w:rFonts w:hAnsi="仿宋_GB2312" w:eastAsia="仿宋_GB2312"/>
          <w:kern w:val="0"/>
          <w:sz w:val="32"/>
          <w:szCs w:val="32"/>
          <w:shd w:val="clear" w:color="auto" w:fill="FFFFFF"/>
          <w:lang w:val="zh-CN"/>
        </w:rPr>
        <w:t>年</w:t>
      </w:r>
      <w:r>
        <w:rPr>
          <w:rFonts w:eastAsia="仿宋_GB2312"/>
          <w:kern w:val="0"/>
          <w:sz w:val="32"/>
          <w:szCs w:val="32"/>
          <w:shd w:val="clear" w:color="auto" w:fill="FFFFFF"/>
          <w:lang w:val="zh-CN"/>
        </w:rPr>
        <w:t>1</w:t>
      </w:r>
      <w:r>
        <w:rPr>
          <w:rFonts w:hAnsi="仿宋_GB2312" w:eastAsia="仿宋_GB2312"/>
          <w:kern w:val="0"/>
          <w:sz w:val="32"/>
          <w:szCs w:val="32"/>
          <w:shd w:val="clear" w:color="auto" w:fill="FFFFFF"/>
          <w:lang w:val="zh-CN"/>
        </w:rPr>
        <w:t>月</w:t>
      </w:r>
      <w:r>
        <w:rPr>
          <w:rFonts w:eastAsia="仿宋_GB2312"/>
          <w:kern w:val="0"/>
          <w:sz w:val="32"/>
          <w:szCs w:val="32"/>
          <w:shd w:val="clear" w:color="auto" w:fill="FFFFFF"/>
          <w:lang w:val="zh-CN"/>
        </w:rPr>
        <w:t>31</w:t>
      </w:r>
      <w:r>
        <w:rPr>
          <w:rFonts w:hAnsi="仿宋_GB2312" w:eastAsia="仿宋_GB2312"/>
          <w:kern w:val="0"/>
          <w:sz w:val="32"/>
          <w:szCs w:val="32"/>
          <w:shd w:val="clear" w:color="auto" w:fill="FFFFFF"/>
          <w:lang w:val="zh-CN"/>
        </w:rPr>
        <w:t>日，</w:t>
      </w:r>
      <w:r>
        <w:rPr>
          <w:rFonts w:eastAsia="仿宋_GB2312"/>
          <w:kern w:val="0"/>
          <w:sz w:val="32"/>
          <w:szCs w:val="32"/>
          <w:shd w:val="clear" w:color="auto" w:fill="FFFFFF"/>
          <w:lang w:val="zh-CN"/>
        </w:rPr>
        <w:t>202</w:t>
      </w:r>
      <w:r>
        <w:rPr>
          <w:rFonts w:hint="eastAsia" w:eastAsia="仿宋_GB2312"/>
          <w:kern w:val="0"/>
          <w:sz w:val="32"/>
          <w:szCs w:val="32"/>
          <w:shd w:val="clear" w:color="auto" w:fill="FFFFFF"/>
          <w:lang w:val="zh-CN"/>
        </w:rPr>
        <w:t>1</w:t>
      </w:r>
      <w:r>
        <w:rPr>
          <w:rFonts w:hAnsi="仿宋_GB2312" w:eastAsia="仿宋_GB2312"/>
          <w:kern w:val="0"/>
          <w:sz w:val="32"/>
          <w:szCs w:val="32"/>
          <w:shd w:val="clear" w:color="auto" w:fill="FFFFFF"/>
          <w:lang w:val="zh-CN"/>
        </w:rPr>
        <w:t>年</w:t>
      </w:r>
      <w:r>
        <w:rPr>
          <w:rFonts w:eastAsia="仿宋_GB2312"/>
          <w:kern w:val="0"/>
          <w:sz w:val="32"/>
          <w:szCs w:val="32"/>
          <w:shd w:val="clear" w:color="auto" w:fill="FFFFFF"/>
          <w:lang w:val="zh-CN"/>
        </w:rPr>
        <w:t>1</w:t>
      </w:r>
      <w:r>
        <w:rPr>
          <w:rFonts w:hint="eastAsia" w:eastAsia="仿宋_GB2312"/>
          <w:kern w:val="0"/>
          <w:sz w:val="32"/>
          <w:szCs w:val="32"/>
          <w:shd w:val="clear" w:color="auto" w:fill="FFFFFF"/>
          <w:lang w:val="zh-CN"/>
        </w:rPr>
        <w:t>1</w:t>
      </w:r>
      <w:r>
        <w:rPr>
          <w:rFonts w:hAnsi="仿宋_GB2312" w:eastAsia="仿宋_GB2312"/>
          <w:kern w:val="0"/>
          <w:sz w:val="32"/>
          <w:szCs w:val="32"/>
          <w:shd w:val="clear" w:color="auto" w:fill="FFFFFF"/>
          <w:lang w:val="zh-CN"/>
        </w:rPr>
        <w:t>月</w:t>
      </w:r>
      <w:r>
        <w:rPr>
          <w:rFonts w:eastAsia="仿宋_GB2312"/>
          <w:kern w:val="0"/>
          <w:sz w:val="32"/>
          <w:szCs w:val="32"/>
          <w:shd w:val="clear" w:color="auto" w:fill="FFFFFF"/>
          <w:lang w:val="zh-CN"/>
        </w:rPr>
        <w:t>-202</w:t>
      </w:r>
      <w:r>
        <w:rPr>
          <w:rFonts w:hint="eastAsia" w:eastAsia="仿宋_GB2312"/>
          <w:kern w:val="0"/>
          <w:sz w:val="32"/>
          <w:szCs w:val="32"/>
          <w:shd w:val="clear" w:color="auto" w:fill="FFFFFF"/>
          <w:lang w:val="zh-CN"/>
        </w:rPr>
        <w:t>2</w:t>
      </w:r>
      <w:r>
        <w:rPr>
          <w:rFonts w:hAnsi="仿宋_GB2312" w:eastAsia="仿宋_GB2312"/>
          <w:kern w:val="0"/>
          <w:sz w:val="32"/>
          <w:szCs w:val="32"/>
          <w:shd w:val="clear" w:color="auto" w:fill="FFFFFF"/>
          <w:lang w:val="zh-CN"/>
        </w:rPr>
        <w:t>年</w:t>
      </w:r>
      <w:r>
        <w:rPr>
          <w:rFonts w:eastAsia="仿宋_GB2312"/>
          <w:kern w:val="0"/>
          <w:sz w:val="32"/>
          <w:szCs w:val="32"/>
          <w:shd w:val="clear" w:color="auto" w:fill="FFFFFF"/>
          <w:lang w:val="zh-CN"/>
        </w:rPr>
        <w:t>10</w:t>
      </w:r>
      <w:r>
        <w:rPr>
          <w:rFonts w:hAnsi="仿宋_GB2312" w:eastAsia="仿宋_GB2312"/>
          <w:kern w:val="0"/>
          <w:sz w:val="32"/>
          <w:szCs w:val="32"/>
          <w:shd w:val="clear" w:color="auto" w:fill="FFFFFF"/>
          <w:lang w:val="zh-CN"/>
        </w:rPr>
        <w:t>月绩效目标申报预算资金为</w:t>
      </w:r>
      <w:r>
        <w:rPr>
          <w:rFonts w:eastAsia="仿宋_GB2312"/>
          <w:kern w:val="0"/>
          <w:sz w:val="32"/>
          <w:szCs w:val="32"/>
          <w:shd w:val="clear" w:color="auto" w:fill="FFFFFF"/>
          <w:lang w:val="zh-CN"/>
        </w:rPr>
        <w:t>1084.62万</w:t>
      </w:r>
      <w:r>
        <w:rPr>
          <w:rFonts w:hAnsi="仿宋_GB2312" w:eastAsia="仿宋_GB2312"/>
          <w:kern w:val="0"/>
          <w:sz w:val="32"/>
          <w:szCs w:val="32"/>
          <w:shd w:val="clear" w:color="auto" w:fill="FFFFFF"/>
          <w:lang w:val="zh-CN"/>
        </w:rPr>
        <w:t>元，资金来源于县级财政资金。</w:t>
      </w:r>
    </w:p>
    <w:p w14:paraId="3C9AEFDD">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p>
    <w:p w14:paraId="2094AC9C">
      <w:pPr>
        <w:pStyle w:val="2"/>
        <w:spacing w:before="93" w:line="560" w:lineRule="exact"/>
        <w:ind w:firstLine="640" w:firstLineChars="200"/>
        <w:rPr>
          <w:rFonts w:ascii="Times New Roman"/>
          <w:sz w:val="32"/>
          <w:szCs w:val="32"/>
          <w:lang w:val="zh-CN"/>
        </w:rPr>
      </w:pPr>
      <w:r>
        <w:rPr>
          <w:rFonts w:ascii="Times New Roman"/>
          <w:sz w:val="32"/>
          <w:szCs w:val="32"/>
          <w:lang w:val="zh-CN"/>
        </w:rPr>
        <w:t>县综合执法局根据对项目月度实施的考核结果及验收情况向县财政局申请资金，该项目202</w:t>
      </w:r>
      <w:r>
        <w:rPr>
          <w:rFonts w:hint="eastAsia" w:ascii="Times New Roman"/>
          <w:sz w:val="32"/>
          <w:szCs w:val="32"/>
          <w:lang w:val="zh-CN"/>
        </w:rPr>
        <w:t>2</w:t>
      </w:r>
      <w:r>
        <w:rPr>
          <w:rFonts w:ascii="Times New Roman"/>
          <w:sz w:val="32"/>
          <w:szCs w:val="32"/>
          <w:lang w:val="zh-CN"/>
        </w:rPr>
        <w:t>年申请金额</w:t>
      </w:r>
      <w:r>
        <w:rPr>
          <w:rFonts w:hint="eastAsia" w:ascii="Times New Roman"/>
          <w:sz w:val="32"/>
          <w:szCs w:val="32"/>
          <w:lang w:val="zh-CN"/>
        </w:rPr>
        <w:t>1084.62</w:t>
      </w:r>
      <w:r>
        <w:rPr>
          <w:rFonts w:ascii="Times New Roman"/>
          <w:sz w:val="32"/>
          <w:szCs w:val="32"/>
          <w:lang w:val="zh-CN"/>
        </w:rPr>
        <w:t>万元(2021年</w:t>
      </w:r>
      <w:r>
        <w:rPr>
          <w:rFonts w:hint="eastAsia" w:ascii="Times New Roman"/>
          <w:sz w:val="32"/>
          <w:szCs w:val="32"/>
          <w:lang w:val="zh-CN"/>
        </w:rPr>
        <w:t>11</w:t>
      </w:r>
      <w:r>
        <w:rPr>
          <w:rFonts w:ascii="Times New Roman"/>
          <w:sz w:val="32"/>
          <w:szCs w:val="32"/>
          <w:lang w:val="zh-CN"/>
        </w:rPr>
        <w:t>月-</w:t>
      </w:r>
      <w:r>
        <w:rPr>
          <w:rFonts w:hint="eastAsia" w:ascii="Times New Roman"/>
          <w:sz w:val="32"/>
          <w:szCs w:val="32"/>
          <w:lang w:val="zh-CN"/>
        </w:rPr>
        <w:t>2022年10</w:t>
      </w:r>
      <w:r>
        <w:rPr>
          <w:rFonts w:ascii="Times New Roman"/>
          <w:sz w:val="32"/>
          <w:szCs w:val="32"/>
          <w:lang w:val="zh-CN"/>
        </w:rPr>
        <w:t>月资金)，实际到位金额</w:t>
      </w:r>
      <w:r>
        <w:rPr>
          <w:rFonts w:hint="eastAsia" w:ascii="Times New Roman"/>
          <w:sz w:val="32"/>
          <w:szCs w:val="32"/>
          <w:lang w:val="zh-CN"/>
        </w:rPr>
        <w:t>1084.62</w:t>
      </w:r>
      <w:r>
        <w:rPr>
          <w:rFonts w:ascii="Times New Roman"/>
          <w:sz w:val="32"/>
          <w:szCs w:val="32"/>
          <w:lang w:val="zh-CN"/>
        </w:rPr>
        <w:t>万元，资金到位率100%。</w:t>
      </w:r>
    </w:p>
    <w:p w14:paraId="45E879EA">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p>
    <w:p w14:paraId="272B0B19">
      <w:pPr>
        <w:pStyle w:val="2"/>
        <w:spacing w:before="93" w:line="560" w:lineRule="exact"/>
        <w:ind w:firstLine="640" w:firstLineChars="200"/>
        <w:rPr>
          <w:rFonts w:ascii="Times New Roman"/>
          <w:sz w:val="32"/>
          <w:szCs w:val="32"/>
          <w:lang w:val="zh-CN"/>
        </w:rPr>
      </w:pPr>
      <w:r>
        <w:rPr>
          <w:rFonts w:ascii="Times New Roman"/>
          <w:sz w:val="32"/>
          <w:szCs w:val="32"/>
          <w:lang w:val="zh-CN"/>
        </w:rPr>
        <w:t>202</w:t>
      </w:r>
      <w:r>
        <w:rPr>
          <w:rFonts w:hint="eastAsia" w:ascii="Times New Roman"/>
          <w:sz w:val="32"/>
          <w:szCs w:val="32"/>
          <w:lang w:val="zh-CN"/>
        </w:rPr>
        <w:t>2</w:t>
      </w:r>
      <w:r>
        <w:rPr>
          <w:rFonts w:ascii="Times New Roman"/>
          <w:sz w:val="32"/>
          <w:szCs w:val="32"/>
          <w:lang w:val="zh-CN"/>
        </w:rPr>
        <w:t>年县级财政下达项目资金共计</w:t>
      </w:r>
      <w:r>
        <w:rPr>
          <w:rFonts w:hint="eastAsia" w:ascii="Times New Roman"/>
          <w:sz w:val="32"/>
          <w:szCs w:val="32"/>
          <w:lang w:val="zh-CN"/>
        </w:rPr>
        <w:t>1084.62</w:t>
      </w:r>
      <w:r>
        <w:rPr>
          <w:rFonts w:ascii="Times New Roman"/>
          <w:sz w:val="32"/>
          <w:szCs w:val="32"/>
          <w:lang w:val="zh-CN"/>
        </w:rPr>
        <w:t>万元，并支付中标企业</w:t>
      </w:r>
      <w:r>
        <w:rPr>
          <w:rFonts w:hint="eastAsia" w:ascii="Times New Roman"/>
          <w:sz w:val="32"/>
          <w:szCs w:val="32"/>
          <w:lang w:val="zh-CN"/>
        </w:rPr>
        <w:t>1084.62</w:t>
      </w:r>
      <w:r>
        <w:rPr>
          <w:rFonts w:ascii="Times New Roman"/>
          <w:sz w:val="32"/>
          <w:szCs w:val="32"/>
          <w:lang w:val="zh-CN"/>
        </w:rPr>
        <w:t>万元，付款凭证及发票附件齐全，支付范围与预算范围一致，支付金额与实际结算金额相符，不存在截留、挤占、挪用、虚列支出等情况。</w:t>
      </w:r>
    </w:p>
    <w:p w14:paraId="024516B1">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7DE88DA4">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eastAsia="仿宋_GB2312" w:cs="仿宋_GB2312"/>
          <w:kern w:val="0"/>
          <w:sz w:val="32"/>
          <w:szCs w:val="32"/>
        </w:rPr>
        <w:t>县综合执法局财务管理制度健全，严格执行财务管理制度，财务处理及时，会计核算规范。</w:t>
      </w:r>
    </w:p>
    <w:p w14:paraId="491F394D">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三、项目实施及管理情况</w:t>
      </w:r>
    </w:p>
    <w:p w14:paraId="6DEE93CE">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6454ACF4">
      <w:pPr>
        <w:pStyle w:val="2"/>
        <w:spacing w:before="93" w:line="560" w:lineRule="exact"/>
        <w:ind w:firstLine="640" w:firstLineChars="200"/>
        <w:rPr>
          <w:sz w:val="32"/>
          <w:szCs w:val="32"/>
          <w:lang w:val="zh-CN"/>
        </w:rPr>
      </w:pPr>
      <w:r>
        <w:rPr>
          <w:rFonts w:hint="eastAsia"/>
          <w:sz w:val="32"/>
          <w:szCs w:val="32"/>
          <w:lang w:val="zh-CN"/>
        </w:rPr>
        <w:t>该项目由县综合执法局牵头组织实施，县财政局、县发改局、县公共资源交易中心参与制定政府采购综合评分表、提出其他相关意见，县综合执法局收集各方意见后组织政府采购工作，由中标企业负责整个项目实施，县综合执法局负责监督管理。</w:t>
      </w:r>
    </w:p>
    <w:p w14:paraId="5BDB970B">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（二）项目管理情况。</w:t>
      </w:r>
    </w:p>
    <w:p w14:paraId="43B4A6DA">
      <w:pPr>
        <w:pStyle w:val="2"/>
        <w:spacing w:before="93" w:line="560" w:lineRule="exact"/>
        <w:ind w:firstLine="640" w:firstLineChars="200"/>
        <w:rPr>
          <w:lang w:val="zh-CN"/>
        </w:rPr>
      </w:pPr>
      <w:r>
        <w:rPr>
          <w:rFonts w:hint="eastAsia"/>
          <w:sz w:val="32"/>
          <w:szCs w:val="32"/>
          <w:lang w:val="zh-CN"/>
        </w:rPr>
        <w:t>米易县城区第三轮绿化养护市场化项目经县政府常务会议、米易县委财经委员会会议审议通过后，县综合执法局制定采购工作方案，开展政府采购活动，该项目严格按照政府采购流程及相关规定开展，采购程序规范。项目财务管理制度、资金管理办法、考核办法健全，项目实施严格按照管理制度执行。</w:t>
      </w:r>
    </w:p>
    <w:p w14:paraId="1EB354EA">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楷体_GB2312" w:hAnsi="宋体" w:eastAsia="楷体_GB2312"/>
          <w:b/>
          <w:sz w:val="32"/>
          <w:szCs w:val="32"/>
          <w:lang w:val="zh-CN"/>
        </w:rPr>
        <w:t>（三）项目监管情况。</w:t>
      </w:r>
    </w:p>
    <w:p w14:paraId="221F1C6F">
      <w:pPr>
        <w:pStyle w:val="2"/>
        <w:spacing w:before="93" w:line="560" w:lineRule="exact"/>
        <w:ind w:firstLine="640" w:firstLineChars="200"/>
        <w:rPr>
          <w:b/>
          <w:lang w:val="zh-CN"/>
        </w:rPr>
      </w:pPr>
      <w:r>
        <w:rPr>
          <w:rFonts w:hint="eastAsia"/>
          <w:sz w:val="32"/>
          <w:szCs w:val="32"/>
          <w:lang w:val="zh-CN"/>
        </w:rPr>
        <w:t>县综合执法局参照国家绿地养护一级标准重新优化了《米易县城区园林绿化养护考核办法)》，根据《米易县城区园林绿化养护考核办法》每月对项目目标进行考核、验收，并对考核情况分析总结提出意见，绩效管理意识强、监管、考核制度完善、考核内容清晰完整，监管工作执行认真、仔细。</w:t>
      </w:r>
    </w:p>
    <w:p w14:paraId="010D5083">
      <w:pPr>
        <w:adjustRightInd w:val="0"/>
        <w:snapToGrid w:val="0"/>
        <w:spacing w:line="560"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3AD9FE0A">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5D148A09">
      <w:pPr>
        <w:widowControl/>
        <w:adjustRightInd w:val="0"/>
        <w:snapToGrid w:val="0"/>
        <w:spacing w:line="560"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分项目类别对应项目安排时确定的绩效目标完成情况进行分析，</w:t>
      </w:r>
      <w:r>
        <w:rPr>
          <w:rFonts w:hint="eastAsia" w:ascii="仿宋_GB2312" w:hAnsi="仿宋_GB2312" w:eastAsia="仿宋_GB2312" w:cs="仿宋_GB2312"/>
          <w:kern w:val="0"/>
          <w:sz w:val="32"/>
          <w:szCs w:val="32"/>
          <w:shd w:val="clear" w:color="auto" w:fill="FFFFFF"/>
          <w:lang w:val="zh-CN"/>
        </w:rPr>
        <w:t>包括项目完成数量、质量、时效、成本等情况，资金结余情况，违规记录等，对照项目计划完成目标对截止评价时点的任务量完成、质量标准、进度计划、成本控制目标的实现程度进行评价，并进行分析说明。</w:t>
      </w:r>
    </w:p>
    <w:p w14:paraId="039B0E3F">
      <w:pPr>
        <w:autoSpaceDE w:val="0"/>
        <w:autoSpaceDN w:val="0"/>
        <w:adjustRightInd w:val="0"/>
        <w:spacing w:line="560" w:lineRule="exact"/>
        <w:ind w:firstLine="640" w:firstLineChars="200"/>
        <w:rPr>
          <w:rFonts w:eastAsia="仿宋_GB2312"/>
          <w:kern w:val="0"/>
          <w:sz w:val="32"/>
          <w:szCs w:val="32"/>
        </w:rPr>
      </w:pPr>
      <w:r>
        <w:rPr>
          <w:rFonts w:eastAsia="仿宋_GB2312"/>
          <w:kern w:val="0"/>
          <w:sz w:val="32"/>
          <w:szCs w:val="32"/>
        </w:rPr>
        <w:t>1.养护标段</w:t>
      </w:r>
    </w:p>
    <w:p w14:paraId="4A3657B7">
      <w:pPr>
        <w:autoSpaceDE w:val="0"/>
        <w:autoSpaceDN w:val="0"/>
        <w:adjustRightInd w:val="0"/>
        <w:spacing w:line="560" w:lineRule="exact"/>
        <w:ind w:firstLine="640" w:firstLineChars="200"/>
        <w:rPr>
          <w:rFonts w:eastAsia="仿宋_GB2312"/>
          <w:sz w:val="32"/>
          <w:szCs w:val="32"/>
        </w:rPr>
      </w:pPr>
      <w:r>
        <w:rPr>
          <w:rFonts w:eastAsia="仿宋_GB2312"/>
          <w:kern w:val="0"/>
          <w:sz w:val="32"/>
          <w:szCs w:val="32"/>
        </w:rPr>
        <w:t>（1）绿地养护。养护标段企业对</w:t>
      </w:r>
      <w:r>
        <w:rPr>
          <w:rFonts w:eastAsia="仿宋_GB2312"/>
          <w:sz w:val="32"/>
          <w:szCs w:val="32"/>
        </w:rPr>
        <w:t>建成区</w:t>
      </w:r>
      <w:r>
        <w:rPr>
          <w:rFonts w:hint="eastAsia" w:eastAsia="仿宋_GB2312"/>
          <w:sz w:val="32"/>
          <w:szCs w:val="32"/>
        </w:rPr>
        <w:t>40余</w:t>
      </w:r>
      <w:r>
        <w:rPr>
          <w:rFonts w:eastAsia="仿宋_GB2312"/>
          <w:sz w:val="32"/>
          <w:szCs w:val="32"/>
        </w:rPr>
        <w:t>万平方米公共绿化进行养护</w:t>
      </w:r>
      <w:r>
        <w:rPr>
          <w:rFonts w:hint="eastAsia" w:eastAsia="仿宋_GB2312"/>
          <w:sz w:val="32"/>
          <w:szCs w:val="32"/>
        </w:rPr>
        <w:t>，</w:t>
      </w:r>
      <w:r>
        <w:rPr>
          <w:rFonts w:eastAsia="仿宋_GB2312"/>
          <w:sz w:val="32"/>
          <w:szCs w:val="32"/>
        </w:rPr>
        <w:t>202</w:t>
      </w:r>
      <w:r>
        <w:rPr>
          <w:rFonts w:hint="eastAsia" w:eastAsia="仿宋_GB2312"/>
          <w:sz w:val="32"/>
          <w:szCs w:val="32"/>
        </w:rPr>
        <w:t>2</w:t>
      </w:r>
      <w:r>
        <w:rPr>
          <w:rFonts w:eastAsia="仿宋_GB2312"/>
          <w:sz w:val="32"/>
          <w:szCs w:val="32"/>
        </w:rPr>
        <w:t>年共完成了</w:t>
      </w:r>
      <w:r>
        <w:rPr>
          <w:rFonts w:hint="eastAsia" w:eastAsia="仿宋_GB2312"/>
          <w:sz w:val="32"/>
          <w:szCs w:val="32"/>
        </w:rPr>
        <w:t>7</w:t>
      </w:r>
      <w:r>
        <w:rPr>
          <w:rFonts w:eastAsia="仿宋_GB2312"/>
          <w:sz w:val="32"/>
          <w:szCs w:val="32"/>
        </w:rPr>
        <w:t>个项目绿地移交，新增养护绿地面积累计</w:t>
      </w:r>
      <w:r>
        <w:rPr>
          <w:rFonts w:hint="eastAsia" w:eastAsia="仿宋_GB2312"/>
          <w:sz w:val="32"/>
          <w:szCs w:val="32"/>
        </w:rPr>
        <w:t>2万余</w:t>
      </w:r>
      <w:r>
        <w:rPr>
          <w:rFonts w:eastAsia="仿宋_GB2312"/>
          <w:sz w:val="32"/>
          <w:szCs w:val="32"/>
        </w:rPr>
        <w:t>平方米。县综合执法局每月对养护情况开展定期和不定期考核，整体绿地养护效果较好，截止202</w:t>
      </w:r>
      <w:r>
        <w:rPr>
          <w:rFonts w:hint="eastAsia" w:eastAsia="仿宋_GB2312"/>
          <w:sz w:val="32"/>
          <w:szCs w:val="32"/>
        </w:rPr>
        <w:t>2</w:t>
      </w:r>
      <w:r>
        <w:rPr>
          <w:rFonts w:eastAsia="仿宋_GB2312"/>
          <w:sz w:val="32"/>
          <w:szCs w:val="32"/>
        </w:rPr>
        <w:t>年1</w:t>
      </w:r>
      <w:r>
        <w:rPr>
          <w:rFonts w:hint="eastAsia" w:eastAsia="仿宋_GB2312"/>
          <w:sz w:val="32"/>
          <w:szCs w:val="32"/>
        </w:rPr>
        <w:t>0</w:t>
      </w:r>
      <w:r>
        <w:rPr>
          <w:rFonts w:eastAsia="仿宋_GB2312"/>
          <w:sz w:val="32"/>
          <w:szCs w:val="32"/>
        </w:rPr>
        <w:t>月每月考核得分均大于95分，考核结果均为优秀</w:t>
      </w:r>
      <w:r>
        <w:rPr>
          <w:rFonts w:hint="eastAsia" w:eastAsia="仿宋_GB2312"/>
          <w:sz w:val="32"/>
          <w:szCs w:val="32"/>
        </w:rPr>
        <w:t>。</w:t>
      </w:r>
    </w:p>
    <w:p w14:paraId="6C44B591">
      <w:pPr>
        <w:autoSpaceDE w:val="0"/>
        <w:autoSpaceDN w:val="0"/>
        <w:adjustRightInd w:val="0"/>
        <w:spacing w:line="560" w:lineRule="exact"/>
        <w:ind w:firstLine="640" w:firstLineChars="200"/>
        <w:rPr>
          <w:rFonts w:eastAsia="仿宋_GB2312"/>
          <w:sz w:val="32"/>
          <w:szCs w:val="32"/>
        </w:rPr>
      </w:pPr>
      <w:r>
        <w:rPr>
          <w:rFonts w:eastAsia="仿宋_GB2312"/>
          <w:sz w:val="32"/>
          <w:szCs w:val="32"/>
        </w:rPr>
        <w:t>（2）绿化废弃物资源化利用处理场。养护标段企业已按合同要求于</w:t>
      </w:r>
      <w:r>
        <w:rPr>
          <w:rFonts w:hint="eastAsia" w:eastAsia="仿宋_GB2312"/>
          <w:sz w:val="32"/>
          <w:szCs w:val="32"/>
        </w:rPr>
        <w:t>2021年7月</w:t>
      </w:r>
      <w:r>
        <w:rPr>
          <w:rFonts w:eastAsia="仿宋_GB2312"/>
          <w:sz w:val="32"/>
          <w:szCs w:val="32"/>
        </w:rPr>
        <w:t>完成米易绿化废弃物资源化处理场建设、设备购置及人员培训等，同月已正式运行至今。每月县综合执法局对米易绿化废弃物资源化处理场开展考核，截止202</w:t>
      </w:r>
      <w:r>
        <w:rPr>
          <w:rFonts w:hint="eastAsia" w:eastAsia="仿宋_GB2312"/>
          <w:sz w:val="32"/>
          <w:szCs w:val="32"/>
        </w:rPr>
        <w:t>2</w:t>
      </w:r>
      <w:r>
        <w:rPr>
          <w:rFonts w:eastAsia="仿宋_GB2312"/>
          <w:sz w:val="32"/>
          <w:szCs w:val="32"/>
        </w:rPr>
        <w:t>年1</w:t>
      </w:r>
      <w:r>
        <w:rPr>
          <w:rFonts w:hint="eastAsia" w:eastAsia="仿宋_GB2312"/>
          <w:sz w:val="32"/>
          <w:szCs w:val="32"/>
        </w:rPr>
        <w:t>0</w:t>
      </w:r>
      <w:r>
        <w:rPr>
          <w:rFonts w:eastAsia="仿宋_GB2312"/>
          <w:sz w:val="32"/>
          <w:szCs w:val="32"/>
        </w:rPr>
        <w:t>月共运行</w:t>
      </w:r>
      <w:r>
        <w:rPr>
          <w:rFonts w:hint="eastAsia" w:eastAsia="仿宋_GB2312"/>
          <w:sz w:val="32"/>
          <w:szCs w:val="32"/>
        </w:rPr>
        <w:t>16</w:t>
      </w:r>
      <w:r>
        <w:rPr>
          <w:rFonts w:eastAsia="仿宋_GB2312"/>
          <w:sz w:val="32"/>
          <w:szCs w:val="32"/>
        </w:rPr>
        <w:t>个月度，运行正常，绿化垃圾变废为宝，有机基质的产出及利用效果明显，考核均为优秀。</w:t>
      </w:r>
    </w:p>
    <w:p w14:paraId="0A1424D0">
      <w:pPr>
        <w:autoSpaceDE w:val="0"/>
        <w:autoSpaceDN w:val="0"/>
        <w:adjustRightInd w:val="0"/>
        <w:spacing w:line="560" w:lineRule="exact"/>
        <w:ind w:firstLine="640" w:firstLineChars="200"/>
        <w:rPr>
          <w:rFonts w:eastAsia="仿宋_GB2312"/>
          <w:sz w:val="32"/>
          <w:szCs w:val="32"/>
        </w:rPr>
      </w:pPr>
      <w:r>
        <w:rPr>
          <w:rFonts w:eastAsia="仿宋_GB2312"/>
          <w:sz w:val="32"/>
          <w:szCs w:val="32"/>
        </w:rPr>
        <w:t>（3）绿地零星调整。结合实际绿地情况，202</w:t>
      </w:r>
      <w:r>
        <w:rPr>
          <w:rFonts w:hint="eastAsia" w:eastAsia="仿宋_GB2312"/>
          <w:sz w:val="32"/>
          <w:szCs w:val="32"/>
        </w:rPr>
        <w:t>2</w:t>
      </w:r>
      <w:r>
        <w:rPr>
          <w:rFonts w:eastAsia="仿宋_GB2312"/>
          <w:sz w:val="32"/>
          <w:szCs w:val="32"/>
        </w:rPr>
        <w:t>年共更换</w:t>
      </w:r>
      <w:r>
        <w:rPr>
          <w:rFonts w:hint="eastAsia" w:eastAsia="仿宋_GB2312"/>
          <w:sz w:val="32"/>
          <w:szCs w:val="32"/>
        </w:rPr>
        <w:t>节点花灌木1035平方米，更换常绿灌木284平方米，更换多年生开花植物265平方米，移植20株柿子树、5株千层金、12丛红叶李、1株羊蹄甲和3株苏铁。</w:t>
      </w:r>
    </w:p>
    <w:p w14:paraId="026AAD2C">
      <w:pPr>
        <w:autoSpaceDE w:val="0"/>
        <w:autoSpaceDN w:val="0"/>
        <w:adjustRightInd w:val="0"/>
        <w:spacing w:line="560" w:lineRule="exact"/>
        <w:ind w:firstLine="640" w:firstLineChars="200"/>
        <w:rPr>
          <w:rFonts w:eastAsia="仿宋_GB2312"/>
          <w:sz w:val="32"/>
          <w:szCs w:val="32"/>
        </w:rPr>
      </w:pPr>
      <w:r>
        <w:rPr>
          <w:rFonts w:eastAsia="仿宋_GB2312"/>
          <w:sz w:val="32"/>
          <w:szCs w:val="32"/>
        </w:rPr>
        <w:t>（4）树木安全。根据202</w:t>
      </w:r>
      <w:r>
        <w:rPr>
          <w:rFonts w:hint="eastAsia" w:eastAsia="仿宋_GB2312"/>
          <w:sz w:val="32"/>
          <w:szCs w:val="32"/>
        </w:rPr>
        <w:t>2</w:t>
      </w:r>
      <w:r>
        <w:rPr>
          <w:rFonts w:eastAsia="仿宋_GB2312"/>
          <w:sz w:val="32"/>
          <w:szCs w:val="32"/>
        </w:rPr>
        <w:t>年隐患乔木实际情况，共支撑乔木</w:t>
      </w:r>
      <w:r>
        <w:rPr>
          <w:rFonts w:hint="eastAsia" w:eastAsia="仿宋_GB2312"/>
          <w:sz w:val="32"/>
          <w:szCs w:val="32"/>
        </w:rPr>
        <w:t>161</w:t>
      </w:r>
      <w:r>
        <w:rPr>
          <w:rFonts w:eastAsia="仿宋_GB2312"/>
          <w:sz w:val="32"/>
          <w:szCs w:val="32"/>
        </w:rPr>
        <w:t>株，清运倒伏和移除隐患乔木</w:t>
      </w:r>
      <w:r>
        <w:rPr>
          <w:rFonts w:hint="eastAsia" w:eastAsia="仿宋_GB2312"/>
          <w:sz w:val="32"/>
          <w:szCs w:val="32"/>
        </w:rPr>
        <w:t>12株，修剪清运断枝230处。</w:t>
      </w:r>
    </w:p>
    <w:p w14:paraId="15B50290">
      <w:pPr>
        <w:autoSpaceDE w:val="0"/>
        <w:autoSpaceDN w:val="0"/>
        <w:adjustRightInd w:val="0"/>
        <w:spacing w:line="560" w:lineRule="exact"/>
        <w:ind w:firstLine="640" w:firstLineChars="200"/>
        <w:rPr>
          <w:rFonts w:eastAsia="仿宋_GB2312"/>
          <w:sz w:val="32"/>
          <w:szCs w:val="32"/>
        </w:rPr>
      </w:pPr>
      <w:r>
        <w:rPr>
          <w:rFonts w:eastAsia="仿宋_GB2312"/>
          <w:sz w:val="32"/>
          <w:szCs w:val="32"/>
        </w:rPr>
        <w:t>2.鲜花标段</w:t>
      </w:r>
    </w:p>
    <w:p w14:paraId="53056F0E">
      <w:pPr>
        <w:autoSpaceDE w:val="0"/>
        <w:autoSpaceDN w:val="0"/>
        <w:adjustRightInd w:val="0"/>
        <w:spacing w:line="560" w:lineRule="exact"/>
        <w:ind w:firstLine="640" w:firstLineChars="200"/>
        <w:rPr>
          <w:rFonts w:eastAsia="仿宋_GB2312"/>
          <w:sz w:val="32"/>
          <w:szCs w:val="32"/>
        </w:rPr>
      </w:pPr>
      <w:r>
        <w:rPr>
          <w:rFonts w:eastAsia="仿宋_GB2312"/>
          <w:sz w:val="32"/>
          <w:szCs w:val="32"/>
        </w:rPr>
        <w:t>（1）鲜花种植和摆放。完成主城区迎宾大道、人民路、易园、绿道等</w:t>
      </w:r>
      <w:r>
        <w:rPr>
          <w:rFonts w:hint="eastAsia" w:eastAsia="仿宋_GB2312"/>
          <w:sz w:val="32"/>
          <w:szCs w:val="32"/>
        </w:rPr>
        <w:t>30</w:t>
      </w:r>
      <w:r>
        <w:rPr>
          <w:rFonts w:eastAsia="仿宋_GB2312"/>
          <w:sz w:val="32"/>
          <w:szCs w:val="32"/>
        </w:rPr>
        <w:t>处节点位置的鲜花种植和摆放，鲜花种植面积</w:t>
      </w:r>
      <w:r>
        <w:rPr>
          <w:rFonts w:hint="eastAsia" w:eastAsia="仿宋_GB2312"/>
          <w:sz w:val="32"/>
          <w:szCs w:val="32"/>
        </w:rPr>
        <w:t>3169.7</w:t>
      </w:r>
      <w:r>
        <w:rPr>
          <w:rFonts w:eastAsia="仿宋_GB2312"/>
          <w:sz w:val="32"/>
          <w:szCs w:val="32"/>
        </w:rPr>
        <w:t>平方米/次、鲜花摆放32608盆/次，</w:t>
      </w:r>
      <w:r>
        <w:rPr>
          <w:rFonts w:hint="eastAsia" w:eastAsia="仿宋_GB2312"/>
          <w:sz w:val="32"/>
          <w:szCs w:val="32"/>
        </w:rPr>
        <w:t>2021年11月-</w:t>
      </w:r>
      <w:r>
        <w:rPr>
          <w:rFonts w:eastAsia="仿宋_GB2312"/>
          <w:sz w:val="32"/>
          <w:szCs w:val="32"/>
        </w:rPr>
        <w:t>202</w:t>
      </w:r>
      <w:r>
        <w:rPr>
          <w:rFonts w:hint="eastAsia" w:eastAsia="仿宋_GB2312"/>
          <w:sz w:val="32"/>
          <w:szCs w:val="32"/>
        </w:rPr>
        <w:t>2</w:t>
      </w:r>
      <w:r>
        <w:rPr>
          <w:rFonts w:eastAsia="仿宋_GB2312"/>
          <w:sz w:val="32"/>
          <w:szCs w:val="32"/>
        </w:rPr>
        <w:t>年1</w:t>
      </w:r>
      <w:r>
        <w:rPr>
          <w:rFonts w:hint="eastAsia" w:eastAsia="仿宋_GB2312"/>
          <w:sz w:val="32"/>
          <w:szCs w:val="32"/>
        </w:rPr>
        <w:t>0</w:t>
      </w:r>
      <w:r>
        <w:rPr>
          <w:rFonts w:eastAsia="仿宋_GB2312"/>
          <w:sz w:val="32"/>
          <w:szCs w:val="32"/>
        </w:rPr>
        <w:t>月共完成鲜花种植及摆放各</w:t>
      </w:r>
      <w:r>
        <w:rPr>
          <w:rFonts w:hint="eastAsia" w:eastAsia="仿宋_GB2312"/>
          <w:sz w:val="32"/>
          <w:szCs w:val="32"/>
        </w:rPr>
        <w:t>6</w:t>
      </w:r>
      <w:r>
        <w:rPr>
          <w:rFonts w:eastAsia="仿宋_GB2312"/>
          <w:sz w:val="32"/>
          <w:szCs w:val="32"/>
        </w:rPr>
        <w:t>次。</w:t>
      </w:r>
    </w:p>
    <w:p w14:paraId="7AADAA51">
      <w:pPr>
        <w:autoSpaceDE w:val="0"/>
        <w:autoSpaceDN w:val="0"/>
        <w:adjustRightInd w:val="0"/>
        <w:spacing w:line="560" w:lineRule="exact"/>
        <w:ind w:firstLine="640" w:firstLineChars="200"/>
        <w:rPr>
          <w:rFonts w:eastAsia="仿宋_GB2312"/>
          <w:sz w:val="32"/>
          <w:szCs w:val="32"/>
        </w:rPr>
      </w:pPr>
      <w:r>
        <w:rPr>
          <w:rFonts w:eastAsia="仿宋_GB2312"/>
          <w:sz w:val="32"/>
          <w:szCs w:val="32"/>
        </w:rPr>
        <w:t>（2）鲜花雕塑。截止202</w:t>
      </w:r>
      <w:r>
        <w:rPr>
          <w:rFonts w:hint="eastAsia" w:eastAsia="仿宋_GB2312"/>
          <w:sz w:val="32"/>
          <w:szCs w:val="32"/>
        </w:rPr>
        <w:t>2</w:t>
      </w:r>
      <w:r>
        <w:rPr>
          <w:rFonts w:eastAsia="仿宋_GB2312"/>
          <w:sz w:val="32"/>
          <w:szCs w:val="32"/>
        </w:rPr>
        <w:t>年1</w:t>
      </w:r>
      <w:r>
        <w:rPr>
          <w:rFonts w:hint="eastAsia" w:eastAsia="仿宋_GB2312"/>
          <w:sz w:val="32"/>
          <w:szCs w:val="32"/>
        </w:rPr>
        <w:t>0</w:t>
      </w:r>
      <w:r>
        <w:rPr>
          <w:rFonts w:eastAsia="仿宋_GB2312"/>
          <w:sz w:val="32"/>
          <w:szCs w:val="32"/>
        </w:rPr>
        <w:t>月共完成春节鲜花雕塑</w:t>
      </w:r>
      <w:r>
        <w:rPr>
          <w:rFonts w:hint="eastAsia" w:eastAsia="仿宋_GB2312"/>
          <w:sz w:val="32"/>
          <w:szCs w:val="32"/>
        </w:rPr>
        <w:t>3组、</w:t>
      </w:r>
      <w:r>
        <w:rPr>
          <w:rFonts w:eastAsia="仿宋_GB2312"/>
          <w:sz w:val="32"/>
          <w:szCs w:val="32"/>
        </w:rPr>
        <w:t>五一鲜花雕塑1组、国庆鲜花雕塑2组。</w:t>
      </w:r>
    </w:p>
    <w:p w14:paraId="38198108">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322247FB">
      <w:pPr>
        <w:autoSpaceDE w:val="0"/>
        <w:autoSpaceDN w:val="0"/>
        <w:adjustRightInd w:val="0"/>
        <w:spacing w:line="560" w:lineRule="exact"/>
        <w:ind w:firstLine="640" w:firstLineChars="200"/>
        <w:rPr>
          <w:rFonts w:eastAsia="仿宋_GB2312"/>
          <w:kern w:val="0"/>
          <w:sz w:val="32"/>
          <w:szCs w:val="32"/>
        </w:rPr>
      </w:pPr>
      <w:r>
        <w:rPr>
          <w:rFonts w:eastAsia="仿宋_GB2312"/>
          <w:kern w:val="0"/>
          <w:sz w:val="32"/>
          <w:szCs w:val="32"/>
        </w:rPr>
        <w:t>1.经济效益</w:t>
      </w:r>
    </w:p>
    <w:p w14:paraId="5928F65B">
      <w:pPr>
        <w:autoSpaceDE w:val="0"/>
        <w:autoSpaceDN w:val="0"/>
        <w:adjustRightInd w:val="0"/>
        <w:spacing w:line="560" w:lineRule="exact"/>
        <w:ind w:firstLine="640" w:firstLineChars="200"/>
        <w:rPr>
          <w:rFonts w:eastAsia="仿宋_GB2312"/>
          <w:bCs/>
          <w:sz w:val="32"/>
          <w:szCs w:val="32"/>
        </w:rPr>
      </w:pPr>
      <w:r>
        <w:rPr>
          <w:rFonts w:hAnsi="仿宋_GB2312" w:eastAsia="仿宋_GB2312"/>
          <w:bCs/>
          <w:sz w:val="32"/>
          <w:szCs w:val="32"/>
        </w:rPr>
        <w:t>通过项目实施，切实保障城市景观效果，提升园林绿化品质，美化城市环境，吸引各地游客，助力城市经济发展。米易县绿化废弃物资源化利用处理场运行，将园林绿化垃圾变废为宝，降低园林绿化垃圾的处置成本，产出的有机基质用于改良绿地土壤，减少改良土壤的成本。</w:t>
      </w:r>
    </w:p>
    <w:p w14:paraId="74A1999C">
      <w:pPr>
        <w:autoSpaceDE w:val="0"/>
        <w:autoSpaceDN w:val="0"/>
        <w:adjustRightInd w:val="0"/>
        <w:spacing w:line="560" w:lineRule="exact"/>
        <w:ind w:firstLine="640" w:firstLineChars="200"/>
        <w:rPr>
          <w:rFonts w:eastAsia="仿宋_GB2312"/>
          <w:bCs/>
          <w:sz w:val="32"/>
          <w:szCs w:val="32"/>
        </w:rPr>
      </w:pPr>
      <w:r>
        <w:rPr>
          <w:rFonts w:eastAsia="仿宋_GB2312"/>
          <w:bCs/>
          <w:sz w:val="32"/>
          <w:szCs w:val="32"/>
        </w:rPr>
        <w:t>2.</w:t>
      </w:r>
      <w:r>
        <w:rPr>
          <w:rFonts w:hAnsi="仿宋_GB2312" w:eastAsia="仿宋_GB2312"/>
          <w:bCs/>
          <w:sz w:val="32"/>
          <w:szCs w:val="32"/>
        </w:rPr>
        <w:t>社会效益</w:t>
      </w:r>
    </w:p>
    <w:p w14:paraId="286E94F2">
      <w:pPr>
        <w:autoSpaceDE w:val="0"/>
        <w:autoSpaceDN w:val="0"/>
        <w:adjustRightInd w:val="0"/>
        <w:spacing w:line="560" w:lineRule="exact"/>
        <w:ind w:firstLine="640" w:firstLineChars="200"/>
        <w:rPr>
          <w:rFonts w:eastAsia="仿宋_GB2312"/>
          <w:bCs/>
          <w:sz w:val="32"/>
          <w:szCs w:val="32"/>
        </w:rPr>
      </w:pPr>
      <w:r>
        <w:rPr>
          <w:rFonts w:hAnsi="仿宋_GB2312" w:eastAsia="仿宋_GB2312"/>
          <w:bCs/>
          <w:sz w:val="32"/>
          <w:szCs w:val="32"/>
        </w:rPr>
        <w:t>通过项目实施，城市绿化的精细化养护、节庆鲜花氛围的营造等不断提升城市形象，为国家园林</w:t>
      </w:r>
      <w:r>
        <w:rPr>
          <w:rFonts w:hint="eastAsia" w:hAnsi="仿宋_GB2312" w:eastAsia="仿宋_GB2312"/>
          <w:bCs/>
          <w:sz w:val="32"/>
          <w:szCs w:val="32"/>
        </w:rPr>
        <w:t>城市、</w:t>
      </w:r>
      <w:r>
        <w:rPr>
          <w:rFonts w:hAnsi="仿宋_GB2312" w:eastAsia="仿宋_GB2312"/>
          <w:bCs/>
          <w:sz w:val="32"/>
          <w:szCs w:val="32"/>
        </w:rPr>
        <w:t>全国文明城市</w:t>
      </w:r>
      <w:r>
        <w:rPr>
          <w:rFonts w:hint="eastAsia" w:eastAsia="仿宋_GB2312"/>
          <w:bCs/>
          <w:sz w:val="32"/>
          <w:szCs w:val="32"/>
        </w:rPr>
        <w:t>、</w:t>
      </w:r>
      <w:r>
        <w:rPr>
          <w:rFonts w:hAnsi="仿宋_GB2312" w:eastAsia="仿宋_GB2312"/>
          <w:bCs/>
          <w:sz w:val="32"/>
          <w:szCs w:val="32"/>
        </w:rPr>
        <w:t>天府旅游名县等金字招牌助力添彩</w:t>
      </w:r>
      <w:r>
        <w:rPr>
          <w:rFonts w:hint="eastAsia" w:hAnsi="仿宋_GB2312" w:eastAsia="仿宋_GB2312"/>
          <w:bCs/>
          <w:sz w:val="32"/>
          <w:szCs w:val="32"/>
        </w:rPr>
        <w:t>，</w:t>
      </w:r>
      <w:r>
        <w:rPr>
          <w:rFonts w:eastAsia="仿宋_GB2312"/>
          <w:sz w:val="32"/>
          <w:szCs w:val="32"/>
        </w:rPr>
        <w:t>增强城市居民生活幸福感、自豪感，提升城市知名度、美誉度。</w:t>
      </w:r>
    </w:p>
    <w:p w14:paraId="331D16E9">
      <w:pPr>
        <w:autoSpaceDE w:val="0"/>
        <w:autoSpaceDN w:val="0"/>
        <w:adjustRightInd w:val="0"/>
        <w:spacing w:line="560" w:lineRule="exact"/>
        <w:ind w:firstLine="640" w:firstLineChars="200"/>
        <w:rPr>
          <w:rFonts w:eastAsia="仿宋_GB2312"/>
          <w:bCs/>
          <w:sz w:val="32"/>
          <w:szCs w:val="32"/>
        </w:rPr>
      </w:pPr>
      <w:r>
        <w:rPr>
          <w:rFonts w:eastAsia="仿宋_GB2312"/>
          <w:bCs/>
          <w:sz w:val="32"/>
          <w:szCs w:val="32"/>
        </w:rPr>
        <w:t>3.</w:t>
      </w:r>
      <w:r>
        <w:rPr>
          <w:rFonts w:hAnsi="仿宋_GB2312" w:eastAsia="仿宋_GB2312"/>
          <w:bCs/>
          <w:sz w:val="32"/>
          <w:szCs w:val="32"/>
        </w:rPr>
        <w:t>生态效益</w:t>
      </w:r>
    </w:p>
    <w:p w14:paraId="656A2733">
      <w:pPr>
        <w:autoSpaceDE w:val="0"/>
        <w:autoSpaceDN w:val="0"/>
        <w:adjustRightInd w:val="0"/>
        <w:spacing w:line="560" w:lineRule="exact"/>
        <w:ind w:firstLine="640" w:firstLineChars="200"/>
        <w:rPr>
          <w:rFonts w:eastAsia="仿宋_GB2312"/>
          <w:sz w:val="32"/>
          <w:szCs w:val="32"/>
        </w:rPr>
      </w:pPr>
      <w:r>
        <w:rPr>
          <w:rFonts w:hAnsi="仿宋_GB2312" w:eastAsia="仿宋_GB2312"/>
          <w:bCs/>
          <w:sz w:val="32"/>
          <w:szCs w:val="32"/>
        </w:rPr>
        <w:t>通过项目实施</w:t>
      </w:r>
      <w:r>
        <w:rPr>
          <w:rFonts w:hint="eastAsia" w:hAnsi="仿宋_GB2312" w:eastAsia="仿宋_GB2312"/>
          <w:bCs/>
          <w:sz w:val="32"/>
          <w:szCs w:val="32"/>
        </w:rPr>
        <w:t>，</w:t>
      </w:r>
      <w:r>
        <w:rPr>
          <w:rFonts w:hAnsi="仿宋_GB2312" w:eastAsia="仿宋_GB2312"/>
          <w:bCs/>
          <w:sz w:val="32"/>
          <w:szCs w:val="32"/>
        </w:rPr>
        <w:t>提升了公共绿地精细化管理水平，城市生态环境不断改善，人民居住环境品质稳步提升。同时，绿化废弃物资源化利用处理场切实解决了园林绿化垃圾处置难题，</w:t>
      </w:r>
      <w:r>
        <w:rPr>
          <w:rFonts w:eastAsia="仿宋_GB2312"/>
          <w:sz w:val="32"/>
          <w:szCs w:val="32"/>
        </w:rPr>
        <w:t>采用“好氧沤堆”方式将绿化废弃物转化为改良土壤的有机基质，实现我县城区园林绿化垃圾的单独收集、单独处理和资源化利用。</w:t>
      </w:r>
    </w:p>
    <w:p w14:paraId="7B06EE85">
      <w:pPr>
        <w:autoSpaceDE w:val="0"/>
        <w:autoSpaceDN w:val="0"/>
        <w:adjustRightInd w:val="0"/>
        <w:spacing w:line="560" w:lineRule="exact"/>
        <w:ind w:firstLine="640" w:firstLineChars="200"/>
        <w:rPr>
          <w:rFonts w:eastAsia="仿宋_GB2312"/>
          <w:sz w:val="32"/>
          <w:szCs w:val="32"/>
        </w:rPr>
      </w:pPr>
      <w:r>
        <w:rPr>
          <w:rFonts w:eastAsia="仿宋_GB2312"/>
          <w:sz w:val="32"/>
          <w:szCs w:val="32"/>
        </w:rPr>
        <w:t>4.可持续效益</w:t>
      </w:r>
    </w:p>
    <w:p w14:paraId="1F75DDCC">
      <w:pPr>
        <w:autoSpaceDE w:val="0"/>
        <w:autoSpaceDN w:val="0"/>
        <w:adjustRightInd w:val="0"/>
        <w:spacing w:line="560" w:lineRule="exact"/>
        <w:ind w:firstLine="640" w:firstLineChars="200"/>
        <w:rPr>
          <w:rFonts w:eastAsia="仿宋_GB2312"/>
          <w:sz w:val="32"/>
          <w:szCs w:val="32"/>
          <w:lang w:val="zh-CN"/>
        </w:rPr>
      </w:pPr>
      <w:r>
        <w:rPr>
          <w:rFonts w:eastAsia="仿宋_GB2312"/>
          <w:sz w:val="32"/>
          <w:szCs w:val="32"/>
          <w:lang w:val="zh-CN"/>
        </w:rPr>
        <w:t>通过项目实施，最大限度保障了城市园林绿化的品质，为城市后续的发展奠定了坚实基础。</w:t>
      </w:r>
    </w:p>
    <w:p w14:paraId="701CF172">
      <w:pPr>
        <w:autoSpaceDE w:val="0"/>
        <w:autoSpaceDN w:val="0"/>
        <w:adjustRightInd w:val="0"/>
        <w:spacing w:line="560" w:lineRule="exact"/>
        <w:ind w:firstLine="640" w:firstLineChars="200"/>
        <w:rPr>
          <w:rFonts w:eastAsia="仿宋_GB2312"/>
          <w:sz w:val="32"/>
          <w:szCs w:val="32"/>
          <w:lang w:val="zh-CN"/>
        </w:rPr>
      </w:pPr>
      <w:r>
        <w:rPr>
          <w:rFonts w:eastAsia="仿宋_GB2312"/>
          <w:sz w:val="32"/>
          <w:szCs w:val="32"/>
          <w:lang w:val="zh-CN"/>
        </w:rPr>
        <w:t>5.服务对象满意度</w:t>
      </w:r>
    </w:p>
    <w:p w14:paraId="4DBD9167">
      <w:pPr>
        <w:pStyle w:val="2"/>
        <w:spacing w:before="93" w:line="560" w:lineRule="exact"/>
        <w:ind w:firstLine="640" w:firstLineChars="200"/>
        <w:rPr>
          <w:lang w:val="zh-CN"/>
        </w:rPr>
      </w:pPr>
      <w:r>
        <w:rPr>
          <w:rFonts w:ascii="Times New Roman"/>
          <w:sz w:val="32"/>
          <w:szCs w:val="32"/>
          <w:lang w:val="zh-CN"/>
        </w:rPr>
        <w:t>“城在山中、水在城中、行在绿中、居在园中”的“公园城市·花园县城”城市形象</w:t>
      </w:r>
      <w:r>
        <w:rPr>
          <w:rFonts w:hint="eastAsia" w:ascii="Times New Roman"/>
          <w:sz w:val="32"/>
          <w:szCs w:val="32"/>
          <w:lang w:val="zh-CN"/>
        </w:rPr>
        <w:t>深入</w:t>
      </w:r>
      <w:r>
        <w:rPr>
          <w:rFonts w:ascii="Times New Roman"/>
          <w:sz w:val="32"/>
          <w:szCs w:val="32"/>
          <w:lang w:val="zh-CN"/>
        </w:rPr>
        <w:t>人心</w:t>
      </w:r>
      <w:r>
        <w:rPr>
          <w:rFonts w:hint="eastAsia" w:ascii="Times New Roman"/>
          <w:sz w:val="32"/>
          <w:szCs w:val="32"/>
          <w:lang w:val="zh-CN"/>
        </w:rPr>
        <w:t>。</w:t>
      </w:r>
      <w:r>
        <w:rPr>
          <w:rFonts w:ascii="Times New Roman"/>
          <w:sz w:val="32"/>
          <w:szCs w:val="32"/>
          <w:lang w:val="zh-CN"/>
        </w:rPr>
        <w:t>项目的实施，让市民游客来到米易，时时能见绿、处处能见花，米易县园林绿化事业广受人民群众好评。</w:t>
      </w:r>
    </w:p>
    <w:p w14:paraId="1F98B8A2">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五、评价结论及建议</w:t>
      </w:r>
    </w:p>
    <w:p w14:paraId="69E6E3E3">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680434AE">
      <w:pPr>
        <w:pStyle w:val="2"/>
        <w:spacing w:before="93" w:line="560" w:lineRule="exact"/>
        <w:ind w:firstLine="640" w:firstLineChars="200"/>
        <w:rPr>
          <w:sz w:val="32"/>
          <w:szCs w:val="32"/>
          <w:lang w:val="zh-CN"/>
        </w:rPr>
      </w:pPr>
      <w:r>
        <w:rPr>
          <w:rFonts w:hint="eastAsia" w:hAnsi="宋体"/>
          <w:sz w:val="32"/>
          <w:szCs w:val="32"/>
        </w:rPr>
        <w:t>该项目的实施基于县综合执法局职责职能要求和城市发展现实需求，三分建，七分养，园林绿化养护管理在城市园林绿化中起着非常重要的作用，只有高质量、高水平的养护管理，园林景观效果才能得以保障，城市形象才能得到提升。项目实施具有完整全面的组织管理机构，严格规范的考核管理机制，通过项目的实施城市园林绿化精细化养护水平不断提高，良好城市形象持续维护，</w:t>
      </w:r>
      <w:r>
        <w:rPr>
          <w:rFonts w:hint="eastAsia" w:hAnsi="仿宋_GB2312"/>
          <w:spacing w:val="10"/>
          <w:sz w:val="32"/>
          <w:szCs w:val="32"/>
        </w:rPr>
        <w:t>生态宜居环境和城市品质不断提升</w:t>
      </w:r>
      <w:r>
        <w:rPr>
          <w:rFonts w:hAnsi="仿宋_GB2312"/>
          <w:spacing w:val="10"/>
          <w:sz w:val="32"/>
          <w:szCs w:val="32"/>
        </w:rPr>
        <w:t>。</w:t>
      </w:r>
    </w:p>
    <w:p w14:paraId="637A1ED5">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4E74914F">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14:paraId="0B4456B8">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62A995CE">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无</w:t>
      </w:r>
    </w:p>
    <w:p w14:paraId="5F883C30">
      <w:pPr>
        <w:spacing w:line="600" w:lineRule="exact"/>
        <w:jc w:val="center"/>
        <w:outlineLvl w:val="0"/>
        <w:rPr>
          <w:rFonts w:ascii="黑体" w:hAnsi="黑体" w:eastAsia="黑体"/>
          <w:sz w:val="44"/>
          <w:szCs w:val="44"/>
        </w:rPr>
      </w:pPr>
    </w:p>
    <w:p w14:paraId="2F04BA15">
      <w:pPr>
        <w:spacing w:line="600" w:lineRule="exact"/>
        <w:outlineLvl w:val="0"/>
        <w:rPr>
          <w:rFonts w:ascii="黑体" w:hAnsi="黑体" w:eastAsia="黑体"/>
          <w:sz w:val="44"/>
          <w:szCs w:val="44"/>
        </w:rPr>
      </w:pPr>
    </w:p>
    <w:p w14:paraId="11038A7C">
      <w:pPr>
        <w:pStyle w:val="2"/>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3</w:t>
      </w:r>
    </w:p>
    <w:p w14:paraId="4A819E8E">
      <w:pPr>
        <w:pStyle w:val="35"/>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rPr>
        <w:t>米易县城乡环卫一体化（县城区域第三轮环卫市场化）公开招标采购项目绩效自评报告</w:t>
      </w:r>
    </w:p>
    <w:p w14:paraId="016B6DB4">
      <w:pPr>
        <w:pStyle w:val="35"/>
        <w:spacing w:line="578" w:lineRule="exact"/>
        <w:ind w:firstLine="640"/>
        <w:jc w:val="center"/>
        <w:rPr>
          <w:rFonts w:ascii="宋体" w:hAnsi="宋体"/>
          <w:color w:val="auto"/>
          <w:kern w:val="2"/>
          <w:sz w:val="32"/>
          <w:szCs w:val="32"/>
        </w:rPr>
      </w:pPr>
    </w:p>
    <w:p w14:paraId="5CCE3CDE">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AD6C07E">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3D1B7B57">
      <w:pPr>
        <w:adjustRightInd w:val="0"/>
        <w:snapToGrid w:val="0"/>
        <w:spacing w:line="560" w:lineRule="exact"/>
        <w:ind w:firstLine="640" w:firstLineChars="200"/>
        <w:rPr>
          <w:rFonts w:eastAsia="仿宋_GB2312"/>
          <w:kern w:val="0"/>
          <w:sz w:val="32"/>
          <w:szCs w:val="32"/>
          <w:lang w:val="zh-CN"/>
        </w:rPr>
      </w:pPr>
      <w:r>
        <w:rPr>
          <w:rFonts w:hint="eastAsia" w:eastAsia="仿宋_GB2312"/>
          <w:kern w:val="0"/>
          <w:sz w:val="32"/>
          <w:szCs w:val="32"/>
        </w:rPr>
        <w:t>1、</w:t>
      </w:r>
      <w:r>
        <w:rPr>
          <w:rFonts w:hint="eastAsia" w:eastAsia="仿宋_GB2312"/>
          <w:kern w:val="0"/>
          <w:sz w:val="32"/>
          <w:szCs w:val="32"/>
          <w:lang w:val="zh-CN"/>
        </w:rPr>
        <w:t>项目主管部门在该项目管理中的职能。</w:t>
      </w:r>
    </w:p>
    <w:p w14:paraId="4276BD90">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米易县综合行政执法局负责牵头组织推进米易县城乡环卫一体化（县城区域第三轮环卫市场化）公开招标采购项目）。包含项目实施方案、项目立项、项目招标、项目考核制度等，</w:t>
      </w:r>
      <w:r>
        <w:rPr>
          <w:rFonts w:eastAsia="仿宋_GB2312"/>
          <w:kern w:val="0"/>
          <w:sz w:val="32"/>
          <w:szCs w:val="32"/>
        </w:rPr>
        <w:t>米易县综合行政执法局</w:t>
      </w:r>
      <w:r>
        <w:rPr>
          <w:rFonts w:hint="eastAsia" w:eastAsia="仿宋_GB2312"/>
          <w:kern w:val="0"/>
          <w:sz w:val="32"/>
          <w:szCs w:val="32"/>
        </w:rPr>
        <w:t>严格</w:t>
      </w:r>
      <w:r>
        <w:rPr>
          <w:rFonts w:eastAsia="仿宋_GB2312"/>
          <w:kern w:val="0"/>
          <w:sz w:val="32"/>
          <w:szCs w:val="32"/>
        </w:rPr>
        <w:t>按照</w:t>
      </w:r>
      <w:r>
        <w:rPr>
          <w:rFonts w:hint="eastAsia" w:eastAsia="仿宋_GB2312"/>
          <w:kern w:val="0"/>
          <w:sz w:val="32"/>
          <w:szCs w:val="32"/>
        </w:rPr>
        <w:t>双方签定的合同，依据</w:t>
      </w:r>
      <w:r>
        <w:rPr>
          <w:rFonts w:eastAsia="仿宋_GB2312"/>
          <w:kern w:val="0"/>
          <w:sz w:val="32"/>
          <w:szCs w:val="32"/>
        </w:rPr>
        <w:t>《米易县环境卫生精细化作业与管理标准》和《米易县环境卫生精细化作业考核办法》</w:t>
      </w:r>
      <w:r>
        <w:rPr>
          <w:rFonts w:hint="eastAsia" w:eastAsia="仿宋_GB2312"/>
          <w:kern w:val="0"/>
          <w:sz w:val="32"/>
          <w:szCs w:val="32"/>
        </w:rPr>
        <w:t>对各标段实行定期和不定期检查考核、监督等系列管理工作。</w:t>
      </w:r>
    </w:p>
    <w:p w14:paraId="5A277F66">
      <w:pPr>
        <w:adjustRightInd w:val="0"/>
        <w:snapToGrid w:val="0"/>
        <w:spacing w:line="560" w:lineRule="exact"/>
        <w:ind w:firstLine="640" w:firstLineChars="200"/>
        <w:rPr>
          <w:rFonts w:eastAsia="仿宋_GB2312"/>
          <w:kern w:val="0"/>
          <w:sz w:val="32"/>
          <w:szCs w:val="32"/>
          <w:lang w:val="zh-CN"/>
        </w:rPr>
      </w:pPr>
      <w:r>
        <w:rPr>
          <w:rFonts w:hint="eastAsia" w:eastAsia="仿宋_GB2312"/>
          <w:kern w:val="0"/>
          <w:sz w:val="32"/>
          <w:szCs w:val="32"/>
        </w:rPr>
        <w:t>2、</w:t>
      </w:r>
      <w:r>
        <w:rPr>
          <w:rFonts w:hint="eastAsia" w:eastAsia="仿宋_GB2312"/>
          <w:kern w:val="0"/>
          <w:sz w:val="32"/>
          <w:szCs w:val="32"/>
          <w:lang w:val="zh-CN"/>
        </w:rPr>
        <w:t>项目立项、资金申报的依据。</w:t>
      </w:r>
    </w:p>
    <w:p w14:paraId="069D5CEE">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根据《米易县人民政府第一次常务会议纪要》（米府纪〔2021〕29号）及《米易县县城区域环卫市场化（第三轮）实施方案》，米易县财政局准予立项，政府采购备案号MCCG(2022)06号。</w:t>
      </w:r>
    </w:p>
    <w:p w14:paraId="61D6593C">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2022年2月23日，米易县政府采购中心按照《中华人民共和国政府采购法》规定，组织专家和人员对米易县城乡环卫一体化（县城区域第三轮环卫市场化）公开采购项目（项目编号：5104212022000016）进行评审</w:t>
      </w:r>
      <w:r>
        <w:rPr>
          <w:rFonts w:hint="eastAsia" w:eastAsia="仿宋_GB2312"/>
          <w:kern w:val="0"/>
          <w:sz w:val="32"/>
          <w:szCs w:val="32"/>
          <w:lang w:eastAsia="zh-CN"/>
        </w:rPr>
        <w:t>，</w:t>
      </w:r>
      <w:r>
        <w:rPr>
          <w:rFonts w:hint="eastAsia" w:eastAsia="仿宋_GB2312"/>
          <w:kern w:val="0"/>
          <w:sz w:val="32"/>
          <w:szCs w:val="32"/>
        </w:rPr>
        <w:t>确定中标企业。</w:t>
      </w:r>
    </w:p>
    <w:p w14:paraId="074AD277">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2023年2月22日，米易县人民政府同意《米易县综合行政执法局关于解决2023年米易县城乡环卫一体化（县城区域第三轮环卫市场化）项目资金的请示》。</w:t>
      </w:r>
    </w:p>
    <w:p w14:paraId="4D280C71">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2022年4月29日《米易县委财经委员会2022年第一次会议纪要》第14条审议通过《中共米易县综合行政执法局党组关于审议解决米易县县城区域环卫市场化（第三轮）项目经费的请示》。米易县综合行政执法局根据中标企业的每月考核结果及</w:t>
      </w:r>
      <w:r>
        <w:rPr>
          <w:rFonts w:eastAsia="仿宋_GB2312"/>
          <w:kern w:val="0"/>
          <w:sz w:val="32"/>
          <w:szCs w:val="32"/>
        </w:rPr>
        <w:t>实际作业面积、作业内容、作业量</w:t>
      </w:r>
      <w:r>
        <w:rPr>
          <w:rFonts w:hint="eastAsia" w:eastAsia="仿宋_GB2312"/>
          <w:kern w:val="0"/>
          <w:sz w:val="32"/>
          <w:szCs w:val="32"/>
        </w:rPr>
        <w:t>、保险缴纳金额，据实核拨。本项目申请、备案及批复资料齐全，立项、资金申报依据充分。</w:t>
      </w:r>
    </w:p>
    <w:p w14:paraId="57DBC61F">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w:t>
      </w:r>
    </w:p>
    <w:p w14:paraId="3CE0F26A">
      <w:pPr>
        <w:adjustRightInd w:val="0"/>
        <w:snapToGrid w:val="0"/>
        <w:spacing w:line="560" w:lineRule="exact"/>
        <w:ind w:firstLine="640" w:firstLineChars="200"/>
        <w:rPr>
          <w:rFonts w:eastAsia="仿宋_GB2312"/>
          <w:kern w:val="0"/>
          <w:sz w:val="32"/>
          <w:szCs w:val="32"/>
        </w:rPr>
      </w:pPr>
      <w:r>
        <w:rPr>
          <w:rFonts w:eastAsia="仿宋_GB2312"/>
          <w:kern w:val="0"/>
          <w:sz w:val="32"/>
          <w:szCs w:val="32"/>
        </w:rPr>
        <w:t>米易县综合行政执法局</w:t>
      </w:r>
      <w:r>
        <w:rPr>
          <w:rFonts w:hint="eastAsia" w:eastAsia="仿宋_GB2312"/>
          <w:kern w:val="0"/>
          <w:sz w:val="32"/>
          <w:szCs w:val="32"/>
        </w:rPr>
        <w:t>项目资金管理制度健全，严格按照双方签定的合同，依据考核标准及办法对各标段实行定期和不定期检查考核，始终坚持检查考核结果与中标企业清扫保洁经费挂钩的考核制度。</w:t>
      </w:r>
    </w:p>
    <w:p w14:paraId="0FA0DC2B">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4．资金分配的原则及考虑因素。</w:t>
      </w:r>
    </w:p>
    <w:p w14:paraId="03DE70F9">
      <w:pPr>
        <w:adjustRightInd w:val="0"/>
        <w:snapToGrid w:val="0"/>
        <w:spacing w:line="560" w:lineRule="exact"/>
        <w:ind w:firstLine="640" w:firstLineChars="200"/>
        <w:rPr>
          <w:rFonts w:eastAsia="仿宋_GB2312"/>
          <w:kern w:val="0"/>
          <w:sz w:val="32"/>
          <w:szCs w:val="32"/>
          <w:lang w:val="zh-CN"/>
        </w:rPr>
      </w:pPr>
      <w:r>
        <w:rPr>
          <w:rFonts w:hint="eastAsia" w:eastAsia="仿宋_GB2312"/>
          <w:kern w:val="0"/>
          <w:sz w:val="32"/>
          <w:szCs w:val="32"/>
          <w:lang w:val="zh-CN"/>
        </w:rPr>
        <w:t>项目资金的分配遵循公开、公正、科学、高效原则，采用项目和因素结合的分配方法，主要根据项目预算及项目实际发生工作量得出的项目资金指标数，</w:t>
      </w:r>
      <w:r>
        <w:rPr>
          <w:rFonts w:hint="eastAsia" w:eastAsia="仿宋_GB2312"/>
          <w:kern w:val="0"/>
          <w:sz w:val="32"/>
          <w:szCs w:val="32"/>
        </w:rPr>
        <w:t>在充分考虑旅游、迎检、人流量等难易程度的基础上，综合</w:t>
      </w:r>
      <w:r>
        <w:rPr>
          <w:rFonts w:hint="eastAsia" w:eastAsia="仿宋_GB2312"/>
          <w:kern w:val="0"/>
          <w:sz w:val="32"/>
          <w:szCs w:val="32"/>
          <w:lang w:val="zh-CN"/>
        </w:rPr>
        <w:t>考虑包括人工成本</w:t>
      </w:r>
      <w:r>
        <w:rPr>
          <w:rFonts w:eastAsia="仿宋_GB2312"/>
          <w:kern w:val="0"/>
          <w:sz w:val="32"/>
          <w:szCs w:val="32"/>
        </w:rPr>
        <w:t>（工资、劳动用具、社保等）、道路机械清扫、道路冲洗降尘、人行道冲洗</w:t>
      </w:r>
      <w:r>
        <w:rPr>
          <w:rFonts w:hint="eastAsia" w:eastAsia="仿宋_GB2312"/>
          <w:kern w:val="0"/>
          <w:sz w:val="32"/>
          <w:szCs w:val="32"/>
        </w:rPr>
        <w:t>、垃圾收运、长途转运</w:t>
      </w:r>
      <w:r>
        <w:rPr>
          <w:rFonts w:eastAsia="仿宋_GB2312"/>
          <w:kern w:val="0"/>
          <w:sz w:val="32"/>
          <w:szCs w:val="32"/>
        </w:rPr>
        <w:t>等</w:t>
      </w:r>
      <w:r>
        <w:rPr>
          <w:rFonts w:hint="eastAsia" w:eastAsia="仿宋_GB2312"/>
          <w:kern w:val="0"/>
          <w:sz w:val="32"/>
          <w:szCs w:val="32"/>
          <w:lang w:val="zh-CN"/>
        </w:rPr>
        <w:t>因素</w:t>
      </w:r>
      <w:r>
        <w:rPr>
          <w:rFonts w:hint="eastAsia" w:eastAsia="仿宋_GB2312"/>
          <w:kern w:val="0"/>
          <w:sz w:val="32"/>
          <w:szCs w:val="32"/>
        </w:rPr>
        <w:t>。</w:t>
      </w:r>
    </w:p>
    <w:p w14:paraId="6D3FFA6D">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205BC69F">
      <w:pPr>
        <w:adjustRightInd w:val="0"/>
        <w:snapToGrid w:val="0"/>
        <w:spacing w:line="560" w:lineRule="exact"/>
        <w:ind w:firstLine="960" w:firstLineChars="300"/>
        <w:rPr>
          <w:rFonts w:eastAsia="仿宋_GB2312"/>
          <w:kern w:val="0"/>
          <w:sz w:val="32"/>
          <w:szCs w:val="32"/>
          <w:lang w:val="zh-CN"/>
        </w:rPr>
      </w:pPr>
      <w:r>
        <w:rPr>
          <w:rFonts w:hint="eastAsia" w:eastAsia="仿宋_GB2312"/>
          <w:kern w:val="0"/>
          <w:sz w:val="32"/>
          <w:szCs w:val="32"/>
          <w:lang w:val="zh-CN"/>
        </w:rPr>
        <w:t>1、项目主要内容。</w:t>
      </w:r>
    </w:p>
    <w:p w14:paraId="64843E2F">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将县城区清扫保洁、垃圾收运、城乡垃圾中转运输、渗滤液处置及相关设施设备运营维护进行统筹整合进行公开招标。</w:t>
      </w:r>
    </w:p>
    <w:p w14:paraId="5429ABBE">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1）道路清扫保洁及冲洗除尘。负责东北至火车东站、东南至闻道中学、227国道至绿生公司、西北至草场镇政府、西南至颛顼大桥、东至烈士陵园、西至远大美域区域内的清扫保洁（227国道仅[负责路面及含边沟外沿以内或路边沿2米以内垃圾清理]，路面以外商铺、农户及边沟垮塌等维护，封闭小区及物业小区管护范围除外），包含县城区道路、公园、广场、河堤的普扫保洁、机械化清扫、道路冲洗降尘，人行道清扫保洁及冲洗，环卫设施清洗及消杀，清扫区域内市政设施的保洁及消杀，喷泉水池清洗保洁及消杀，牛皮癣、小广告的及时清除，广场、道路的雨水篦子冲洗、清掏，开放式物业小区临街交接路面清扫保洁及冲洗；城市雕塑、市政桌椅、标识标牌指示牌、公交站台、交通隔离护栏的立体冲洗及消杀。</w:t>
      </w:r>
    </w:p>
    <w:p w14:paraId="7271481C">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（2）公厕管理保洁。包含日常保洁管理、洗手液、消杀用品、厕纸、绿化等清洁耗材、水电费（含公厕周边雾森系统水费）、日常维修管护及休息屋内设施设备的维护管理等。</w:t>
      </w:r>
    </w:p>
    <w:p w14:paraId="410E4890">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3）县城区生活垃圾（大件垃圾）收转运管理。①东北至火车东站、东南至绿生公司、华森职业学校、西北至迷昜森林、西南至颛顼大桥、东至闻道中学、西至远大美域的全域生活垃圾及大件垃圾收集清运至米易县生活垃圾中转站，日产日清。②城乡垃圾中转体系的运营、管理、维修维护。包含县城区垃圾中转站1座及普威、白马、撒莲3座乡镇转运站的日常管理及规范运营，将进场生活垃圾及时转运至攀枝花仁和区旺能公司焚烧，日产日转；③城区生活垃圾渗滤液处理设施运营，包含渗滤液处置日常运行管理、水费、电费、监测平台运管，确保生活垃圾填埋场及中转站渗滤液达标处置。</w:t>
      </w:r>
    </w:p>
    <w:p w14:paraId="31EF2A79">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4）县城区环卫设施配置及管护。①由中标企业需提供44台（洗扫车4台，清洗车3台，人行道小型高压清洗车6台，人行道小型扫路车6台，电动快保车17台，小型自卸式垃圾车3台，5T压缩式垃圾垃圾车2台，8T压缩式垃圾垃圾车3台），并提供抽水设备4台、小广告牛皮癣清除设备4台、鼓风机4台等专业作业设备；②租赁现有环卫车辆14台（城乡垃圾中转站转运车辆10台，多功能抑尘1台、8T压缩车1台、3立方勾臂车2台）；③垃圾收集设施及环卫工人休息屋的运管维护。包含县城区范围内由综合行政执法局设置的各类分类果皮箱、垃圾桶、垃圾房（分类亭）、环卫工人休息屋等环卫收集、运输、休息设施的管理维修更换；④城乡垃圾中转体系的运营、管理、维修维护。包含县城区垃圾中转站1座及普威、白马、撒莲3座乡镇转运站的日常管理及维护维修等；⑤县城区生活垃圾渗滤液处理设施维护管理。包含渗滤液处置设施设备维护维修、监测平台等；⑥渗滤液消杀处理药剂耗材维护管理等，确保正常运营处置。</w:t>
      </w:r>
    </w:p>
    <w:p w14:paraId="08F8C4C8">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5）智慧环卫建设及运营维护。包含建立城乡智慧环卫数据库、完善智慧环卫配套监管设施建设，提供具备符合国家相关标准的运营系统，实现平台调度、移动及电脑端口监管功能，中标后按招标单位要求与米易县全响应中心大数据平台完成对接，实现数据实时推送。</w:t>
      </w:r>
    </w:p>
    <w:p w14:paraId="03419AA1">
      <w:pPr>
        <w:adjustRightInd w:val="0"/>
        <w:snapToGrid w:val="0"/>
        <w:spacing w:line="560" w:lineRule="exact"/>
        <w:ind w:firstLine="640" w:firstLineChars="200"/>
        <w:rPr>
          <w:rFonts w:eastAsia="仿宋_GB2312"/>
          <w:kern w:val="0"/>
          <w:sz w:val="32"/>
          <w:szCs w:val="32"/>
          <w:lang w:val="zh-CN"/>
        </w:rPr>
      </w:pPr>
      <w:r>
        <w:rPr>
          <w:rFonts w:hint="eastAsia" w:eastAsia="仿宋_GB2312"/>
          <w:kern w:val="0"/>
          <w:sz w:val="32"/>
          <w:szCs w:val="32"/>
          <w:lang w:val="zh-CN"/>
        </w:rPr>
        <w:t>2、项目应实现的具体绩效目标，包括目标的量化、细化情况以及项目实施进度计划等。</w:t>
      </w:r>
    </w:p>
    <w:p w14:paraId="4A86EB7E">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（1）道路清扫保洁面积166.83万平方米（在建面积49.3万平方米），河道及湖面面积48.8万平方米，公厕26座。</w:t>
      </w:r>
    </w:p>
    <w:p w14:paraId="4D671A5C">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（2）县城区生活垃圾收集、清运日均75吨（含大件垃圾0.5吨/天）。其中现统计垃圾量60吨/天，预留垃圾量15吨/天。</w:t>
      </w:r>
    </w:p>
    <w:p w14:paraId="4206CEEF">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（3）城乡生活垃圾中转站转运量日均120吨。其中现统计生活垃圾转运量日均105吨/天，预留转运垃圾量15吨/天。</w:t>
      </w:r>
    </w:p>
    <w:p w14:paraId="359BE34F">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（4）县城区压缩中转站1座</w:t>
      </w:r>
      <w:r>
        <w:rPr>
          <w:rFonts w:hint="eastAsia" w:eastAsia="仿宋_GB2312"/>
          <w:kern w:val="0"/>
          <w:sz w:val="32"/>
          <w:szCs w:val="32"/>
          <w:lang w:eastAsia="zh-CN"/>
        </w:rPr>
        <w:t>，</w:t>
      </w:r>
      <w:r>
        <w:rPr>
          <w:rFonts w:hint="eastAsia" w:eastAsia="仿宋_GB2312"/>
          <w:kern w:val="0"/>
          <w:sz w:val="32"/>
          <w:szCs w:val="32"/>
        </w:rPr>
        <w:t>乡镇垃圾转运站3座，生活垃圾渗滤液处理设施1座。</w:t>
      </w:r>
    </w:p>
    <w:p w14:paraId="3E0FD56E">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（5）龙爪山北段的龙爪山森林公园已建设道路7.5公里，步道3.8公里的清扫保洁、垃圾清运、安全巡护。</w:t>
      </w:r>
    </w:p>
    <w:p w14:paraId="4700EED5">
      <w:pPr>
        <w:adjustRightInd w:val="0"/>
        <w:snapToGrid w:val="0"/>
        <w:spacing w:line="560" w:lineRule="exact"/>
        <w:ind w:firstLine="640" w:firstLineChars="200"/>
        <w:rPr>
          <w:rFonts w:eastAsia="仿宋_GB2312"/>
          <w:kern w:val="0"/>
          <w:sz w:val="32"/>
          <w:szCs w:val="32"/>
          <w:lang w:val="zh-CN"/>
        </w:rPr>
      </w:pPr>
      <w:r>
        <w:rPr>
          <w:rFonts w:hint="eastAsia" w:eastAsia="仿宋_GB2312"/>
          <w:kern w:val="0"/>
          <w:sz w:val="32"/>
          <w:szCs w:val="32"/>
        </w:rPr>
        <w:t>3.</w:t>
      </w:r>
      <w:r>
        <w:rPr>
          <w:rFonts w:hint="eastAsia" w:eastAsia="仿宋_GB2312"/>
          <w:kern w:val="0"/>
          <w:sz w:val="32"/>
          <w:szCs w:val="32"/>
          <w:lang w:val="zh-CN"/>
        </w:rPr>
        <w:t>分析评价申报内容是否与实际相符，申报目标是否合理可行。</w:t>
      </w:r>
    </w:p>
    <w:p w14:paraId="4A34EA42">
      <w:pPr>
        <w:adjustRightInd w:val="0"/>
        <w:snapToGrid w:val="0"/>
        <w:spacing w:line="560" w:lineRule="exact"/>
        <w:ind w:firstLine="640" w:firstLineChars="200"/>
        <w:rPr>
          <w:rFonts w:eastAsia="仿宋_GB2312"/>
          <w:kern w:val="0"/>
          <w:sz w:val="32"/>
          <w:szCs w:val="32"/>
          <w:lang w:val="zh-CN"/>
        </w:rPr>
      </w:pPr>
      <w:r>
        <w:rPr>
          <w:rFonts w:hint="eastAsia" w:eastAsia="仿宋_GB2312"/>
          <w:kern w:val="0"/>
          <w:sz w:val="32"/>
          <w:szCs w:val="32"/>
          <w:lang w:val="zh-CN"/>
        </w:rPr>
        <w:t>招标工作方案中关于项目的规划、与中标单位合同义务相符，同时根据对中标单位的考核、</w:t>
      </w:r>
      <w:r>
        <w:rPr>
          <w:rFonts w:hint="eastAsia" w:eastAsia="仿宋_GB2312"/>
          <w:kern w:val="0"/>
          <w:sz w:val="32"/>
          <w:szCs w:val="32"/>
        </w:rPr>
        <w:t>监管情况</w:t>
      </w:r>
      <w:r>
        <w:rPr>
          <w:rFonts w:hint="eastAsia" w:eastAsia="仿宋_GB2312"/>
          <w:kern w:val="0"/>
          <w:sz w:val="32"/>
          <w:szCs w:val="32"/>
          <w:lang w:val="zh-CN"/>
        </w:rPr>
        <w:t>综合分析，该项目实施完成情况与</w:t>
      </w:r>
      <w:r>
        <w:rPr>
          <w:rFonts w:hint="eastAsia" w:eastAsia="仿宋_GB2312"/>
          <w:kern w:val="0"/>
          <w:sz w:val="32"/>
          <w:szCs w:val="32"/>
        </w:rPr>
        <w:t>申报目标</w:t>
      </w:r>
      <w:r>
        <w:rPr>
          <w:rFonts w:hint="eastAsia" w:eastAsia="仿宋_GB2312"/>
          <w:kern w:val="0"/>
          <w:sz w:val="32"/>
          <w:szCs w:val="32"/>
          <w:lang w:val="zh-CN"/>
        </w:rPr>
        <w:t>情况相符，申报目标合理可行。</w:t>
      </w:r>
    </w:p>
    <w:p w14:paraId="5487A96F">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790448F2">
      <w:pPr>
        <w:autoSpaceDE w:val="0"/>
        <w:autoSpaceDN w:val="0"/>
        <w:adjustRightInd w:val="0"/>
        <w:spacing w:line="560" w:lineRule="exact"/>
        <w:ind w:firstLine="640" w:firstLineChars="200"/>
        <w:jc w:val="left"/>
        <w:rPr>
          <w:rFonts w:eastAsia="仿宋_GB2312"/>
          <w:sz w:val="32"/>
          <w:szCs w:val="32"/>
        </w:rPr>
      </w:pPr>
      <w:r>
        <w:rPr>
          <w:rFonts w:hint="eastAsia" w:eastAsia="仿宋_GB2312"/>
          <w:sz w:val="32"/>
          <w:szCs w:val="32"/>
        </w:rPr>
        <w:t>1、评价方法。</w:t>
      </w:r>
    </w:p>
    <w:p w14:paraId="202DD3AA">
      <w:pPr>
        <w:autoSpaceDE w:val="0"/>
        <w:autoSpaceDN w:val="0"/>
        <w:adjustRightInd w:val="0"/>
        <w:spacing w:line="560" w:lineRule="exact"/>
        <w:ind w:firstLine="640" w:firstLineChars="200"/>
        <w:jc w:val="left"/>
        <w:rPr>
          <w:rFonts w:eastAsia="仿宋_GB2312"/>
          <w:sz w:val="32"/>
          <w:szCs w:val="32"/>
        </w:rPr>
      </w:pPr>
      <w:r>
        <w:rPr>
          <w:rFonts w:hint="eastAsia" w:eastAsia="仿宋_GB2312"/>
          <w:sz w:val="32"/>
          <w:szCs w:val="32"/>
        </w:rPr>
        <w:t>评价组依据绩效评价原则确定指标体系后，综合运用比较法及因素分析法进行评价。</w:t>
      </w:r>
    </w:p>
    <w:p w14:paraId="6A36AF7E">
      <w:pPr>
        <w:autoSpaceDE w:val="0"/>
        <w:autoSpaceDN w:val="0"/>
        <w:adjustRightInd w:val="0"/>
        <w:spacing w:line="560" w:lineRule="exact"/>
        <w:ind w:firstLine="640" w:firstLineChars="200"/>
        <w:jc w:val="left"/>
        <w:rPr>
          <w:rFonts w:eastAsia="仿宋_GB2312"/>
          <w:sz w:val="32"/>
          <w:szCs w:val="32"/>
        </w:rPr>
      </w:pPr>
      <w:r>
        <w:rPr>
          <w:rFonts w:hint="eastAsia" w:eastAsia="仿宋_GB2312"/>
          <w:sz w:val="32"/>
          <w:szCs w:val="32"/>
        </w:rPr>
        <w:t>2、项目绩效评价步骤。</w:t>
      </w:r>
    </w:p>
    <w:p w14:paraId="697D99E0">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对米易县综合行政执法局2022年度实施的“米易县城乡环卫一体化（县城区域第三轮环卫市场化）公开招标采购项目”逐项进行分析评价。开展项目的管理、实施进度、资金支付、绩效情况、受益对象满意度等相关资料收集调研活动；对项目申报依据、资金拨付凭证、项目绩效自评报告等资料进行了评价。</w:t>
      </w:r>
    </w:p>
    <w:p w14:paraId="6047B1A3">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eastAsia="仿宋_GB2312"/>
          <w:kern w:val="0"/>
          <w:sz w:val="32"/>
          <w:szCs w:val="32"/>
        </w:rPr>
        <w:t>根据项目相关管理制度文件、资金拨付明细、项目申报、评审、审批、实施、监管等资料，核查项目的实施过程是否合法、合规，财务管理和业务流程是否规范，执行是否有效，监管是否到位；核查项目的效益和效率，项目结果是否达到了预期目标，受益对象的满意程度等，总结分析资金成效和共性问题。根据绩效评价指标体系，逐项形成评价结论。</w:t>
      </w:r>
    </w:p>
    <w:p w14:paraId="291FB1E0">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3D4E1FC7">
      <w:pPr>
        <w:adjustRightInd w:val="0"/>
        <w:snapToGrid w:val="0"/>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6EC8F0EE">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2022年4月29日《米易县委财经委员会2022年第一次会议纪要》第14条审议通过《中共米易县综合行政执法局党组关于审议解决米易县县城区域环卫市场化（第三轮）项目经费的请示》；2023年2月22日，米易县人民政府同意《米易县综合行政执法局关于解决2023年米易县城乡环卫一体化（县城区域第三轮环卫市场化）项目资金的请示》。县综合执法局依据考核标准及考核办法，每月对中标企业的考核结果及</w:t>
      </w:r>
      <w:r>
        <w:rPr>
          <w:rFonts w:eastAsia="仿宋_GB2312"/>
          <w:kern w:val="0"/>
          <w:sz w:val="32"/>
          <w:szCs w:val="32"/>
        </w:rPr>
        <w:t>实际作业面积、作业内容、作业量进行按月核拨</w:t>
      </w:r>
      <w:r>
        <w:rPr>
          <w:rFonts w:hint="eastAsia" w:eastAsia="仿宋_GB2312"/>
          <w:kern w:val="0"/>
          <w:sz w:val="32"/>
          <w:szCs w:val="32"/>
        </w:rPr>
        <w:t>。</w:t>
      </w:r>
    </w:p>
    <w:p w14:paraId="6FCFB8D0">
      <w:pPr>
        <w:adjustRightInd w:val="0"/>
        <w:snapToGrid w:val="0"/>
        <w:spacing w:line="56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14:paraId="72080513">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rPr>
        <w:t>1、</w:t>
      </w:r>
      <w:r>
        <w:rPr>
          <w:rFonts w:hint="eastAsia" w:ascii="楷体_GB2312" w:hAnsi="宋体" w:eastAsia="楷体_GB2312"/>
          <w:sz w:val="32"/>
          <w:szCs w:val="32"/>
          <w:lang w:val="zh-CN"/>
        </w:rPr>
        <w:t>资金计划。</w:t>
      </w:r>
    </w:p>
    <w:p w14:paraId="5CAE917D">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项目招标年限3年，中标金额7532</w:t>
      </w:r>
      <w:r>
        <w:rPr>
          <w:rFonts w:hint="eastAsia" w:eastAsia="仿宋_GB2312"/>
          <w:kern w:val="0"/>
          <w:sz w:val="32"/>
          <w:szCs w:val="32"/>
          <w:lang w:val="en-US" w:eastAsia="zh-CN"/>
        </w:rPr>
        <w:t>.</w:t>
      </w:r>
      <w:r>
        <w:rPr>
          <w:rFonts w:hint="eastAsia" w:eastAsia="仿宋_GB2312"/>
          <w:kern w:val="0"/>
          <w:sz w:val="32"/>
          <w:szCs w:val="32"/>
        </w:rPr>
        <w:t>435268</w:t>
      </w:r>
      <w:r>
        <w:rPr>
          <w:rFonts w:hint="eastAsia" w:eastAsia="仿宋_GB2312"/>
          <w:kern w:val="0"/>
          <w:sz w:val="32"/>
          <w:szCs w:val="32"/>
          <w:lang w:val="en-US" w:eastAsia="zh-CN"/>
        </w:rPr>
        <w:t>万</w:t>
      </w:r>
      <w:r>
        <w:rPr>
          <w:rFonts w:hint="eastAsia" w:eastAsia="仿宋_GB2312"/>
          <w:kern w:val="0"/>
          <w:sz w:val="32"/>
          <w:szCs w:val="32"/>
        </w:rPr>
        <w:t>元（3年），2022年4月﹣2022年12月绩效目标申报预算资金为1247.34万元，项目资金来源于县级财政资金。</w:t>
      </w:r>
    </w:p>
    <w:p w14:paraId="1EA8F07B">
      <w:pPr>
        <w:adjustRightInd w:val="0"/>
        <w:snapToGrid w:val="0"/>
        <w:spacing w:line="560" w:lineRule="exact"/>
        <w:ind w:firstLine="640" w:firstLineChars="200"/>
        <w:rPr>
          <w:rFonts w:ascii="楷体_GB2312" w:hAnsi="宋体" w:eastAsia="楷体_GB2312"/>
          <w:sz w:val="32"/>
          <w:szCs w:val="32"/>
          <w:lang w:val="zh-CN"/>
        </w:rPr>
      </w:pPr>
      <w:r>
        <w:rPr>
          <w:rFonts w:hint="eastAsia" w:eastAsia="仿宋_GB2312"/>
          <w:kern w:val="0"/>
          <w:sz w:val="32"/>
          <w:szCs w:val="32"/>
        </w:rPr>
        <w:t xml:space="preserve"> </w:t>
      </w:r>
      <w:r>
        <w:rPr>
          <w:rFonts w:hint="eastAsia" w:ascii="楷体_GB2312" w:hAnsi="宋体" w:eastAsia="楷体_GB2312"/>
          <w:sz w:val="32"/>
          <w:szCs w:val="32"/>
        </w:rPr>
        <w:t>2、</w:t>
      </w:r>
      <w:r>
        <w:rPr>
          <w:rFonts w:hint="eastAsia" w:ascii="楷体_GB2312" w:hAnsi="宋体" w:eastAsia="楷体_GB2312"/>
          <w:sz w:val="32"/>
          <w:szCs w:val="32"/>
          <w:lang w:val="zh-CN"/>
        </w:rPr>
        <w:t>资金到位。</w:t>
      </w:r>
    </w:p>
    <w:p w14:paraId="760BB7BD">
      <w:pPr>
        <w:adjustRightInd w:val="0"/>
        <w:snapToGrid w:val="0"/>
        <w:spacing w:line="560" w:lineRule="exact"/>
        <w:ind w:firstLine="640" w:firstLineChars="200"/>
        <w:rPr>
          <w:rFonts w:eastAsia="仿宋_GB2312"/>
          <w:kern w:val="0"/>
          <w:sz w:val="32"/>
          <w:szCs w:val="32"/>
          <w:lang w:val="zh-CN"/>
        </w:rPr>
      </w:pPr>
      <w:r>
        <w:rPr>
          <w:rFonts w:hint="eastAsia" w:eastAsia="仿宋_GB2312"/>
          <w:kern w:val="0"/>
          <w:sz w:val="32"/>
          <w:szCs w:val="32"/>
        </w:rPr>
        <w:t>县综合行政执法局根据对项目月度实施的考核结果及</w:t>
      </w:r>
      <w:r>
        <w:rPr>
          <w:rFonts w:eastAsia="仿宋_GB2312"/>
          <w:kern w:val="0"/>
          <w:sz w:val="32"/>
          <w:szCs w:val="32"/>
        </w:rPr>
        <w:t>实际作业面积、作业内容、作业量</w:t>
      </w:r>
      <w:r>
        <w:rPr>
          <w:rFonts w:hint="eastAsia" w:eastAsia="仿宋_GB2312"/>
          <w:kern w:val="0"/>
          <w:sz w:val="32"/>
          <w:szCs w:val="32"/>
        </w:rPr>
        <w:t>情况向县财政局申请资金，该项目2022年4月﹣2022年12月绩效目标申报预算资金为1247.34万元，实际到位金额1247.34万元，资金到位率100%。</w:t>
      </w:r>
    </w:p>
    <w:p w14:paraId="7EC3CC06">
      <w:pPr>
        <w:adjustRightInd w:val="0"/>
        <w:snapToGrid w:val="0"/>
        <w:spacing w:line="560"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rPr>
        <w:t>3、</w:t>
      </w:r>
      <w:r>
        <w:rPr>
          <w:rFonts w:hint="eastAsia" w:ascii="楷体_GB2312" w:hAnsi="宋体" w:eastAsia="楷体_GB2312"/>
          <w:sz w:val="32"/>
          <w:szCs w:val="32"/>
          <w:lang w:val="zh-CN"/>
        </w:rPr>
        <w:t>资金使用。</w:t>
      </w:r>
    </w:p>
    <w:p w14:paraId="036878AB">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2022年4月﹣2022年12月年县级财政下达项目资金共计1247.34万元，并支付中标企业1247.34万元，付款凭证及发票附件齐全，支付范围与预算范围一致，支付金额与实际结算金额相符，不存在截留、挤占、挪用、虚列支出等情况。</w:t>
      </w:r>
    </w:p>
    <w:p w14:paraId="0B9CCB87">
      <w:pPr>
        <w:adjustRightInd w:val="0"/>
        <w:snapToGrid w:val="0"/>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6132C2DE">
      <w:pPr>
        <w:adjustRightInd w:val="0"/>
        <w:snapToGrid w:val="0"/>
        <w:spacing w:line="578" w:lineRule="exact"/>
        <w:ind w:firstLine="720"/>
        <w:rPr>
          <w:rFonts w:eastAsia="仿宋_GB2312"/>
          <w:kern w:val="0"/>
          <w:sz w:val="32"/>
          <w:szCs w:val="32"/>
        </w:rPr>
      </w:pPr>
      <w:r>
        <w:rPr>
          <w:rFonts w:hint="eastAsia" w:eastAsia="仿宋_GB2312"/>
          <w:kern w:val="0"/>
          <w:sz w:val="32"/>
          <w:szCs w:val="32"/>
        </w:rPr>
        <w:t>县综合行政执法局财务管理、资金管理等相关内控制度健全，项目有关的全部会计凭证及附件执行有效、账务处理及时、会计核算规范。</w:t>
      </w:r>
    </w:p>
    <w:p w14:paraId="18706201">
      <w:pPr>
        <w:adjustRightInd w:val="0"/>
        <w:snapToGrid w:val="0"/>
        <w:spacing w:line="560" w:lineRule="exact"/>
        <w:ind w:firstLine="640" w:firstLineChars="200"/>
        <w:rPr>
          <w:rFonts w:ascii="黑体" w:hAnsi="宋体" w:eastAsia="黑体"/>
          <w:sz w:val="32"/>
          <w:szCs w:val="32"/>
        </w:rPr>
      </w:pPr>
      <w:r>
        <w:rPr>
          <w:rFonts w:hint="eastAsia" w:ascii="黑体" w:hAnsi="宋体" w:eastAsia="黑体"/>
          <w:sz w:val="32"/>
          <w:szCs w:val="32"/>
        </w:rPr>
        <w:t>三、项目实施及管理情况</w:t>
      </w:r>
    </w:p>
    <w:p w14:paraId="0358E4CB">
      <w:pPr>
        <w:adjustRightInd w:val="0"/>
        <w:snapToGrid w:val="0"/>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51B86F7A">
      <w:pPr>
        <w:pStyle w:val="2"/>
        <w:spacing w:beforeLines="0" w:line="560" w:lineRule="exact"/>
        <w:ind w:firstLine="640" w:firstLineChars="200"/>
        <w:rPr>
          <w:rFonts w:ascii="Times New Roman"/>
          <w:sz w:val="32"/>
          <w:szCs w:val="32"/>
          <w:lang w:val="zh-CN"/>
        </w:rPr>
      </w:pPr>
      <w:r>
        <w:rPr>
          <w:rFonts w:hint="eastAsia" w:ascii="Times New Roman"/>
          <w:sz w:val="32"/>
          <w:szCs w:val="32"/>
        </w:rPr>
        <w:t>该项目由米易县综合行政执法局牵头组织实施，县财政局、县公共资源交易中心参与，收集各方意见后报县委、县政府会议审议通过，经县财政局立项审批，委托县公共资源交易中心采购，</w:t>
      </w:r>
      <w:r>
        <w:rPr>
          <w:rFonts w:ascii="Times New Roman"/>
          <w:color w:val="000000"/>
          <w:kern w:val="2"/>
          <w:sz w:val="32"/>
          <w:szCs w:val="32"/>
        </w:rPr>
        <w:t>严格按照现行法规开展招标工作，确定中标单位。</w:t>
      </w:r>
      <w:r>
        <w:rPr>
          <w:rFonts w:hint="eastAsia" w:ascii="Times New Roman"/>
          <w:sz w:val="32"/>
          <w:szCs w:val="32"/>
        </w:rPr>
        <w:t>由中标企业负责整个项目实施，县综合行政执法局负责监督管理。</w:t>
      </w:r>
    </w:p>
    <w:p w14:paraId="3552B6F6">
      <w:pPr>
        <w:numPr>
          <w:ilvl w:val="0"/>
          <w:numId w:val="10"/>
        </w:numPr>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14:paraId="67FF7FC2">
      <w:pPr>
        <w:spacing w:line="560" w:lineRule="exact"/>
        <w:ind w:firstLine="640" w:firstLineChars="200"/>
        <w:rPr>
          <w:rFonts w:ascii="仿宋_GB2312" w:hAnsi="宋体" w:eastAsia="仿宋_GB2312"/>
          <w:sz w:val="32"/>
          <w:szCs w:val="32"/>
          <w:lang w:val="zh-CN"/>
        </w:rPr>
      </w:pPr>
      <w:r>
        <w:rPr>
          <w:rFonts w:eastAsia="仿宋_GB2312"/>
          <w:color w:val="000000"/>
          <w:sz w:val="32"/>
          <w:szCs w:val="32"/>
        </w:rPr>
        <w:t>作业服务期间，按照招标经费纳入财政预算，根据实际作业面积、作业内容、作业量及考核结果对所需经费进行按月核拨。企业</w:t>
      </w:r>
      <w:r>
        <w:rPr>
          <w:rFonts w:eastAsia="仿宋_GB2312"/>
          <w:color w:val="000000"/>
          <w:kern w:val="0"/>
          <w:sz w:val="32"/>
          <w:szCs w:val="32"/>
        </w:rPr>
        <w:t>缴纳人工社会保险部分，由中标公司据实缴纳后凭单据交县综合行政执法局报县财政局核销。</w:t>
      </w:r>
    </w:p>
    <w:p w14:paraId="33F9E72D">
      <w:pPr>
        <w:spacing w:line="560" w:lineRule="exact"/>
        <w:ind w:firstLine="643" w:firstLineChars="200"/>
        <w:rPr>
          <w:rFonts w:eastAsia="仿宋_GB2312"/>
          <w:color w:val="000000"/>
          <w:sz w:val="32"/>
          <w:szCs w:val="32"/>
        </w:rPr>
      </w:pPr>
      <w:r>
        <w:rPr>
          <w:rFonts w:hint="eastAsia" w:ascii="楷体_GB2312" w:hAnsi="宋体" w:eastAsia="楷体_GB2312"/>
          <w:b/>
          <w:sz w:val="32"/>
          <w:szCs w:val="32"/>
          <w:lang w:val="zh-CN"/>
        </w:rPr>
        <w:t>（三）项目监管情况。</w:t>
      </w:r>
    </w:p>
    <w:p w14:paraId="1F027DF0">
      <w:pPr>
        <w:adjustRightInd w:val="0"/>
        <w:snapToGrid w:val="0"/>
        <w:spacing w:line="560" w:lineRule="exact"/>
        <w:ind w:firstLine="640" w:firstLineChars="200"/>
        <w:rPr>
          <w:lang w:val="zh-CN"/>
        </w:rPr>
      </w:pPr>
      <w:r>
        <w:rPr>
          <w:rFonts w:hint="eastAsia" w:eastAsia="仿宋_GB2312"/>
          <w:kern w:val="0"/>
          <w:sz w:val="32"/>
          <w:szCs w:val="32"/>
        </w:rPr>
        <w:t>严格按照双方签定的合同，依据《米易县环境卫生精细化作业管理标准》和《米易县环境卫生精细化管理考核办法》、《米易县城区环境卫生精细化管理考核细则》《米易县城乡生活垃圾中转体系精细化管理考核明细表》、《米易县环卫公厕检查考核明细表》。对各标段实行定期和不定期检查考核，始终坚持检查考核结果与中标企业清扫保洁经费挂钩的考核制度。</w:t>
      </w:r>
    </w:p>
    <w:p w14:paraId="310D2ABA">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02CE81E7">
      <w:pPr>
        <w:adjustRightInd w:val="0"/>
        <w:snapToGrid w:val="0"/>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7C623232">
      <w:pPr>
        <w:adjustRightInd w:val="0"/>
        <w:snapToGrid w:val="0"/>
        <w:spacing w:line="560" w:lineRule="exact"/>
        <w:ind w:firstLine="640" w:firstLineChars="200"/>
        <w:rPr>
          <w:rFonts w:eastAsia="仿宋_GB2312"/>
          <w:kern w:val="0"/>
          <w:sz w:val="32"/>
          <w:szCs w:val="32"/>
          <w:lang w:val="zh-CN"/>
        </w:rPr>
      </w:pPr>
      <w:r>
        <w:rPr>
          <w:rFonts w:hint="eastAsia" w:eastAsia="仿宋_GB2312"/>
          <w:kern w:val="0"/>
          <w:sz w:val="32"/>
          <w:szCs w:val="32"/>
        </w:rPr>
        <w:t>2022年4月—12月，米易县城区第三轮环卫清扫保洁市场化每月考核得分均合格，完成县城区环卫作业面积 136.055万平方米，河道及湖面面积48.8万平方米，公厕23座的清扫保洁，县城区生活垃圾收运量15118吨，转运城乡生活垃圾至攀枝花旺能环保科技有限公司处置量29301.9吨，生活垃圾无害化处理率100%。2022年4月—2022年12月第三轮环卫市场化经费1247.34万元，</w:t>
      </w:r>
      <w:r>
        <w:rPr>
          <w:rFonts w:hint="eastAsia" w:eastAsia="仿宋_GB2312"/>
          <w:kern w:val="0"/>
          <w:sz w:val="32"/>
          <w:szCs w:val="32"/>
          <w:lang w:val="zh-CN"/>
        </w:rPr>
        <w:t>项目完成数量、质量、时效、成本等情况</w:t>
      </w:r>
      <w:r>
        <w:rPr>
          <w:rFonts w:hint="eastAsia" w:eastAsia="仿宋_GB2312"/>
          <w:kern w:val="0"/>
          <w:sz w:val="32"/>
          <w:szCs w:val="32"/>
        </w:rPr>
        <w:t>与</w:t>
      </w:r>
      <w:r>
        <w:rPr>
          <w:rFonts w:hint="eastAsia" w:eastAsia="仿宋_GB2312"/>
          <w:kern w:val="0"/>
          <w:sz w:val="32"/>
          <w:szCs w:val="32"/>
          <w:lang w:val="zh-CN"/>
        </w:rPr>
        <w:t>项目计划完成目标</w:t>
      </w:r>
      <w:r>
        <w:rPr>
          <w:rFonts w:hint="eastAsia" w:eastAsia="仿宋_GB2312"/>
          <w:kern w:val="0"/>
          <w:sz w:val="32"/>
          <w:szCs w:val="32"/>
        </w:rPr>
        <w:t>内容一致</w:t>
      </w:r>
      <w:r>
        <w:rPr>
          <w:rFonts w:hint="eastAsia" w:eastAsia="仿宋_GB2312"/>
          <w:kern w:val="0"/>
          <w:sz w:val="32"/>
          <w:szCs w:val="32"/>
          <w:lang w:val="zh-CN"/>
        </w:rPr>
        <w:t>。</w:t>
      </w:r>
    </w:p>
    <w:p w14:paraId="6A4CD143">
      <w:pPr>
        <w:adjustRightInd w:val="0"/>
        <w:snapToGrid w:val="0"/>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2CDA95C0">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14:paraId="46DA0024">
      <w:pPr>
        <w:pStyle w:val="2"/>
        <w:spacing w:beforeLines="0" w:line="560" w:lineRule="exact"/>
        <w:ind w:firstLine="640" w:firstLineChars="200"/>
        <w:rPr>
          <w:rFonts w:ascii="Times New Roman"/>
          <w:sz w:val="32"/>
          <w:szCs w:val="32"/>
        </w:rPr>
      </w:pPr>
      <w:r>
        <w:rPr>
          <w:rFonts w:hint="eastAsia" w:ascii="Times New Roman"/>
          <w:sz w:val="32"/>
          <w:szCs w:val="32"/>
        </w:rPr>
        <w:t>1、经济效益</w:t>
      </w:r>
    </w:p>
    <w:p w14:paraId="5598BDA6">
      <w:pPr>
        <w:pStyle w:val="2"/>
        <w:spacing w:beforeLines="0" w:line="560" w:lineRule="exact"/>
        <w:ind w:firstLine="640" w:firstLineChars="200"/>
        <w:rPr>
          <w:rFonts w:ascii="Times New Roman"/>
          <w:sz w:val="32"/>
          <w:szCs w:val="32"/>
          <w:lang w:val="zh-CN"/>
        </w:rPr>
      </w:pPr>
      <w:r>
        <w:rPr>
          <w:rFonts w:hint="eastAsia" w:ascii="Times New Roman"/>
          <w:sz w:val="32"/>
          <w:szCs w:val="32"/>
          <w:lang w:val="zh-CN"/>
        </w:rPr>
        <w:t>该项目的实施，提升了城市面貌、优化了生态环境，为促进旅游业发展提供了较大贡献，带动了第三产业的发展。</w:t>
      </w:r>
      <w:r>
        <w:rPr>
          <w:rFonts w:hint="eastAsia" w:ascii="Times New Roman"/>
          <w:sz w:val="32"/>
          <w:szCs w:val="32"/>
        </w:rPr>
        <w:t>同时</w:t>
      </w:r>
      <w:r>
        <w:rPr>
          <w:rFonts w:ascii="Times New Roman"/>
          <w:sz w:val="32"/>
          <w:szCs w:val="32"/>
        </w:rPr>
        <w:t>提高城区环卫作业高效管理的质量，降低环卫工人劳动强度和作业交通安全风险，提高财政资金使用效率和环卫管理水平。</w:t>
      </w:r>
    </w:p>
    <w:p w14:paraId="31C40AED">
      <w:pPr>
        <w:pStyle w:val="2"/>
        <w:spacing w:beforeLines="0" w:line="560" w:lineRule="exact"/>
        <w:ind w:firstLine="640" w:firstLineChars="200"/>
        <w:rPr>
          <w:rFonts w:ascii="Times New Roman"/>
          <w:sz w:val="32"/>
          <w:szCs w:val="32"/>
          <w:lang w:val="zh-CN"/>
        </w:rPr>
      </w:pPr>
      <w:r>
        <w:rPr>
          <w:rFonts w:hint="eastAsia" w:ascii="Times New Roman"/>
          <w:sz w:val="32"/>
          <w:szCs w:val="32"/>
          <w:lang w:val="zh-CN"/>
        </w:rPr>
        <w:t>2、社会效益</w:t>
      </w:r>
    </w:p>
    <w:p w14:paraId="106EE004">
      <w:pPr>
        <w:pStyle w:val="2"/>
        <w:spacing w:beforeLines="0" w:line="560" w:lineRule="exact"/>
        <w:ind w:firstLine="640" w:firstLineChars="200"/>
        <w:rPr>
          <w:rFonts w:ascii="Times New Roman"/>
          <w:sz w:val="32"/>
          <w:szCs w:val="32"/>
          <w:lang w:val="zh-CN"/>
        </w:rPr>
      </w:pPr>
      <w:r>
        <w:rPr>
          <w:rFonts w:hint="eastAsia" w:ascii="Times New Roman"/>
          <w:sz w:val="32"/>
          <w:szCs w:val="32"/>
          <w:lang w:val="zh-CN"/>
        </w:rPr>
        <w:t>通过该项目的实施，</w:t>
      </w:r>
      <w:r>
        <w:rPr>
          <w:rFonts w:hint="eastAsia" w:ascii="Times New Roman"/>
          <w:sz w:val="32"/>
          <w:szCs w:val="32"/>
        </w:rPr>
        <w:t>有效</w:t>
      </w:r>
      <w:r>
        <w:rPr>
          <w:rFonts w:hint="eastAsia" w:ascii="Times New Roman"/>
          <w:sz w:val="32"/>
          <w:szCs w:val="32"/>
          <w:lang w:val="zh-CN"/>
        </w:rPr>
        <w:t>提升了</w:t>
      </w:r>
      <w:r>
        <w:rPr>
          <w:rFonts w:hint="eastAsia" w:ascii="Times New Roman"/>
          <w:sz w:val="32"/>
          <w:szCs w:val="32"/>
        </w:rPr>
        <w:t>米易</w:t>
      </w:r>
      <w:r>
        <w:rPr>
          <w:rFonts w:hint="eastAsia" w:ascii="Times New Roman"/>
          <w:sz w:val="32"/>
          <w:szCs w:val="32"/>
          <w:lang w:val="zh-CN"/>
        </w:rPr>
        <w:t>城市形象，为</w:t>
      </w:r>
      <w:r>
        <w:rPr>
          <w:rFonts w:hint="eastAsia" w:ascii="Times New Roman"/>
          <w:sz w:val="32"/>
          <w:szCs w:val="32"/>
        </w:rPr>
        <w:t>米易县获得</w:t>
      </w:r>
      <w:r>
        <w:rPr>
          <w:rFonts w:hint="eastAsia" w:ascii="Times New Roman"/>
          <w:sz w:val="32"/>
          <w:szCs w:val="32"/>
          <w:lang w:val="zh-CN"/>
        </w:rPr>
        <w:t>“国家园林城市”、“全国文明城市”、“天府旅游名县”</w:t>
      </w:r>
      <w:r>
        <w:rPr>
          <w:rFonts w:hint="eastAsia" w:ascii="Times New Roman"/>
          <w:sz w:val="32"/>
          <w:szCs w:val="32"/>
        </w:rPr>
        <w:t>及巩固“国家卫生县城”</w:t>
      </w:r>
      <w:r>
        <w:rPr>
          <w:rFonts w:hint="eastAsia" w:ascii="Times New Roman"/>
          <w:sz w:val="32"/>
          <w:szCs w:val="32"/>
          <w:lang w:val="zh-CN"/>
        </w:rPr>
        <w:t>等各项殊荣做出了贡献。</w:t>
      </w:r>
      <w:r>
        <w:rPr>
          <w:rFonts w:hint="eastAsia" w:ascii="Times New Roman"/>
          <w:sz w:val="32"/>
          <w:szCs w:val="32"/>
        </w:rPr>
        <w:t>有效</w:t>
      </w:r>
      <w:r>
        <w:rPr>
          <w:rFonts w:hint="eastAsia" w:ascii="Times New Roman"/>
          <w:sz w:val="32"/>
          <w:szCs w:val="32"/>
          <w:lang w:val="zh-CN"/>
        </w:rPr>
        <w:t>提高了米易的知名度。</w:t>
      </w:r>
    </w:p>
    <w:p w14:paraId="000B3A29">
      <w:pPr>
        <w:pStyle w:val="2"/>
        <w:spacing w:beforeLines="0" w:line="560" w:lineRule="exact"/>
        <w:ind w:firstLine="640" w:firstLineChars="200"/>
        <w:rPr>
          <w:rFonts w:ascii="Times New Roman"/>
          <w:sz w:val="32"/>
          <w:szCs w:val="32"/>
        </w:rPr>
      </w:pPr>
      <w:r>
        <w:rPr>
          <w:rFonts w:hint="eastAsia" w:ascii="Times New Roman"/>
          <w:sz w:val="32"/>
          <w:szCs w:val="32"/>
        </w:rPr>
        <w:t>3、生态效益</w:t>
      </w:r>
    </w:p>
    <w:p w14:paraId="5334801B">
      <w:pPr>
        <w:pStyle w:val="2"/>
        <w:spacing w:beforeLines="0" w:line="560" w:lineRule="exact"/>
        <w:ind w:firstLine="640" w:firstLineChars="200"/>
        <w:rPr>
          <w:rFonts w:ascii="Times New Roman"/>
          <w:sz w:val="32"/>
          <w:szCs w:val="32"/>
        </w:rPr>
      </w:pPr>
      <w:r>
        <w:rPr>
          <w:rFonts w:hint="eastAsia" w:ascii="Times New Roman"/>
          <w:sz w:val="32"/>
          <w:szCs w:val="32"/>
        </w:rPr>
        <w:t>该项目的实施提升米易县城市环境质量，改善了城市生态环境，提高了空气质量。减少垃圾处置带来的环境污染，符合国家对垃圾规范处理，节约资源和保护环境的基本国策。</w:t>
      </w:r>
    </w:p>
    <w:p w14:paraId="5977B7FE">
      <w:pPr>
        <w:pStyle w:val="2"/>
        <w:spacing w:beforeLines="0" w:line="560" w:lineRule="exact"/>
        <w:ind w:firstLine="640" w:firstLineChars="200"/>
        <w:rPr>
          <w:rFonts w:ascii="Times New Roman"/>
          <w:sz w:val="32"/>
          <w:szCs w:val="32"/>
        </w:rPr>
      </w:pPr>
      <w:r>
        <w:rPr>
          <w:rFonts w:hint="eastAsia" w:ascii="Times New Roman"/>
          <w:sz w:val="32"/>
          <w:szCs w:val="32"/>
        </w:rPr>
        <w:t>4、可持续效益</w:t>
      </w:r>
    </w:p>
    <w:p w14:paraId="30E919B2">
      <w:pPr>
        <w:pStyle w:val="2"/>
        <w:spacing w:beforeLines="0" w:line="560" w:lineRule="exact"/>
        <w:ind w:firstLine="640" w:firstLineChars="200"/>
        <w:rPr>
          <w:rFonts w:ascii="Times New Roman"/>
          <w:sz w:val="32"/>
          <w:szCs w:val="32"/>
        </w:rPr>
      </w:pPr>
      <w:r>
        <w:rPr>
          <w:rFonts w:hint="eastAsia" w:ascii="Times New Roman"/>
          <w:sz w:val="32"/>
          <w:szCs w:val="32"/>
        </w:rPr>
        <w:t>环境卫生有效管理，垃圾及时清扫保洁，环卫收设施的收集管理，道路广场冲洗、降尘，提升米易城市整体水平，净化城市空气质量，持续改善人居环境。</w:t>
      </w:r>
    </w:p>
    <w:p w14:paraId="2D9B141D">
      <w:pPr>
        <w:pStyle w:val="2"/>
        <w:spacing w:beforeLines="0" w:line="560" w:lineRule="exact"/>
        <w:ind w:firstLine="640" w:firstLineChars="200"/>
        <w:rPr>
          <w:rFonts w:ascii="Times New Roman"/>
          <w:sz w:val="32"/>
          <w:szCs w:val="32"/>
        </w:rPr>
      </w:pPr>
      <w:r>
        <w:rPr>
          <w:rFonts w:hint="eastAsia" w:ascii="Times New Roman"/>
          <w:sz w:val="32"/>
          <w:szCs w:val="32"/>
        </w:rPr>
        <w:t>5、服务对象满意度。</w:t>
      </w:r>
    </w:p>
    <w:p w14:paraId="32132044">
      <w:pPr>
        <w:pStyle w:val="2"/>
        <w:spacing w:beforeLines="0" w:line="560" w:lineRule="exact"/>
        <w:ind w:firstLine="640" w:firstLineChars="200"/>
        <w:rPr>
          <w:rFonts w:ascii="Times New Roman"/>
          <w:sz w:val="32"/>
          <w:szCs w:val="32"/>
        </w:rPr>
      </w:pPr>
      <w:r>
        <w:rPr>
          <w:rFonts w:hint="eastAsia" w:ascii="Times New Roman"/>
          <w:sz w:val="32"/>
          <w:szCs w:val="32"/>
        </w:rPr>
        <w:t>根据游客及当地居民对城市县城区环境卫生管理效果调查反馈来看，游客、市民群众对米易县环境卫生满意度较高，居住幸福感强。</w:t>
      </w:r>
    </w:p>
    <w:p w14:paraId="556A8538">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14:paraId="142A2EC3">
      <w:pPr>
        <w:adjustRightInd w:val="0"/>
        <w:snapToGrid w:val="0"/>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3AA5DD1E">
      <w:pPr>
        <w:adjustRightInd w:val="0"/>
        <w:snapToGrid w:val="0"/>
        <w:spacing w:line="560" w:lineRule="exact"/>
        <w:ind w:firstLine="640" w:firstLineChars="200"/>
        <w:rPr>
          <w:rFonts w:eastAsia="仿宋_GB2312"/>
          <w:sz w:val="32"/>
          <w:szCs w:val="32"/>
        </w:rPr>
      </w:pPr>
      <w:r>
        <w:rPr>
          <w:rFonts w:eastAsia="仿宋_GB2312"/>
          <w:kern w:val="0"/>
          <w:sz w:val="32"/>
          <w:szCs w:val="32"/>
        </w:rPr>
        <w:t>本项目的实施切实提</w:t>
      </w:r>
      <w:r>
        <w:rPr>
          <w:rFonts w:hint="eastAsia" w:eastAsia="仿宋_GB2312"/>
          <w:kern w:val="0"/>
          <w:sz w:val="32"/>
          <w:szCs w:val="32"/>
        </w:rPr>
        <w:t>升</w:t>
      </w:r>
      <w:r>
        <w:rPr>
          <w:rFonts w:eastAsia="仿宋_GB2312"/>
          <w:kern w:val="0"/>
          <w:sz w:val="32"/>
          <w:szCs w:val="32"/>
        </w:rPr>
        <w:t>县城区</w:t>
      </w:r>
      <w:r>
        <w:rPr>
          <w:rFonts w:hint="eastAsia" w:eastAsia="仿宋_GB2312"/>
          <w:kern w:val="0"/>
          <w:sz w:val="32"/>
          <w:szCs w:val="32"/>
        </w:rPr>
        <w:t>环境卫生精细化管理水平，</w:t>
      </w:r>
      <w:r>
        <w:rPr>
          <w:rFonts w:eastAsia="仿宋_GB2312"/>
          <w:kern w:val="0"/>
          <w:sz w:val="32"/>
          <w:szCs w:val="32"/>
        </w:rPr>
        <w:t>营造清洁、舒适、优美的城市环境</w:t>
      </w:r>
      <w:r>
        <w:rPr>
          <w:rFonts w:hint="eastAsia" w:eastAsia="仿宋_GB2312"/>
          <w:kern w:val="0"/>
          <w:sz w:val="32"/>
          <w:szCs w:val="32"/>
        </w:rPr>
        <w:t>，</w:t>
      </w:r>
      <w:r>
        <w:rPr>
          <w:rFonts w:eastAsia="仿宋_GB2312"/>
          <w:kern w:val="0"/>
          <w:sz w:val="32"/>
          <w:szCs w:val="32"/>
        </w:rPr>
        <w:t>保障我县城区环境卫生的正常运行，得到广泛肯定，运行及预期产出及效果达到</w:t>
      </w:r>
      <w:r>
        <w:rPr>
          <w:rFonts w:hint="eastAsia" w:eastAsia="仿宋_GB2312"/>
          <w:kern w:val="0"/>
          <w:sz w:val="32"/>
          <w:szCs w:val="32"/>
        </w:rPr>
        <w:t>预计目标</w:t>
      </w:r>
      <w:r>
        <w:rPr>
          <w:rFonts w:eastAsia="仿宋_GB2312"/>
          <w:sz w:val="32"/>
          <w:szCs w:val="32"/>
        </w:rPr>
        <w:t>。</w:t>
      </w:r>
    </w:p>
    <w:p w14:paraId="69F2F1DA">
      <w:pPr>
        <w:numPr>
          <w:ilvl w:val="0"/>
          <w:numId w:val="11"/>
        </w:numPr>
        <w:adjustRightInd w:val="0"/>
        <w:snapToGrid w:val="0"/>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存在的问题。</w:t>
      </w:r>
    </w:p>
    <w:p w14:paraId="488A7BAB">
      <w:pPr>
        <w:adjustRightInd w:val="0"/>
        <w:snapToGrid w:val="0"/>
        <w:spacing w:line="560" w:lineRule="exact"/>
        <w:ind w:firstLine="640" w:firstLineChars="200"/>
        <w:rPr>
          <w:rFonts w:eastAsia="仿宋_GB2312"/>
          <w:kern w:val="0"/>
          <w:sz w:val="32"/>
          <w:szCs w:val="32"/>
        </w:rPr>
      </w:pPr>
      <w:r>
        <w:rPr>
          <w:rFonts w:hint="eastAsia" w:eastAsia="仿宋_GB2312"/>
          <w:kern w:val="0"/>
          <w:sz w:val="32"/>
          <w:szCs w:val="32"/>
        </w:rPr>
        <w:t>无</w:t>
      </w:r>
    </w:p>
    <w:p w14:paraId="21768B89">
      <w:pPr>
        <w:adjustRightInd w:val="0"/>
        <w:snapToGrid w:val="0"/>
        <w:spacing w:line="56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3D5F90D2">
      <w:pPr>
        <w:widowControl/>
        <w:ind w:firstLine="640" w:firstLineChars="200"/>
        <w:jc w:val="left"/>
        <w:rPr>
          <w:rFonts w:eastAsia="仿宋"/>
        </w:rPr>
      </w:pPr>
      <w:r>
        <w:rPr>
          <w:rFonts w:hint="eastAsia" w:ascii="仿宋_GB2312" w:hAnsi="宋体" w:eastAsia="仿宋_GB2312"/>
          <w:sz w:val="32"/>
          <w:szCs w:val="32"/>
        </w:rPr>
        <w:t>无</w:t>
      </w:r>
    </w:p>
    <w:p w14:paraId="7DD9B058">
      <w:pPr>
        <w:spacing w:line="600" w:lineRule="exact"/>
        <w:jc w:val="center"/>
        <w:outlineLvl w:val="0"/>
        <w:rPr>
          <w:rFonts w:ascii="黑体" w:hAnsi="黑体" w:eastAsia="黑体"/>
          <w:sz w:val="44"/>
          <w:szCs w:val="44"/>
        </w:rPr>
      </w:pPr>
    </w:p>
    <w:p w14:paraId="625FF912">
      <w:pPr>
        <w:spacing w:line="600" w:lineRule="exact"/>
        <w:outlineLvl w:val="0"/>
        <w:rPr>
          <w:rFonts w:ascii="黑体" w:hAnsi="黑体" w:eastAsia="黑体"/>
          <w:sz w:val="44"/>
          <w:szCs w:val="44"/>
        </w:rPr>
      </w:pPr>
    </w:p>
    <w:p w14:paraId="49277D22">
      <w:pPr>
        <w:spacing w:line="600" w:lineRule="exact"/>
        <w:jc w:val="center"/>
        <w:outlineLvl w:val="0"/>
        <w:rPr>
          <w:rFonts w:ascii="黑体" w:hAnsi="黑体" w:eastAsia="黑体"/>
          <w:sz w:val="44"/>
          <w:szCs w:val="44"/>
        </w:rPr>
      </w:pPr>
    </w:p>
    <w:p w14:paraId="2EC0271F">
      <w:pPr>
        <w:spacing w:line="600" w:lineRule="exact"/>
        <w:jc w:val="center"/>
        <w:outlineLvl w:val="0"/>
        <w:rPr>
          <w:rFonts w:ascii="黑体" w:hAnsi="黑体" w:eastAsia="黑体"/>
          <w:sz w:val="44"/>
          <w:szCs w:val="44"/>
        </w:rPr>
      </w:pPr>
    </w:p>
    <w:p w14:paraId="20A23602">
      <w:pPr>
        <w:spacing w:line="600" w:lineRule="exact"/>
        <w:jc w:val="center"/>
        <w:outlineLvl w:val="0"/>
        <w:rPr>
          <w:rFonts w:ascii="黑体" w:hAnsi="黑体" w:eastAsia="黑体"/>
          <w:sz w:val="44"/>
          <w:szCs w:val="44"/>
        </w:rPr>
      </w:pPr>
    </w:p>
    <w:p w14:paraId="4ABA6A65">
      <w:pPr>
        <w:spacing w:line="600" w:lineRule="exact"/>
        <w:jc w:val="center"/>
        <w:outlineLvl w:val="0"/>
        <w:rPr>
          <w:rFonts w:ascii="黑体" w:hAnsi="黑体" w:eastAsia="黑体"/>
          <w:sz w:val="44"/>
          <w:szCs w:val="44"/>
        </w:rPr>
      </w:pPr>
    </w:p>
    <w:p w14:paraId="61BA9FA1">
      <w:pPr>
        <w:spacing w:line="600" w:lineRule="exact"/>
        <w:jc w:val="center"/>
        <w:outlineLvl w:val="0"/>
        <w:rPr>
          <w:rFonts w:ascii="黑体" w:hAnsi="黑体" w:eastAsia="黑体"/>
          <w:sz w:val="44"/>
          <w:szCs w:val="44"/>
        </w:rPr>
      </w:pPr>
    </w:p>
    <w:p w14:paraId="29CCCE1B">
      <w:pPr>
        <w:spacing w:line="600" w:lineRule="exact"/>
        <w:outlineLvl w:val="0"/>
        <w:rPr>
          <w:rFonts w:ascii="黑体" w:hAnsi="黑体" w:eastAsia="黑体"/>
          <w:sz w:val="44"/>
          <w:szCs w:val="44"/>
        </w:rPr>
      </w:pPr>
    </w:p>
    <w:p w14:paraId="1AD6C225">
      <w:pPr>
        <w:spacing w:line="600" w:lineRule="exact"/>
        <w:jc w:val="center"/>
        <w:outlineLvl w:val="0"/>
        <w:rPr>
          <w:rFonts w:ascii="仿宋" w:hAnsi="仿宋" w:eastAsia="仿宋"/>
        </w:rPr>
      </w:pPr>
      <w:r>
        <w:rPr>
          <w:rFonts w:hint="eastAsia" w:ascii="黑体" w:hAnsi="黑体" w:eastAsia="黑体"/>
          <w:sz w:val="44"/>
          <w:szCs w:val="44"/>
        </w:rPr>
        <w:t>第</w:t>
      </w:r>
      <w:r>
        <w:rPr>
          <w:rStyle w:val="29"/>
          <w:rFonts w:hint="eastAsia" w:ascii="黑体" w:hAnsi="黑体" w:eastAsia="黑体"/>
          <w:b w:val="0"/>
        </w:rPr>
        <w:t>五部分 附表</w:t>
      </w:r>
      <w:bookmarkEnd w:id="53"/>
      <w:bookmarkEnd w:id="55"/>
      <w:bookmarkStart w:id="56" w:name="_Toc15396619"/>
    </w:p>
    <w:p w14:paraId="1FECDECB">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6"/>
    </w:p>
    <w:p w14:paraId="38AE4188">
      <w:pPr>
        <w:pStyle w:val="4"/>
        <w:rPr>
          <w:rFonts w:ascii="仿宋" w:hAnsi="仿宋" w:eastAsia="仿宋"/>
        </w:rPr>
      </w:pPr>
      <w:bookmarkStart w:id="57" w:name="_Toc15396620"/>
      <w:r>
        <w:rPr>
          <w:rFonts w:hint="eastAsia" w:ascii="仿宋" w:hAnsi="仿宋" w:eastAsia="仿宋"/>
          <w:b w:val="0"/>
        </w:rPr>
        <w:t>二、收</w:t>
      </w:r>
      <w:r>
        <w:rPr>
          <w:rStyle w:val="30"/>
          <w:rFonts w:hint="eastAsia" w:ascii="仿宋" w:hAnsi="仿宋" w:eastAsia="仿宋"/>
          <w:b w:val="0"/>
          <w:bCs w:val="0"/>
        </w:rPr>
        <w:t>入决算表</w:t>
      </w:r>
      <w:bookmarkEnd w:id="57"/>
    </w:p>
    <w:p w14:paraId="6D36008D">
      <w:pPr>
        <w:pStyle w:val="4"/>
        <w:rPr>
          <w:rFonts w:ascii="仿宋" w:hAnsi="仿宋" w:eastAsia="仿宋"/>
        </w:rPr>
      </w:pPr>
      <w:bookmarkStart w:id="58"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8"/>
    </w:p>
    <w:p w14:paraId="3433176A">
      <w:pPr>
        <w:pStyle w:val="4"/>
        <w:rPr>
          <w:rFonts w:ascii="仿宋" w:hAnsi="仿宋" w:eastAsia="仿宋"/>
          <w:b w:val="0"/>
        </w:rPr>
      </w:pPr>
      <w:bookmarkStart w:id="59"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9"/>
    </w:p>
    <w:p w14:paraId="4EF317D1">
      <w:pPr>
        <w:pStyle w:val="4"/>
        <w:rPr>
          <w:rStyle w:val="30"/>
          <w:rFonts w:ascii="仿宋" w:hAnsi="仿宋" w:eastAsia="仿宋"/>
          <w:b w:val="0"/>
          <w:bCs w:val="0"/>
        </w:rPr>
      </w:pPr>
      <w:bookmarkStart w:id="60"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0"/>
      <w:bookmarkStart w:id="61" w:name="_Toc15396624"/>
    </w:p>
    <w:p w14:paraId="6D564302">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1"/>
    </w:p>
    <w:p w14:paraId="5677C6BE">
      <w:pPr>
        <w:pStyle w:val="4"/>
        <w:rPr>
          <w:rFonts w:ascii="仿宋" w:hAnsi="仿宋" w:eastAsia="仿宋"/>
        </w:rPr>
      </w:pPr>
      <w:bookmarkStart w:id="62"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2"/>
    </w:p>
    <w:p w14:paraId="24D3890B">
      <w:pPr>
        <w:pStyle w:val="4"/>
        <w:rPr>
          <w:rFonts w:ascii="仿宋" w:hAnsi="仿宋" w:eastAsia="仿宋"/>
        </w:rPr>
      </w:pPr>
      <w:bookmarkStart w:id="63"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w:t>
      </w:r>
      <w:r>
        <w:rPr>
          <w:rStyle w:val="30"/>
          <w:rFonts w:hint="eastAsia" w:ascii="仿宋" w:hAnsi="仿宋" w:eastAsia="仿宋"/>
          <w:b w:val="0"/>
          <w:bCs w:val="0"/>
          <w:lang w:val="en-US" w:eastAsia="zh-CN"/>
        </w:rPr>
        <w:t>明细</w:t>
      </w:r>
      <w:r>
        <w:rPr>
          <w:rStyle w:val="30"/>
          <w:rFonts w:hint="eastAsia" w:ascii="仿宋" w:hAnsi="仿宋" w:eastAsia="仿宋"/>
          <w:b w:val="0"/>
          <w:bCs w:val="0"/>
        </w:rPr>
        <w:t>表</w:t>
      </w:r>
      <w:bookmarkEnd w:id="63"/>
    </w:p>
    <w:p w14:paraId="5323EA03">
      <w:pPr>
        <w:pStyle w:val="4"/>
        <w:rPr>
          <w:rFonts w:ascii="仿宋" w:hAnsi="仿宋" w:eastAsia="仿宋"/>
        </w:rPr>
      </w:pPr>
      <w:bookmarkStart w:id="64"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4"/>
    </w:p>
    <w:p w14:paraId="7D506004">
      <w:pPr>
        <w:pStyle w:val="4"/>
        <w:rPr>
          <w:rFonts w:ascii="仿宋" w:hAnsi="仿宋" w:eastAsia="仿宋"/>
        </w:rPr>
      </w:pPr>
      <w:bookmarkStart w:id="65" w:name="_Toc15396628"/>
      <w:r>
        <w:rPr>
          <w:rStyle w:val="30"/>
          <w:rFonts w:hint="eastAsia" w:ascii="仿宋" w:hAnsi="仿宋" w:eastAsia="仿宋"/>
          <w:b w:val="0"/>
          <w:bCs w:val="0"/>
        </w:rPr>
        <w:t>十、</w:t>
      </w:r>
      <w:bookmarkEnd w:id="65"/>
      <w:r>
        <w:rPr>
          <w:rFonts w:hint="eastAsia" w:ascii="仿宋" w:hAnsi="仿宋" w:eastAsia="仿宋"/>
          <w:b w:val="0"/>
        </w:rPr>
        <w:t>政</w:t>
      </w:r>
      <w:r>
        <w:rPr>
          <w:rStyle w:val="30"/>
          <w:rFonts w:hint="eastAsia" w:ascii="仿宋" w:hAnsi="仿宋" w:eastAsia="仿宋"/>
          <w:b w:val="0"/>
          <w:bCs w:val="0"/>
        </w:rPr>
        <w:t>府性基金预算财政拨款收入支出决算表</w:t>
      </w:r>
    </w:p>
    <w:p w14:paraId="11864978">
      <w:pPr>
        <w:pStyle w:val="4"/>
        <w:rPr>
          <w:rFonts w:ascii="仿宋" w:hAnsi="仿宋" w:eastAsia="仿宋"/>
        </w:rPr>
      </w:pPr>
      <w:bookmarkStart w:id="66" w:name="_Toc15396629"/>
      <w:r>
        <w:rPr>
          <w:rStyle w:val="30"/>
          <w:rFonts w:hint="eastAsia" w:ascii="仿宋" w:hAnsi="仿宋" w:eastAsia="仿宋"/>
          <w:b w:val="0"/>
          <w:bCs w:val="0"/>
        </w:rPr>
        <w:t>十一、</w:t>
      </w:r>
      <w:bookmarkEnd w:id="66"/>
      <w:r>
        <w:rPr>
          <w:rFonts w:hint="eastAsia" w:ascii="仿宋" w:hAnsi="仿宋" w:eastAsia="仿宋"/>
          <w:b w:val="0"/>
        </w:rPr>
        <w:t>国</w:t>
      </w:r>
      <w:r>
        <w:rPr>
          <w:rStyle w:val="30"/>
          <w:rFonts w:hint="eastAsia" w:ascii="仿宋" w:hAnsi="仿宋" w:eastAsia="仿宋"/>
          <w:b w:val="0"/>
          <w:bCs w:val="0"/>
        </w:rPr>
        <w:t>有资本经营预算财政拨款收入支出决算表</w:t>
      </w:r>
    </w:p>
    <w:p w14:paraId="03AA08F6">
      <w:pPr>
        <w:pStyle w:val="4"/>
        <w:rPr>
          <w:rFonts w:ascii="仿宋" w:hAnsi="仿宋" w:eastAsia="仿宋"/>
        </w:rPr>
      </w:pPr>
      <w:bookmarkStart w:id="67" w:name="_Toc15396630"/>
      <w:r>
        <w:rPr>
          <w:rStyle w:val="30"/>
          <w:rFonts w:hint="eastAsia" w:ascii="仿宋" w:hAnsi="仿宋" w:eastAsia="仿宋"/>
          <w:b w:val="0"/>
          <w:bCs w:val="0"/>
        </w:rPr>
        <w:t>十二、</w:t>
      </w:r>
      <w:bookmarkEnd w:id="67"/>
      <w:r>
        <w:rPr>
          <w:rStyle w:val="30"/>
          <w:rFonts w:hint="eastAsia" w:ascii="仿宋" w:hAnsi="仿宋" w:eastAsia="仿宋"/>
          <w:b w:val="0"/>
          <w:bCs w:val="0"/>
        </w:rPr>
        <w:t>国有资本经营预算财政拨款支出决算表</w:t>
      </w:r>
    </w:p>
    <w:p w14:paraId="471BBEDD">
      <w:pPr>
        <w:pStyle w:val="4"/>
        <w:rPr>
          <w:rFonts w:eastAsia="仿宋"/>
        </w:rPr>
      </w:pPr>
      <w:bookmarkStart w:id="68" w:name="_Toc15396631"/>
      <w:r>
        <w:rPr>
          <w:rStyle w:val="30"/>
          <w:rFonts w:hint="eastAsia" w:ascii="仿宋" w:hAnsi="仿宋" w:eastAsia="仿宋"/>
          <w:b w:val="0"/>
          <w:bCs w:val="0"/>
        </w:rPr>
        <w:t>十三、</w:t>
      </w:r>
      <w:bookmarkEnd w:id="68"/>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96649B-D81C-4F85-AA43-D60EC2500A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F81F2CB9-990D-40F6-886F-EC8568C48973}"/>
  </w:font>
  <w:font w:name="仿宋_GB2312">
    <w:panose1 w:val="02010609030101010101"/>
    <w:charset w:val="86"/>
    <w:family w:val="modern"/>
    <w:pitch w:val="default"/>
    <w:sig w:usb0="00000001" w:usb1="080E0000" w:usb2="00000000" w:usb3="00000000" w:csb0="00040000" w:csb1="00000000"/>
    <w:embedRegular r:id="rId3" w:fontKey="{26F4DF0F-5C9F-454A-A450-F583A30101DE}"/>
  </w:font>
  <w:font w:name="仿宋">
    <w:panose1 w:val="02010609060101010101"/>
    <w:charset w:val="86"/>
    <w:family w:val="modern"/>
    <w:pitch w:val="default"/>
    <w:sig w:usb0="800002BF" w:usb1="38CF7CFA" w:usb2="00000016" w:usb3="00000000" w:csb0="00040001" w:csb1="00000000"/>
    <w:embedRegular r:id="rId4" w:fontKey="{D9F6F64B-9F36-44A8-B3DC-98DCB6A312C8}"/>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5" w:fontKey="{269A5B69-AEEC-4AB3-86BB-705B9EA5D1C5}"/>
  </w:font>
  <w:font w:name="方正楷体_GB2312">
    <w:altName w:val="楷体_GB2312"/>
    <w:panose1 w:val="00000000000000000000"/>
    <w:charset w:val="86"/>
    <w:family w:val="auto"/>
    <w:pitch w:val="default"/>
    <w:sig w:usb0="00000000" w:usb1="00000000" w:usb2="00000012" w:usb3="00000000" w:csb0="00040001" w:csb1="00000000"/>
    <w:embedRegular r:id="rId6" w:fontKey="{5F6642AE-7B4E-4FF7-B991-3D9D7EA2FB8B}"/>
  </w:font>
  <w:font w:name="方正楷体简体">
    <w:panose1 w:val="03000509000000000000"/>
    <w:charset w:val="86"/>
    <w:family w:val="auto"/>
    <w:pitch w:val="default"/>
    <w:sig w:usb0="00000001" w:usb1="080E0000" w:usb2="00000000" w:usb3="00000000" w:csb0="00040000" w:csb1="00000000"/>
    <w:embedRegular r:id="rId7" w:fontKey="{4F0210D3-3122-49F5-A135-139039440DAB}"/>
  </w:font>
  <w:font w:name="楷体_GB2312">
    <w:panose1 w:val="02010609030101010101"/>
    <w:charset w:val="86"/>
    <w:family w:val="modern"/>
    <w:pitch w:val="default"/>
    <w:sig w:usb0="00000001" w:usb1="080E0000" w:usb2="00000000" w:usb3="00000000" w:csb0="00040000" w:csb1="00000000"/>
    <w:embedRegular r:id="rId8" w:fontKey="{02A57BF1-7613-440C-A56A-9349B0D331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521B9C4">
        <w:pPr>
          <w:pStyle w:val="11"/>
          <w:jc w:val="center"/>
        </w:pPr>
        <w:r>
          <w:fldChar w:fldCharType="begin"/>
        </w:r>
        <w:r>
          <w:instrText xml:space="preserve">PAGE   \* MERGEFORMAT</w:instrText>
        </w:r>
        <w:r>
          <w:fldChar w:fldCharType="separate"/>
        </w:r>
        <w:r>
          <w:rPr>
            <w:lang w:val="zh-CN"/>
          </w:rPr>
          <w:t>21</w:t>
        </w:r>
        <w:r>
          <w:fldChar w:fldCharType="end"/>
        </w:r>
      </w:p>
    </w:sdtContent>
  </w:sdt>
  <w:p w14:paraId="51D49A7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3E0A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94734"/>
    <w:multiLevelType w:val="singleLevel"/>
    <w:tmpl w:val="89B94734"/>
    <w:lvl w:ilvl="0" w:tentative="0">
      <w:start w:val="1"/>
      <w:numFmt w:val="chineseCounting"/>
      <w:suff w:val="nothing"/>
      <w:lvlText w:val="%1、"/>
      <w:lvlJc w:val="left"/>
      <w:rPr>
        <w:rFonts w:hint="eastAsia"/>
      </w:rPr>
    </w:lvl>
  </w:abstractNum>
  <w:abstractNum w:abstractNumId="1">
    <w:nsid w:val="AFC473D5"/>
    <w:multiLevelType w:val="singleLevel"/>
    <w:tmpl w:val="AFC473D5"/>
    <w:lvl w:ilvl="0" w:tentative="0">
      <w:start w:val="2"/>
      <w:numFmt w:val="chineseCounting"/>
      <w:suff w:val="nothing"/>
      <w:lvlText w:val="（%1）"/>
      <w:lvlJc w:val="left"/>
      <w:rPr>
        <w:rFonts w:hint="eastAsia"/>
      </w:rPr>
    </w:lvl>
  </w:abstractNum>
  <w:abstractNum w:abstractNumId="2">
    <w:nsid w:val="B65795D6"/>
    <w:multiLevelType w:val="singleLevel"/>
    <w:tmpl w:val="B65795D6"/>
    <w:lvl w:ilvl="0" w:tentative="0">
      <w:start w:val="2"/>
      <w:numFmt w:val="chineseCounting"/>
      <w:suff w:val="nothing"/>
      <w:lvlText w:val="（%1）"/>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EBEF323"/>
    <w:multiLevelType w:val="singleLevel"/>
    <w:tmpl w:val="DEBEF323"/>
    <w:lvl w:ilvl="0" w:tentative="0">
      <w:start w:val="4"/>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29FE029"/>
    <w:multiLevelType w:val="singleLevel"/>
    <w:tmpl w:val="229FE029"/>
    <w:lvl w:ilvl="0" w:tentative="0">
      <w:start w:val="2"/>
      <w:numFmt w:val="chineseCounting"/>
      <w:suff w:val="nothing"/>
      <w:lvlText w:val="（%1）"/>
      <w:lvlJc w:val="left"/>
      <w:rPr>
        <w:rFonts w:hint="eastAsia"/>
      </w:rPr>
    </w:lvl>
  </w:abstractNum>
  <w:abstractNum w:abstractNumId="8">
    <w:nsid w:val="49012B40"/>
    <w:multiLevelType w:val="singleLevel"/>
    <w:tmpl w:val="49012B40"/>
    <w:lvl w:ilvl="0" w:tentative="0">
      <w:start w:val="2"/>
      <w:numFmt w:val="chineseCounting"/>
      <w:suff w:val="nothing"/>
      <w:lvlText w:val="（%1）"/>
      <w:lvlJc w:val="left"/>
      <w:rPr>
        <w:rFonts w:hint="eastAsia"/>
      </w:rPr>
    </w:lvl>
  </w:abstractNum>
  <w:abstractNum w:abstractNumId="9">
    <w:nsid w:val="57363C15"/>
    <w:multiLevelType w:val="singleLevel"/>
    <w:tmpl w:val="57363C15"/>
    <w:lvl w:ilvl="0" w:tentative="0">
      <w:start w:val="1"/>
      <w:numFmt w:val="decimal"/>
      <w:lvlText w:val="%1."/>
      <w:lvlJc w:val="left"/>
      <w:pPr>
        <w:tabs>
          <w:tab w:val="left" w:pos="312"/>
        </w:tabs>
      </w:pPr>
    </w:lvl>
  </w:abstractNum>
  <w:abstractNum w:abstractNumId="10">
    <w:nsid w:val="6EBF285F"/>
    <w:multiLevelType w:val="singleLevel"/>
    <w:tmpl w:val="6EBF285F"/>
    <w:lvl w:ilvl="0" w:tentative="0">
      <w:start w:val="2"/>
      <w:numFmt w:val="chineseCounting"/>
      <w:suff w:val="nothing"/>
      <w:lvlText w:val="（%1）"/>
      <w:lvlJc w:val="left"/>
      <w:rPr>
        <w:rFonts w:hint="eastAsia"/>
      </w:rPr>
    </w:lvl>
  </w:abstractNum>
  <w:num w:numId="1">
    <w:abstractNumId w:val="0"/>
  </w:num>
  <w:num w:numId="2">
    <w:abstractNumId w:val="6"/>
  </w:num>
  <w:num w:numId="3">
    <w:abstractNumId w:val="3"/>
  </w:num>
  <w:num w:numId="4">
    <w:abstractNumId w:val="5"/>
  </w:num>
  <w:num w:numId="5">
    <w:abstractNumId w:val="1"/>
  </w:num>
  <w:num w:numId="6">
    <w:abstractNumId w:val="9"/>
  </w:num>
  <w:num w:numId="7">
    <w:abstractNumId w:val="4"/>
  </w:num>
  <w:num w:numId="8">
    <w:abstractNumId w:val="10"/>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2NDgwNzczMTQ2YThlNDAwZjY1NzI0NGUxMDYwZTUifQ=="/>
  </w:docVars>
  <w:rsids>
    <w:rsidRoot w:val="00F1361C"/>
    <w:rsid w:val="00004332"/>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45D6"/>
    <w:rsid w:val="00114E9B"/>
    <w:rsid w:val="00142216"/>
    <w:rsid w:val="00144D6A"/>
    <w:rsid w:val="0014729F"/>
    <w:rsid w:val="00157BAB"/>
    <w:rsid w:val="001654D1"/>
    <w:rsid w:val="00174518"/>
    <w:rsid w:val="0018106D"/>
    <w:rsid w:val="001877A7"/>
    <w:rsid w:val="00191536"/>
    <w:rsid w:val="00196687"/>
    <w:rsid w:val="001B07E9"/>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7D8"/>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36EF"/>
    <w:rsid w:val="00634C9A"/>
    <w:rsid w:val="006440E4"/>
    <w:rsid w:val="0066343B"/>
    <w:rsid w:val="00664777"/>
    <w:rsid w:val="006748A4"/>
    <w:rsid w:val="0068187E"/>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200D"/>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494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5A94"/>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A102B"/>
    <w:rsid w:val="015975B8"/>
    <w:rsid w:val="017E6F26"/>
    <w:rsid w:val="01F63B42"/>
    <w:rsid w:val="02143E91"/>
    <w:rsid w:val="02216E5A"/>
    <w:rsid w:val="026E2AF7"/>
    <w:rsid w:val="02A37090"/>
    <w:rsid w:val="02ED6112"/>
    <w:rsid w:val="02F0175E"/>
    <w:rsid w:val="0315143B"/>
    <w:rsid w:val="034A70C0"/>
    <w:rsid w:val="03627D7E"/>
    <w:rsid w:val="0365214C"/>
    <w:rsid w:val="03922815"/>
    <w:rsid w:val="03A34A22"/>
    <w:rsid w:val="03C86237"/>
    <w:rsid w:val="04877EA0"/>
    <w:rsid w:val="048B5BE2"/>
    <w:rsid w:val="048C6A72"/>
    <w:rsid w:val="049009DB"/>
    <w:rsid w:val="04C9495C"/>
    <w:rsid w:val="04DC6090"/>
    <w:rsid w:val="04E672BC"/>
    <w:rsid w:val="05031C1C"/>
    <w:rsid w:val="053973EC"/>
    <w:rsid w:val="05950E17"/>
    <w:rsid w:val="059C14C9"/>
    <w:rsid w:val="05B13426"/>
    <w:rsid w:val="060A6FDB"/>
    <w:rsid w:val="062736E9"/>
    <w:rsid w:val="066E0107"/>
    <w:rsid w:val="06B331CE"/>
    <w:rsid w:val="06ED69C8"/>
    <w:rsid w:val="06FA0DFD"/>
    <w:rsid w:val="07287718"/>
    <w:rsid w:val="07375BAD"/>
    <w:rsid w:val="0774295E"/>
    <w:rsid w:val="07996F6E"/>
    <w:rsid w:val="07AF6B70"/>
    <w:rsid w:val="07D7113E"/>
    <w:rsid w:val="07EA2C20"/>
    <w:rsid w:val="08183C31"/>
    <w:rsid w:val="082A74C0"/>
    <w:rsid w:val="08400546"/>
    <w:rsid w:val="08444A26"/>
    <w:rsid w:val="087D1CE6"/>
    <w:rsid w:val="089B6610"/>
    <w:rsid w:val="08A234FA"/>
    <w:rsid w:val="08A92ADB"/>
    <w:rsid w:val="08FA1588"/>
    <w:rsid w:val="09305910"/>
    <w:rsid w:val="098C3CCB"/>
    <w:rsid w:val="09A908B8"/>
    <w:rsid w:val="09A92667"/>
    <w:rsid w:val="0A2032A3"/>
    <w:rsid w:val="0A352138"/>
    <w:rsid w:val="0A3C05BB"/>
    <w:rsid w:val="0AD3127A"/>
    <w:rsid w:val="0B1B1342"/>
    <w:rsid w:val="0BF71DAF"/>
    <w:rsid w:val="0C0011BA"/>
    <w:rsid w:val="0C3236E6"/>
    <w:rsid w:val="0C460641"/>
    <w:rsid w:val="0C517711"/>
    <w:rsid w:val="0C524D8A"/>
    <w:rsid w:val="0C5E1E2E"/>
    <w:rsid w:val="0C945224"/>
    <w:rsid w:val="0CA21D1B"/>
    <w:rsid w:val="0CDA7707"/>
    <w:rsid w:val="0D155C39"/>
    <w:rsid w:val="0D5D3E94"/>
    <w:rsid w:val="0D7A2C98"/>
    <w:rsid w:val="0D870F11"/>
    <w:rsid w:val="0D892EDB"/>
    <w:rsid w:val="0DB5782C"/>
    <w:rsid w:val="0E0518D6"/>
    <w:rsid w:val="0E0D7056"/>
    <w:rsid w:val="0E2D3866"/>
    <w:rsid w:val="0E321702"/>
    <w:rsid w:val="0E3270CE"/>
    <w:rsid w:val="0E407A3D"/>
    <w:rsid w:val="0E45293E"/>
    <w:rsid w:val="0E4B0190"/>
    <w:rsid w:val="0E62565B"/>
    <w:rsid w:val="0E6574A4"/>
    <w:rsid w:val="0EA606E3"/>
    <w:rsid w:val="0EC3241C"/>
    <w:rsid w:val="0ECA3138"/>
    <w:rsid w:val="0F2E3D3A"/>
    <w:rsid w:val="0F3456AE"/>
    <w:rsid w:val="0F4C0664"/>
    <w:rsid w:val="0F8120BC"/>
    <w:rsid w:val="0F916077"/>
    <w:rsid w:val="0F98263C"/>
    <w:rsid w:val="0FE10DAC"/>
    <w:rsid w:val="0FF7412C"/>
    <w:rsid w:val="101860EC"/>
    <w:rsid w:val="103F5AD3"/>
    <w:rsid w:val="106327CB"/>
    <w:rsid w:val="1075103E"/>
    <w:rsid w:val="108F25B6"/>
    <w:rsid w:val="10C055FF"/>
    <w:rsid w:val="11107EFD"/>
    <w:rsid w:val="11176D21"/>
    <w:rsid w:val="11685980"/>
    <w:rsid w:val="118107EC"/>
    <w:rsid w:val="122907E8"/>
    <w:rsid w:val="12307DC9"/>
    <w:rsid w:val="12427F1D"/>
    <w:rsid w:val="12887C05"/>
    <w:rsid w:val="12891287"/>
    <w:rsid w:val="12A6008B"/>
    <w:rsid w:val="12CD1ABC"/>
    <w:rsid w:val="12E10B3D"/>
    <w:rsid w:val="12E3308D"/>
    <w:rsid w:val="12ED1816"/>
    <w:rsid w:val="130B7EEE"/>
    <w:rsid w:val="134F24D1"/>
    <w:rsid w:val="13581385"/>
    <w:rsid w:val="13AC7923"/>
    <w:rsid w:val="13D34EB0"/>
    <w:rsid w:val="13D50BC4"/>
    <w:rsid w:val="13D604FC"/>
    <w:rsid w:val="14067033"/>
    <w:rsid w:val="14524026"/>
    <w:rsid w:val="145C6C53"/>
    <w:rsid w:val="14755F67"/>
    <w:rsid w:val="14A94D77"/>
    <w:rsid w:val="14C667C2"/>
    <w:rsid w:val="14DC1B42"/>
    <w:rsid w:val="14EF1875"/>
    <w:rsid w:val="152E4A94"/>
    <w:rsid w:val="15545B7C"/>
    <w:rsid w:val="15551B1D"/>
    <w:rsid w:val="156264EB"/>
    <w:rsid w:val="158C17BA"/>
    <w:rsid w:val="15AC563E"/>
    <w:rsid w:val="15BA6327"/>
    <w:rsid w:val="15D078F9"/>
    <w:rsid w:val="15F15AC1"/>
    <w:rsid w:val="162852F6"/>
    <w:rsid w:val="168D7F12"/>
    <w:rsid w:val="16BB723D"/>
    <w:rsid w:val="16E573D4"/>
    <w:rsid w:val="16FA09A5"/>
    <w:rsid w:val="17084E70"/>
    <w:rsid w:val="171952CF"/>
    <w:rsid w:val="171F52B7"/>
    <w:rsid w:val="174F0CF1"/>
    <w:rsid w:val="176A1687"/>
    <w:rsid w:val="17AA32C3"/>
    <w:rsid w:val="17C50FB3"/>
    <w:rsid w:val="17D631C0"/>
    <w:rsid w:val="17F35B20"/>
    <w:rsid w:val="18230C4C"/>
    <w:rsid w:val="18253666"/>
    <w:rsid w:val="182932F0"/>
    <w:rsid w:val="186C7681"/>
    <w:rsid w:val="18F51424"/>
    <w:rsid w:val="190A1374"/>
    <w:rsid w:val="1912647A"/>
    <w:rsid w:val="19365251"/>
    <w:rsid w:val="195129F6"/>
    <w:rsid w:val="195174AE"/>
    <w:rsid w:val="197467ED"/>
    <w:rsid w:val="1A004525"/>
    <w:rsid w:val="1A0A7151"/>
    <w:rsid w:val="1A0C4C78"/>
    <w:rsid w:val="1A167B1B"/>
    <w:rsid w:val="1A330456"/>
    <w:rsid w:val="1A444411"/>
    <w:rsid w:val="1A475CB0"/>
    <w:rsid w:val="1A622AE9"/>
    <w:rsid w:val="1AAE21D3"/>
    <w:rsid w:val="1AE23C2A"/>
    <w:rsid w:val="1AE94FB9"/>
    <w:rsid w:val="1B010554"/>
    <w:rsid w:val="1B3C333B"/>
    <w:rsid w:val="1B3C6D1B"/>
    <w:rsid w:val="1B4A1D4B"/>
    <w:rsid w:val="1B4D5548"/>
    <w:rsid w:val="1B854CE1"/>
    <w:rsid w:val="1B9F38C9"/>
    <w:rsid w:val="1BB90E2F"/>
    <w:rsid w:val="1BE8440E"/>
    <w:rsid w:val="1C3A1F70"/>
    <w:rsid w:val="1C47468D"/>
    <w:rsid w:val="1CFE7345"/>
    <w:rsid w:val="1D155CEE"/>
    <w:rsid w:val="1DDF7107"/>
    <w:rsid w:val="1DEA52D0"/>
    <w:rsid w:val="1E0F4D36"/>
    <w:rsid w:val="1E2A7DC2"/>
    <w:rsid w:val="1E3824DF"/>
    <w:rsid w:val="1E4F15D7"/>
    <w:rsid w:val="1E6C03DB"/>
    <w:rsid w:val="1E6C2189"/>
    <w:rsid w:val="1E7444BA"/>
    <w:rsid w:val="1E90231B"/>
    <w:rsid w:val="1EA638ED"/>
    <w:rsid w:val="1EBB6C6C"/>
    <w:rsid w:val="1EEE4B07"/>
    <w:rsid w:val="1EF852F7"/>
    <w:rsid w:val="1F02489B"/>
    <w:rsid w:val="1F62533A"/>
    <w:rsid w:val="1F75506D"/>
    <w:rsid w:val="1F80443F"/>
    <w:rsid w:val="1F8A4FBC"/>
    <w:rsid w:val="1FB34FEE"/>
    <w:rsid w:val="1FF35744"/>
    <w:rsid w:val="1FF468DA"/>
    <w:rsid w:val="1FFB197A"/>
    <w:rsid w:val="2020147D"/>
    <w:rsid w:val="20250841"/>
    <w:rsid w:val="205F72F5"/>
    <w:rsid w:val="20EA55E7"/>
    <w:rsid w:val="20F36B91"/>
    <w:rsid w:val="212F0CDD"/>
    <w:rsid w:val="21311468"/>
    <w:rsid w:val="215018EE"/>
    <w:rsid w:val="216E7FC6"/>
    <w:rsid w:val="21C71BB9"/>
    <w:rsid w:val="220426D8"/>
    <w:rsid w:val="220821C8"/>
    <w:rsid w:val="224A27E1"/>
    <w:rsid w:val="224C6559"/>
    <w:rsid w:val="226F0499"/>
    <w:rsid w:val="22DB5B2F"/>
    <w:rsid w:val="22FD3CF7"/>
    <w:rsid w:val="23057D46"/>
    <w:rsid w:val="2366189C"/>
    <w:rsid w:val="236F1310"/>
    <w:rsid w:val="23700025"/>
    <w:rsid w:val="23757D31"/>
    <w:rsid w:val="23860B96"/>
    <w:rsid w:val="239D2DE4"/>
    <w:rsid w:val="23DA16A7"/>
    <w:rsid w:val="23EB3B50"/>
    <w:rsid w:val="240371BF"/>
    <w:rsid w:val="242738E7"/>
    <w:rsid w:val="247955FF"/>
    <w:rsid w:val="247B26F6"/>
    <w:rsid w:val="254276EE"/>
    <w:rsid w:val="257162D7"/>
    <w:rsid w:val="257D111F"/>
    <w:rsid w:val="25BC23D3"/>
    <w:rsid w:val="25D31ADE"/>
    <w:rsid w:val="25E46AA9"/>
    <w:rsid w:val="26034CD6"/>
    <w:rsid w:val="26143832"/>
    <w:rsid w:val="2629095F"/>
    <w:rsid w:val="26415CA9"/>
    <w:rsid w:val="264B6703"/>
    <w:rsid w:val="26510275"/>
    <w:rsid w:val="268027BA"/>
    <w:rsid w:val="277125BE"/>
    <w:rsid w:val="27CB7F20"/>
    <w:rsid w:val="28213FE4"/>
    <w:rsid w:val="28321D4D"/>
    <w:rsid w:val="285443B9"/>
    <w:rsid w:val="28A864B3"/>
    <w:rsid w:val="28AA4191"/>
    <w:rsid w:val="28F74D45"/>
    <w:rsid w:val="28FE4325"/>
    <w:rsid w:val="28FE44C3"/>
    <w:rsid w:val="290F3E8A"/>
    <w:rsid w:val="293164A9"/>
    <w:rsid w:val="293E64A3"/>
    <w:rsid w:val="29A73C2A"/>
    <w:rsid w:val="29FD04D3"/>
    <w:rsid w:val="2A53358B"/>
    <w:rsid w:val="2A6D1762"/>
    <w:rsid w:val="2A89320C"/>
    <w:rsid w:val="2AA862F4"/>
    <w:rsid w:val="2AAA4765"/>
    <w:rsid w:val="2ACF5F79"/>
    <w:rsid w:val="2ADF02A3"/>
    <w:rsid w:val="2AF43C32"/>
    <w:rsid w:val="2BB62C95"/>
    <w:rsid w:val="2BBD4024"/>
    <w:rsid w:val="2C106849"/>
    <w:rsid w:val="2C3167C0"/>
    <w:rsid w:val="2C412EA7"/>
    <w:rsid w:val="2C491D5B"/>
    <w:rsid w:val="2C7D37B3"/>
    <w:rsid w:val="2C8A61B5"/>
    <w:rsid w:val="2CA23219"/>
    <w:rsid w:val="2CC3566A"/>
    <w:rsid w:val="2CDD51B6"/>
    <w:rsid w:val="2CF60799"/>
    <w:rsid w:val="2CF62F0A"/>
    <w:rsid w:val="2D2C76B3"/>
    <w:rsid w:val="2D5C786C"/>
    <w:rsid w:val="2D652BC5"/>
    <w:rsid w:val="2DA52FC1"/>
    <w:rsid w:val="2DAA682A"/>
    <w:rsid w:val="2DBD47AF"/>
    <w:rsid w:val="2DD9710F"/>
    <w:rsid w:val="2DF04E50"/>
    <w:rsid w:val="2E187DAC"/>
    <w:rsid w:val="2E474078"/>
    <w:rsid w:val="2E96487B"/>
    <w:rsid w:val="2E9B6172"/>
    <w:rsid w:val="2EBF00B3"/>
    <w:rsid w:val="2F040D46"/>
    <w:rsid w:val="2F171C9D"/>
    <w:rsid w:val="2F2D326E"/>
    <w:rsid w:val="2FFD0E93"/>
    <w:rsid w:val="300A7A53"/>
    <w:rsid w:val="30470360"/>
    <w:rsid w:val="30661B74"/>
    <w:rsid w:val="30C666D9"/>
    <w:rsid w:val="30EF505A"/>
    <w:rsid w:val="31035B63"/>
    <w:rsid w:val="31321010"/>
    <w:rsid w:val="31967F12"/>
    <w:rsid w:val="319F7F4E"/>
    <w:rsid w:val="31C003CA"/>
    <w:rsid w:val="323A26E4"/>
    <w:rsid w:val="325D20BC"/>
    <w:rsid w:val="328F5FEE"/>
    <w:rsid w:val="329B3AAB"/>
    <w:rsid w:val="32D3412D"/>
    <w:rsid w:val="3304709D"/>
    <w:rsid w:val="332E1CAB"/>
    <w:rsid w:val="33370B5F"/>
    <w:rsid w:val="337E053C"/>
    <w:rsid w:val="337F5AD2"/>
    <w:rsid w:val="339F04B3"/>
    <w:rsid w:val="33C63C91"/>
    <w:rsid w:val="340D366E"/>
    <w:rsid w:val="344F1ED9"/>
    <w:rsid w:val="345C5DBF"/>
    <w:rsid w:val="34645984"/>
    <w:rsid w:val="346D235F"/>
    <w:rsid w:val="34B306BA"/>
    <w:rsid w:val="34C53F49"/>
    <w:rsid w:val="34FB796B"/>
    <w:rsid w:val="359A3823"/>
    <w:rsid w:val="35BF4E3C"/>
    <w:rsid w:val="35F115F3"/>
    <w:rsid w:val="3668197E"/>
    <w:rsid w:val="366A2FFA"/>
    <w:rsid w:val="36956B4B"/>
    <w:rsid w:val="36AA5135"/>
    <w:rsid w:val="36AC1F85"/>
    <w:rsid w:val="37227E70"/>
    <w:rsid w:val="37362EDC"/>
    <w:rsid w:val="37452EE6"/>
    <w:rsid w:val="375D66BB"/>
    <w:rsid w:val="376D39B2"/>
    <w:rsid w:val="378C0D4E"/>
    <w:rsid w:val="379A346B"/>
    <w:rsid w:val="37E16F03"/>
    <w:rsid w:val="38AA1DD4"/>
    <w:rsid w:val="38AE4FA7"/>
    <w:rsid w:val="38B4055C"/>
    <w:rsid w:val="38D469F0"/>
    <w:rsid w:val="38FB43DD"/>
    <w:rsid w:val="39526EFF"/>
    <w:rsid w:val="395B3CED"/>
    <w:rsid w:val="397D21FC"/>
    <w:rsid w:val="397F0B6A"/>
    <w:rsid w:val="39910906"/>
    <w:rsid w:val="39B76556"/>
    <w:rsid w:val="39D07618"/>
    <w:rsid w:val="39E906DA"/>
    <w:rsid w:val="3A016441"/>
    <w:rsid w:val="3A5C534F"/>
    <w:rsid w:val="3AA3780D"/>
    <w:rsid w:val="3AA44A19"/>
    <w:rsid w:val="3AC3717D"/>
    <w:rsid w:val="3AC45CE1"/>
    <w:rsid w:val="3B545955"/>
    <w:rsid w:val="3B583C03"/>
    <w:rsid w:val="3B655D7F"/>
    <w:rsid w:val="3B697D24"/>
    <w:rsid w:val="3B7D37CF"/>
    <w:rsid w:val="3B95403F"/>
    <w:rsid w:val="3BD22ABE"/>
    <w:rsid w:val="3C08753D"/>
    <w:rsid w:val="3C3814A4"/>
    <w:rsid w:val="3C5717AF"/>
    <w:rsid w:val="3CD76F0F"/>
    <w:rsid w:val="3CF2023E"/>
    <w:rsid w:val="3D0D779F"/>
    <w:rsid w:val="3D232155"/>
    <w:rsid w:val="3D566323"/>
    <w:rsid w:val="3D5E4F3B"/>
    <w:rsid w:val="3D7D7AB7"/>
    <w:rsid w:val="3D98207C"/>
    <w:rsid w:val="3DE922B0"/>
    <w:rsid w:val="3DEC78AB"/>
    <w:rsid w:val="3DF24001"/>
    <w:rsid w:val="3DFE0BF8"/>
    <w:rsid w:val="3E0E4BB3"/>
    <w:rsid w:val="3E375EB7"/>
    <w:rsid w:val="3E78745D"/>
    <w:rsid w:val="3E8B338A"/>
    <w:rsid w:val="3EA13331"/>
    <w:rsid w:val="3EB92D70"/>
    <w:rsid w:val="3EC42A40"/>
    <w:rsid w:val="3ED951C1"/>
    <w:rsid w:val="3F400D9C"/>
    <w:rsid w:val="3F6031EC"/>
    <w:rsid w:val="3F88629F"/>
    <w:rsid w:val="3FC512A1"/>
    <w:rsid w:val="3FCD30FD"/>
    <w:rsid w:val="3FD414E4"/>
    <w:rsid w:val="3FE47979"/>
    <w:rsid w:val="4057639D"/>
    <w:rsid w:val="407041AB"/>
    <w:rsid w:val="40A23390"/>
    <w:rsid w:val="40B0602D"/>
    <w:rsid w:val="40B76E3C"/>
    <w:rsid w:val="40DB5220"/>
    <w:rsid w:val="40E025BF"/>
    <w:rsid w:val="410B7187"/>
    <w:rsid w:val="41306604"/>
    <w:rsid w:val="41314E40"/>
    <w:rsid w:val="419E7FFC"/>
    <w:rsid w:val="41C16E40"/>
    <w:rsid w:val="423B584A"/>
    <w:rsid w:val="424010B3"/>
    <w:rsid w:val="424B0183"/>
    <w:rsid w:val="424E557E"/>
    <w:rsid w:val="42644DA1"/>
    <w:rsid w:val="428611BC"/>
    <w:rsid w:val="42BF46CD"/>
    <w:rsid w:val="42FB3958"/>
    <w:rsid w:val="433A69FA"/>
    <w:rsid w:val="433B1FA6"/>
    <w:rsid w:val="434150E2"/>
    <w:rsid w:val="43670011"/>
    <w:rsid w:val="43AC3F32"/>
    <w:rsid w:val="43BB4E1D"/>
    <w:rsid w:val="43C21105"/>
    <w:rsid w:val="441B2C89"/>
    <w:rsid w:val="44272F23"/>
    <w:rsid w:val="447D039C"/>
    <w:rsid w:val="4484172B"/>
    <w:rsid w:val="448C267B"/>
    <w:rsid w:val="44A21BB1"/>
    <w:rsid w:val="44C46595"/>
    <w:rsid w:val="44E268DA"/>
    <w:rsid w:val="44FB75C1"/>
    <w:rsid w:val="450665E4"/>
    <w:rsid w:val="453446CB"/>
    <w:rsid w:val="453749EF"/>
    <w:rsid w:val="45F60406"/>
    <w:rsid w:val="45FB77CB"/>
    <w:rsid w:val="460D74FE"/>
    <w:rsid w:val="46252A99"/>
    <w:rsid w:val="463F7FFF"/>
    <w:rsid w:val="46843C64"/>
    <w:rsid w:val="46D65EC9"/>
    <w:rsid w:val="471548BC"/>
    <w:rsid w:val="47416F25"/>
    <w:rsid w:val="47EA7AF7"/>
    <w:rsid w:val="482374AD"/>
    <w:rsid w:val="482848F1"/>
    <w:rsid w:val="483C003E"/>
    <w:rsid w:val="483F42E6"/>
    <w:rsid w:val="48D507A7"/>
    <w:rsid w:val="48E704DA"/>
    <w:rsid w:val="490177EE"/>
    <w:rsid w:val="49307A8A"/>
    <w:rsid w:val="498D2E30"/>
    <w:rsid w:val="498E0956"/>
    <w:rsid w:val="499A379E"/>
    <w:rsid w:val="499B6C2D"/>
    <w:rsid w:val="49AB66B3"/>
    <w:rsid w:val="49E04860"/>
    <w:rsid w:val="49E8275C"/>
    <w:rsid w:val="4A0330F2"/>
    <w:rsid w:val="4A080708"/>
    <w:rsid w:val="4A111CB3"/>
    <w:rsid w:val="4A317C5F"/>
    <w:rsid w:val="4A392FB7"/>
    <w:rsid w:val="4A627F82"/>
    <w:rsid w:val="4A884FC8"/>
    <w:rsid w:val="4AA20B5D"/>
    <w:rsid w:val="4AFE3E0E"/>
    <w:rsid w:val="4B0E749A"/>
    <w:rsid w:val="4B37357F"/>
    <w:rsid w:val="4B4F25DA"/>
    <w:rsid w:val="4B5B4668"/>
    <w:rsid w:val="4B8D5369"/>
    <w:rsid w:val="4BD5286C"/>
    <w:rsid w:val="4BE068DB"/>
    <w:rsid w:val="4BEF2D17"/>
    <w:rsid w:val="4C0373D9"/>
    <w:rsid w:val="4C4675B2"/>
    <w:rsid w:val="4C5B0FC3"/>
    <w:rsid w:val="4C5C4D3B"/>
    <w:rsid w:val="4C716A38"/>
    <w:rsid w:val="4C7E1155"/>
    <w:rsid w:val="4C9646F1"/>
    <w:rsid w:val="4CB132D9"/>
    <w:rsid w:val="4CCC3C6F"/>
    <w:rsid w:val="4CFD207A"/>
    <w:rsid w:val="4D1E7229"/>
    <w:rsid w:val="4D2515D1"/>
    <w:rsid w:val="4D4128AF"/>
    <w:rsid w:val="4D534390"/>
    <w:rsid w:val="4D577224"/>
    <w:rsid w:val="4D73233C"/>
    <w:rsid w:val="4D7D31BB"/>
    <w:rsid w:val="4DCB469B"/>
    <w:rsid w:val="4DFC1A95"/>
    <w:rsid w:val="4E2B0E69"/>
    <w:rsid w:val="4E305B24"/>
    <w:rsid w:val="4E3715BC"/>
    <w:rsid w:val="4E3878A1"/>
    <w:rsid w:val="4E612ADD"/>
    <w:rsid w:val="4E661EA1"/>
    <w:rsid w:val="4E8D5680"/>
    <w:rsid w:val="4EAB630A"/>
    <w:rsid w:val="4EBD5F65"/>
    <w:rsid w:val="4ECE2238"/>
    <w:rsid w:val="4EE67707"/>
    <w:rsid w:val="4EF75037"/>
    <w:rsid w:val="4EF851EF"/>
    <w:rsid w:val="4F0E056F"/>
    <w:rsid w:val="4F302BDB"/>
    <w:rsid w:val="4F3F2E1E"/>
    <w:rsid w:val="4F6E3703"/>
    <w:rsid w:val="4F726FC6"/>
    <w:rsid w:val="4FCD65FF"/>
    <w:rsid w:val="4FD33566"/>
    <w:rsid w:val="501F0559"/>
    <w:rsid w:val="50250266"/>
    <w:rsid w:val="502A762A"/>
    <w:rsid w:val="502D0AC9"/>
    <w:rsid w:val="50922A67"/>
    <w:rsid w:val="50E579F5"/>
    <w:rsid w:val="50F6575E"/>
    <w:rsid w:val="51644DBE"/>
    <w:rsid w:val="51823496"/>
    <w:rsid w:val="51825244"/>
    <w:rsid w:val="51870AAC"/>
    <w:rsid w:val="52076391"/>
    <w:rsid w:val="525A1D1D"/>
    <w:rsid w:val="528D3EA0"/>
    <w:rsid w:val="52A35472"/>
    <w:rsid w:val="52EB0BC7"/>
    <w:rsid w:val="52F61A46"/>
    <w:rsid w:val="531B5950"/>
    <w:rsid w:val="534053B7"/>
    <w:rsid w:val="535350EA"/>
    <w:rsid w:val="53642E53"/>
    <w:rsid w:val="537137C2"/>
    <w:rsid w:val="537E6D0A"/>
    <w:rsid w:val="53D33B35"/>
    <w:rsid w:val="53D84CD2"/>
    <w:rsid w:val="54036A0A"/>
    <w:rsid w:val="5438608E"/>
    <w:rsid w:val="544669FD"/>
    <w:rsid w:val="54C6369A"/>
    <w:rsid w:val="54D9161F"/>
    <w:rsid w:val="55254864"/>
    <w:rsid w:val="55264138"/>
    <w:rsid w:val="553B347E"/>
    <w:rsid w:val="5559450E"/>
    <w:rsid w:val="557C303F"/>
    <w:rsid w:val="55AC774A"/>
    <w:rsid w:val="55CB21FF"/>
    <w:rsid w:val="55E944A7"/>
    <w:rsid w:val="56483722"/>
    <w:rsid w:val="56847368"/>
    <w:rsid w:val="56B04601"/>
    <w:rsid w:val="56C615FB"/>
    <w:rsid w:val="56D71B8E"/>
    <w:rsid w:val="57212E09"/>
    <w:rsid w:val="57527466"/>
    <w:rsid w:val="578D66F1"/>
    <w:rsid w:val="57974EB5"/>
    <w:rsid w:val="580F7106"/>
    <w:rsid w:val="58240E03"/>
    <w:rsid w:val="583059FA"/>
    <w:rsid w:val="583077A8"/>
    <w:rsid w:val="583C439E"/>
    <w:rsid w:val="584414A5"/>
    <w:rsid w:val="589F492D"/>
    <w:rsid w:val="58A2001D"/>
    <w:rsid w:val="592F675E"/>
    <w:rsid w:val="59376914"/>
    <w:rsid w:val="596F60AE"/>
    <w:rsid w:val="597C7926"/>
    <w:rsid w:val="598C0025"/>
    <w:rsid w:val="59CC3500"/>
    <w:rsid w:val="59D52B81"/>
    <w:rsid w:val="59DE1485"/>
    <w:rsid w:val="5A0F7891"/>
    <w:rsid w:val="5A5359CF"/>
    <w:rsid w:val="5A6279C1"/>
    <w:rsid w:val="5AA135F3"/>
    <w:rsid w:val="5AA1498D"/>
    <w:rsid w:val="5AF92295"/>
    <w:rsid w:val="5B0647F0"/>
    <w:rsid w:val="5B885B4D"/>
    <w:rsid w:val="5BA97E11"/>
    <w:rsid w:val="5BB406F0"/>
    <w:rsid w:val="5BCE7A03"/>
    <w:rsid w:val="5BD20B76"/>
    <w:rsid w:val="5BEC1C38"/>
    <w:rsid w:val="5C11169E"/>
    <w:rsid w:val="5C144706"/>
    <w:rsid w:val="5C33310A"/>
    <w:rsid w:val="5CB52971"/>
    <w:rsid w:val="5CD71FC4"/>
    <w:rsid w:val="5CE01E3A"/>
    <w:rsid w:val="5D0C00B7"/>
    <w:rsid w:val="5D261179"/>
    <w:rsid w:val="5D325D70"/>
    <w:rsid w:val="5D4C30FF"/>
    <w:rsid w:val="5D5061F6"/>
    <w:rsid w:val="5D59154F"/>
    <w:rsid w:val="5D6E7568"/>
    <w:rsid w:val="5D7F0889"/>
    <w:rsid w:val="5D8F6D1E"/>
    <w:rsid w:val="5DD872CF"/>
    <w:rsid w:val="5E203E1A"/>
    <w:rsid w:val="5E227B93"/>
    <w:rsid w:val="5EA20CD3"/>
    <w:rsid w:val="5EBE56E5"/>
    <w:rsid w:val="5ED54C05"/>
    <w:rsid w:val="5EDD1D0C"/>
    <w:rsid w:val="5EE47E3C"/>
    <w:rsid w:val="5F107621"/>
    <w:rsid w:val="5F294F51"/>
    <w:rsid w:val="5F40503A"/>
    <w:rsid w:val="5F473629"/>
    <w:rsid w:val="5FA814E1"/>
    <w:rsid w:val="5FF160F1"/>
    <w:rsid w:val="601E25DC"/>
    <w:rsid w:val="60870181"/>
    <w:rsid w:val="608A5EC3"/>
    <w:rsid w:val="61314934"/>
    <w:rsid w:val="613C540F"/>
    <w:rsid w:val="614515F6"/>
    <w:rsid w:val="61493688"/>
    <w:rsid w:val="61562652"/>
    <w:rsid w:val="61B2747F"/>
    <w:rsid w:val="61E84C4F"/>
    <w:rsid w:val="61FE0917"/>
    <w:rsid w:val="62386423"/>
    <w:rsid w:val="6280132C"/>
    <w:rsid w:val="628801E0"/>
    <w:rsid w:val="629C69EC"/>
    <w:rsid w:val="62AF39BF"/>
    <w:rsid w:val="633B0109"/>
    <w:rsid w:val="633B5253"/>
    <w:rsid w:val="63442359"/>
    <w:rsid w:val="6356208C"/>
    <w:rsid w:val="636447A9"/>
    <w:rsid w:val="63B82D47"/>
    <w:rsid w:val="6406400A"/>
    <w:rsid w:val="64306D81"/>
    <w:rsid w:val="6444263E"/>
    <w:rsid w:val="64632CB3"/>
    <w:rsid w:val="646D3B32"/>
    <w:rsid w:val="649C61C5"/>
    <w:rsid w:val="64C51278"/>
    <w:rsid w:val="64D21BE7"/>
    <w:rsid w:val="64DB6CED"/>
    <w:rsid w:val="64E33DF4"/>
    <w:rsid w:val="651D7306"/>
    <w:rsid w:val="656767D3"/>
    <w:rsid w:val="6573215C"/>
    <w:rsid w:val="65A11CE5"/>
    <w:rsid w:val="65B55790"/>
    <w:rsid w:val="65DA0D53"/>
    <w:rsid w:val="66234775"/>
    <w:rsid w:val="66770C98"/>
    <w:rsid w:val="66CB4B3F"/>
    <w:rsid w:val="66E300DB"/>
    <w:rsid w:val="66EE5282"/>
    <w:rsid w:val="670A1B0C"/>
    <w:rsid w:val="67662C04"/>
    <w:rsid w:val="679C6C08"/>
    <w:rsid w:val="68040309"/>
    <w:rsid w:val="684F3C7A"/>
    <w:rsid w:val="68752FB5"/>
    <w:rsid w:val="689D7F6A"/>
    <w:rsid w:val="68A85138"/>
    <w:rsid w:val="68B7181F"/>
    <w:rsid w:val="68C96399"/>
    <w:rsid w:val="68D221B5"/>
    <w:rsid w:val="68E32614"/>
    <w:rsid w:val="68E51EE8"/>
    <w:rsid w:val="68E72104"/>
    <w:rsid w:val="690802CD"/>
    <w:rsid w:val="691B1DAE"/>
    <w:rsid w:val="692C3FBB"/>
    <w:rsid w:val="69345A96"/>
    <w:rsid w:val="69407A67"/>
    <w:rsid w:val="698536CB"/>
    <w:rsid w:val="69AA57FE"/>
    <w:rsid w:val="69AE49D0"/>
    <w:rsid w:val="69EB79D2"/>
    <w:rsid w:val="6A162576"/>
    <w:rsid w:val="6A1862EE"/>
    <w:rsid w:val="6A484E25"/>
    <w:rsid w:val="6A7A48B2"/>
    <w:rsid w:val="6A933BC6"/>
    <w:rsid w:val="6ADC731B"/>
    <w:rsid w:val="6AE76F44"/>
    <w:rsid w:val="6B050DEC"/>
    <w:rsid w:val="6B464D14"/>
    <w:rsid w:val="6B6C069F"/>
    <w:rsid w:val="6BB20381"/>
    <w:rsid w:val="6BCA61D7"/>
    <w:rsid w:val="6BEC358E"/>
    <w:rsid w:val="6BEF0C80"/>
    <w:rsid w:val="6BFF164F"/>
    <w:rsid w:val="6C296590"/>
    <w:rsid w:val="6C4A05C8"/>
    <w:rsid w:val="6C4E249B"/>
    <w:rsid w:val="6C6D28CC"/>
    <w:rsid w:val="6C975BF0"/>
    <w:rsid w:val="6CE1330F"/>
    <w:rsid w:val="6CEA21C3"/>
    <w:rsid w:val="6CEB5F3B"/>
    <w:rsid w:val="6D734C74"/>
    <w:rsid w:val="6D8F0BD4"/>
    <w:rsid w:val="6DB4457F"/>
    <w:rsid w:val="6DC44C5E"/>
    <w:rsid w:val="6E337B9A"/>
    <w:rsid w:val="6E4F6056"/>
    <w:rsid w:val="6E6C6C08"/>
    <w:rsid w:val="6E7E3605"/>
    <w:rsid w:val="6EA036EA"/>
    <w:rsid w:val="6ED76777"/>
    <w:rsid w:val="6F50730C"/>
    <w:rsid w:val="6F6D2E60"/>
    <w:rsid w:val="6F71097A"/>
    <w:rsid w:val="6F773AB6"/>
    <w:rsid w:val="6F997ED1"/>
    <w:rsid w:val="6FB72105"/>
    <w:rsid w:val="6FB95E7D"/>
    <w:rsid w:val="6FC11252"/>
    <w:rsid w:val="6FC62348"/>
    <w:rsid w:val="6FE23626"/>
    <w:rsid w:val="6FF5CC65"/>
    <w:rsid w:val="7003534A"/>
    <w:rsid w:val="70333E81"/>
    <w:rsid w:val="704716DB"/>
    <w:rsid w:val="70990676"/>
    <w:rsid w:val="70A13867"/>
    <w:rsid w:val="70D25448"/>
    <w:rsid w:val="70F21646"/>
    <w:rsid w:val="71025602"/>
    <w:rsid w:val="711A32FB"/>
    <w:rsid w:val="71353C29"/>
    <w:rsid w:val="715C0E4B"/>
    <w:rsid w:val="717A163C"/>
    <w:rsid w:val="71A063D0"/>
    <w:rsid w:val="71C54FAD"/>
    <w:rsid w:val="72312642"/>
    <w:rsid w:val="725D6F93"/>
    <w:rsid w:val="72734D90"/>
    <w:rsid w:val="729C45C6"/>
    <w:rsid w:val="72A7258E"/>
    <w:rsid w:val="72CC4119"/>
    <w:rsid w:val="72DC25AE"/>
    <w:rsid w:val="72F30457"/>
    <w:rsid w:val="72F378F8"/>
    <w:rsid w:val="73412411"/>
    <w:rsid w:val="734168B5"/>
    <w:rsid w:val="73AD73D5"/>
    <w:rsid w:val="73B6EB34"/>
    <w:rsid w:val="73CC366A"/>
    <w:rsid w:val="73CD784F"/>
    <w:rsid w:val="73E3171A"/>
    <w:rsid w:val="73F8515B"/>
    <w:rsid w:val="740578E3"/>
    <w:rsid w:val="744731E5"/>
    <w:rsid w:val="744D3038"/>
    <w:rsid w:val="744E1239"/>
    <w:rsid w:val="74540BB4"/>
    <w:rsid w:val="74542618"/>
    <w:rsid w:val="746C5BB4"/>
    <w:rsid w:val="749018A2"/>
    <w:rsid w:val="74BA7A6B"/>
    <w:rsid w:val="74FD680C"/>
    <w:rsid w:val="74FE35BE"/>
    <w:rsid w:val="757A7E5C"/>
    <w:rsid w:val="75954C96"/>
    <w:rsid w:val="759E3629"/>
    <w:rsid w:val="75B570E6"/>
    <w:rsid w:val="76277FE4"/>
    <w:rsid w:val="768C16F0"/>
    <w:rsid w:val="76B80C3C"/>
    <w:rsid w:val="76E3355F"/>
    <w:rsid w:val="76E54EBA"/>
    <w:rsid w:val="76F37EC6"/>
    <w:rsid w:val="770B16B4"/>
    <w:rsid w:val="772B0690"/>
    <w:rsid w:val="774150D6"/>
    <w:rsid w:val="774249AA"/>
    <w:rsid w:val="774424D0"/>
    <w:rsid w:val="77653728"/>
    <w:rsid w:val="776E0CC2"/>
    <w:rsid w:val="778769C8"/>
    <w:rsid w:val="778F56E3"/>
    <w:rsid w:val="77B21B30"/>
    <w:rsid w:val="77BC6D32"/>
    <w:rsid w:val="77FF2F41"/>
    <w:rsid w:val="78232A2D"/>
    <w:rsid w:val="783E6019"/>
    <w:rsid w:val="786A41B8"/>
    <w:rsid w:val="78770683"/>
    <w:rsid w:val="78CE0BEB"/>
    <w:rsid w:val="79586707"/>
    <w:rsid w:val="797C23F5"/>
    <w:rsid w:val="798219D5"/>
    <w:rsid w:val="79AB4A88"/>
    <w:rsid w:val="79AD6A52"/>
    <w:rsid w:val="79D73ACF"/>
    <w:rsid w:val="79EE5BA4"/>
    <w:rsid w:val="79FF22B4"/>
    <w:rsid w:val="7A0F3269"/>
    <w:rsid w:val="7A1046BE"/>
    <w:rsid w:val="7A181A92"/>
    <w:rsid w:val="7A262361"/>
    <w:rsid w:val="7A4D5BFA"/>
    <w:rsid w:val="7A5C3FD5"/>
    <w:rsid w:val="7A5D4DC2"/>
    <w:rsid w:val="7A635363"/>
    <w:rsid w:val="7A756E44"/>
    <w:rsid w:val="7A7649A0"/>
    <w:rsid w:val="7A777060"/>
    <w:rsid w:val="7A894339"/>
    <w:rsid w:val="7A993E33"/>
    <w:rsid w:val="7AA83A50"/>
    <w:rsid w:val="7ACB6383"/>
    <w:rsid w:val="7ACF29F8"/>
    <w:rsid w:val="7AD973D3"/>
    <w:rsid w:val="7ADE0E8D"/>
    <w:rsid w:val="7AE2097E"/>
    <w:rsid w:val="7AE710CF"/>
    <w:rsid w:val="7AEA7832"/>
    <w:rsid w:val="7AEC35AA"/>
    <w:rsid w:val="7B62386D"/>
    <w:rsid w:val="7B672C31"/>
    <w:rsid w:val="7BF72207"/>
    <w:rsid w:val="7C042B76"/>
    <w:rsid w:val="7C2E374F"/>
    <w:rsid w:val="7C344B74"/>
    <w:rsid w:val="7C8617DD"/>
    <w:rsid w:val="7CA103C5"/>
    <w:rsid w:val="7CE54755"/>
    <w:rsid w:val="7CFC4F7F"/>
    <w:rsid w:val="7D250FF6"/>
    <w:rsid w:val="7D584F27"/>
    <w:rsid w:val="7DB3215D"/>
    <w:rsid w:val="7DC73E5B"/>
    <w:rsid w:val="7E367EA5"/>
    <w:rsid w:val="7E484F9C"/>
    <w:rsid w:val="7E584AB3"/>
    <w:rsid w:val="7E7062A0"/>
    <w:rsid w:val="7E73422B"/>
    <w:rsid w:val="7E867872"/>
    <w:rsid w:val="7EEB5927"/>
    <w:rsid w:val="7EEF11D3"/>
    <w:rsid w:val="7EF26CB5"/>
    <w:rsid w:val="7F3023CE"/>
    <w:rsid w:val="7F3D43D5"/>
    <w:rsid w:val="7F3E014D"/>
    <w:rsid w:val="7F963AE5"/>
    <w:rsid w:val="7FA30C79"/>
    <w:rsid w:val="7FB7269E"/>
    <w:rsid w:val="7FC96657"/>
    <w:rsid w:val="7FDC1E3F"/>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autoRedefine/>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autoRedefine/>
    <w:qFormat/>
    <w:uiPriority w:val="99"/>
    <w:pPr>
      <w:spacing w:beforeLines="30"/>
    </w:pPr>
    <w:rPr>
      <w:rFonts w:ascii="仿宋_GB2312" w:eastAsia="仿宋_GB2312"/>
      <w:kern w:val="0"/>
      <w:sz w:val="30"/>
    </w:rPr>
  </w:style>
  <w:style w:type="paragraph" w:styleId="6">
    <w:name w:val="Normal Indent"/>
    <w:basedOn w:val="1"/>
    <w:autoRedefine/>
    <w:unhideWhenUsed/>
    <w:qFormat/>
    <w:uiPriority w:val="99"/>
    <w:pPr>
      <w:ind w:firstLine="420" w:firstLineChars="200"/>
    </w:pPr>
  </w:style>
  <w:style w:type="paragraph" w:styleId="7">
    <w:name w:val="Salutation"/>
    <w:basedOn w:val="1"/>
    <w:next w:val="1"/>
    <w:qFormat/>
    <w:uiPriority w:val="99"/>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autoRedefine/>
    <w:unhideWhenUsed/>
    <w:qFormat/>
    <w:uiPriority w:val="39"/>
    <w:pPr>
      <w:tabs>
        <w:tab w:val="right" w:leader="dot" w:pos="8296"/>
      </w:tabs>
      <w:ind w:left="840" w:leftChars="400"/>
    </w:pPr>
  </w:style>
  <w:style w:type="paragraph" w:styleId="10">
    <w:name w:val="Balloon Text"/>
    <w:basedOn w:val="1"/>
    <w:link w:val="32"/>
    <w:unhideWhenUsed/>
    <w:qFormat/>
    <w:uiPriority w:val="99"/>
    <w:rPr>
      <w:sz w:val="18"/>
      <w:szCs w:val="18"/>
    </w:rPr>
  </w:style>
  <w:style w:type="paragraph" w:styleId="11">
    <w:name w:val="footer"/>
    <w:basedOn w:val="1"/>
    <w:link w:val="25"/>
    <w:autoRedefine/>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autoRedefine/>
    <w:unhideWhenUsed/>
    <w:qFormat/>
    <w:uiPriority w:val="39"/>
    <w:pPr>
      <w:tabs>
        <w:tab w:val="right" w:leader="dot" w:pos="8296"/>
      </w:tabs>
      <w:ind w:left="420" w:leftChars="200"/>
    </w:pPr>
  </w:style>
  <w:style w:type="paragraph" w:styleId="15">
    <w:name w:val="Body Text First Indent 2"/>
    <w:basedOn w:val="8"/>
    <w:autoRedefine/>
    <w:unhideWhenUsed/>
    <w:qFormat/>
    <w:uiPriority w:val="99"/>
    <w:pPr>
      <w:ind w:firstLine="420" w:firstLineChars="200"/>
    </w:pPr>
  </w:style>
  <w:style w:type="character" w:styleId="18">
    <w:name w:val="Strong"/>
    <w:basedOn w:val="17"/>
    <w:autoRedefine/>
    <w:qFormat/>
    <w:uiPriority w:val="99"/>
    <w:rPr>
      <w:b/>
    </w:rPr>
  </w:style>
  <w:style w:type="character" w:styleId="19">
    <w:name w:val="Hyperlink"/>
    <w:basedOn w:val="17"/>
    <w:autoRedefine/>
    <w:unhideWhenUsed/>
    <w:qFormat/>
    <w:uiPriority w:val="99"/>
    <w:rPr>
      <w:color w:val="0000FF" w:themeColor="hyperlink"/>
      <w:u w:val="single"/>
      <w14:textFill>
        <w14:solidFill>
          <w14:schemeClr w14:val="hlink"/>
        </w14:solidFill>
      </w14:textFill>
    </w:rPr>
  </w:style>
  <w:style w:type="paragraph" w:customStyle="1" w:styleId="20">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1">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autoRedefine/>
    <w:semiHidden/>
    <w:qFormat/>
    <w:uiPriority w:val="99"/>
    <w:rPr>
      <w:rFonts w:ascii="Times New Roman" w:hAnsi="Times New Roman"/>
      <w:sz w:val="18"/>
      <w:szCs w:val="18"/>
    </w:rPr>
  </w:style>
  <w:style w:type="character" w:customStyle="1" w:styleId="23">
    <w:name w:val="页眉 Char"/>
    <w:link w:val="12"/>
    <w:autoRedefine/>
    <w:semiHidden/>
    <w:qFormat/>
    <w:locked/>
    <w:uiPriority w:val="99"/>
    <w:rPr>
      <w:sz w:val="18"/>
    </w:rPr>
  </w:style>
  <w:style w:type="character" w:customStyle="1" w:styleId="24">
    <w:name w:val="Footer Char"/>
    <w:basedOn w:val="17"/>
    <w:autoRedefine/>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autoRedefine/>
    <w:semiHidden/>
    <w:qFormat/>
    <w:uiPriority w:val="99"/>
    <w:rPr>
      <w:rFonts w:ascii="Times New Roman" w:hAnsi="Times New Roman"/>
      <w:szCs w:val="24"/>
    </w:rPr>
  </w:style>
  <w:style w:type="character" w:customStyle="1" w:styleId="27">
    <w:name w:val="正文文本 Char"/>
    <w:link w:val="2"/>
    <w:autoRedefine/>
    <w:qFormat/>
    <w:locked/>
    <w:uiPriority w:val="99"/>
    <w:rPr>
      <w:rFonts w:ascii="仿宋_GB2312" w:hAnsi="Times New Roman" w:eastAsia="仿宋_GB2312"/>
      <w:sz w:val="24"/>
    </w:rPr>
  </w:style>
  <w:style w:type="paragraph" w:styleId="28">
    <w:name w:val="List Paragraph"/>
    <w:basedOn w:val="1"/>
    <w:autoRedefine/>
    <w:qFormat/>
    <w:uiPriority w:val="34"/>
    <w:pPr>
      <w:ind w:firstLine="420" w:firstLineChars="200"/>
    </w:pPr>
  </w:style>
  <w:style w:type="character" w:customStyle="1" w:styleId="29">
    <w:name w:val="标题 1 Char"/>
    <w:basedOn w:val="17"/>
    <w:link w:val="3"/>
    <w:autoRedefine/>
    <w:qFormat/>
    <w:uiPriority w:val="9"/>
    <w:rPr>
      <w:rFonts w:ascii="Times New Roman" w:hAnsi="Times New Roman"/>
      <w:b/>
      <w:bCs/>
      <w:kern w:val="44"/>
      <w:sz w:val="44"/>
      <w:szCs w:val="44"/>
    </w:rPr>
  </w:style>
  <w:style w:type="character" w:customStyle="1" w:styleId="30">
    <w:name w:val="标题 2 Char"/>
    <w:basedOn w:val="17"/>
    <w:link w:val="4"/>
    <w:autoRedefine/>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autoRedefine/>
    <w:semiHidden/>
    <w:qFormat/>
    <w:uiPriority w:val="99"/>
    <w:rPr>
      <w:rFonts w:ascii="Times New Roman" w:hAnsi="Times New Roman"/>
      <w:kern w:val="2"/>
      <w:sz w:val="18"/>
      <w:szCs w:val="18"/>
    </w:rPr>
  </w:style>
  <w:style w:type="character" w:customStyle="1" w:styleId="33">
    <w:name w:val="标题 3 Char"/>
    <w:basedOn w:val="17"/>
    <w:link w:val="5"/>
    <w:autoRedefine/>
    <w:qFormat/>
    <w:uiPriority w:val="9"/>
    <w:rPr>
      <w:rFonts w:ascii="Times New Roman" w:hAnsi="Times New Roman"/>
      <w:b/>
      <w:bCs/>
      <w:kern w:val="2"/>
      <w:sz w:val="32"/>
      <w:szCs w:val="32"/>
    </w:rPr>
  </w:style>
  <w:style w:type="paragraph" w:customStyle="1" w:styleId="34">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DELL\Desktop\&#20915;&#31639;&#20844;&#24320;&#65288;2022&#65289;\&#20915;&#31639;&#20844;&#24320;&#22270;&#65288;2022&#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DELL\Desktop\&#20915;&#31639;&#20844;&#24320;&#65288;2022&#65289;\&#20915;&#31639;&#20844;&#24320;&#22270;&#65288;2022&#6528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DELL\Desktop\&#20915;&#31639;&#20844;&#24320;&#65288;2022&#65289;\&#20915;&#31639;&#20844;&#24320;&#22270;&#65288;2022&#6528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DELL\Desktop\&#20915;&#31639;&#20844;&#24320;&#65288;2022&#65289;\&#20915;&#31639;&#20844;&#24320;&#22270;&#65288;2022&#6528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DELL\Desktop\&#20915;&#31639;&#20844;&#24320;&#65288;2022&#65289;\&#20915;&#31639;&#20844;&#24320;&#22270;&#65288;2022&#6528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DELL\Desktop\&#20915;&#31639;&#20844;&#24320;&#65288;2022&#65289;\&#20915;&#31639;&#20844;&#24320;&#22270;&#65288;2021&#6528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1&#24180;&#20915;&#31639;&#25968;&#25454;&#22270;&#34920;%20-%20&#21103;&#264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zh-CN" altLang="en-US"/>
              <a:t>收、支决算总变动情况图</a:t>
            </a:r>
            <a:endParaRPr lang="zh-CN" altLang="en-US"/>
          </a:p>
        </c:rich>
      </c:tx>
      <c:layout>
        <c:manualLayout>
          <c:xMode val="edge"/>
          <c:yMode val="edge"/>
          <c:x val="0.386223936362541"/>
          <c:y val="0.020125786163522"/>
        </c:manualLayout>
      </c:layout>
      <c:overlay val="0"/>
      <c:spPr>
        <a:noFill/>
        <a:ln>
          <a:noFill/>
        </a:ln>
        <a:effectLst/>
      </c:spPr>
    </c:title>
    <c:autoTitleDeleted val="0"/>
    <c:plotArea>
      <c:layout>
        <c:manualLayout>
          <c:layoutTarget val="inner"/>
          <c:xMode val="edge"/>
          <c:yMode val="edge"/>
          <c:x val="0.196890442328552"/>
          <c:y val="0.10146750524109"/>
          <c:w val="0.664505242858865"/>
          <c:h val="0.779748427672956"/>
        </c:manualLayout>
      </c:layout>
      <c:barChart>
        <c:barDir val="col"/>
        <c:grouping val="clustered"/>
        <c:varyColors val="0"/>
        <c:ser>
          <c:idx val="0"/>
          <c:order val="0"/>
          <c:tx>
            <c:strRef>
              <c:f>'[决算公开图（2022）.xlsx]Sheet1'!$A$2</c:f>
              <c:strCache>
                <c:ptCount val="1"/>
                <c:pt idx="0">
                  <c:v>收入</c:v>
                </c:pt>
              </c:strCache>
            </c:strRef>
          </c:tx>
          <c:spPr>
            <a:solidFill>
              <a:schemeClr val="accent1"/>
            </a:solidFill>
            <a:ln>
              <a:noFill/>
            </a:ln>
            <a:effectLst/>
          </c:spPr>
          <c:invertIfNegative val="0"/>
          <c:dLbls>
            <c:dLbl>
              <c:idx val="0"/>
              <c:layout>
                <c:manualLayout>
                  <c:x val="-0.013719512195122"/>
                  <c:y val="0.016564774907732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5092747532893"/>
                  <c:y val="0.02113125843290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82926829268293"/>
                  <c:y val="0.02574791564492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914634146341463"/>
                  <c:y val="0.003678273663560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'[决算公开图（2022）.xlsx]Sheet1'!$B$1:$E$1</c:f>
              <c:strCache>
                <c:ptCount val="4"/>
                <c:pt idx="0">
                  <c:v>2021年</c:v>
                </c:pt>
                <c:pt idx="1">
                  <c:v>2022年</c:v>
                </c:pt>
                <c:pt idx="2">
                  <c:v>收入支出减少值</c:v>
                </c:pt>
                <c:pt idx="3">
                  <c:v>收入支出下降率</c:v>
                </c:pt>
              </c:strCache>
            </c:strRef>
          </c:cat>
          <c:val>
            <c:numRef>
              <c:f>'[决算公开图（2022）.xlsx]Sheet1'!$B$2:$E$2</c:f>
              <c:numCache>
                <c:formatCode>General</c:formatCode>
                <c:ptCount val="4"/>
                <c:pt idx="0">
                  <c:v>6961.66</c:v>
                </c:pt>
                <c:pt idx="1" c:formatCode="0.00_ ">
                  <c:v>5407.3</c:v>
                </c:pt>
                <c:pt idx="2">
                  <c:v>1554.36</c:v>
                </c:pt>
                <c:pt idx="3" c:formatCode="0.00%">
                  <c:v>0.223274333995053</c:v>
                </c:pt>
              </c:numCache>
            </c:numRef>
          </c:val>
        </c:ser>
        <c:ser>
          <c:idx val="1"/>
          <c:order val="1"/>
          <c:tx>
            <c:strRef>
              <c:f>'[决算公开图（2022）.xlsx]Sheet1'!$A$3</c:f>
              <c:strCache>
                <c:ptCount val="1"/>
                <c:pt idx="0">
                  <c:v>支出</c:v>
                </c:pt>
              </c:strCache>
            </c:strRef>
          </c:tx>
          <c:spPr>
            <a:solidFill>
              <a:schemeClr val="accent2"/>
            </a:solidFill>
            <a:ln>
              <a:noFill/>
            </a:ln>
            <a:effectLst/>
          </c:spPr>
          <c:invertIfNegative val="0"/>
          <c:dLbls>
            <c:dLbl>
              <c:idx val="0"/>
              <c:layout>
                <c:manualLayout>
                  <c:x val="0.024390243902439"/>
                  <c:y val="0.01839136831780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59146341463415"/>
                  <c:y val="0.024809532096469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98170731707317"/>
                  <c:y val="0.029426189308484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52439024390244"/>
                  <c:y val="0.003678273663560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'[决算公开图（2022）.xlsx]Sheet1'!$B$1:$E$1</c:f>
              <c:strCache>
                <c:ptCount val="4"/>
                <c:pt idx="0">
                  <c:v>2021年</c:v>
                </c:pt>
                <c:pt idx="1">
                  <c:v>2022年</c:v>
                </c:pt>
                <c:pt idx="2">
                  <c:v>收入支出减少值</c:v>
                </c:pt>
                <c:pt idx="3">
                  <c:v>收入支出下降率</c:v>
                </c:pt>
              </c:strCache>
            </c:strRef>
          </c:cat>
          <c:val>
            <c:numRef>
              <c:f>'[决算公开图（2022）.xlsx]Sheet1'!$B$3:$E$3</c:f>
              <c:numCache>
                <c:formatCode>General</c:formatCode>
                <c:ptCount val="4"/>
                <c:pt idx="0">
                  <c:v>6961.66</c:v>
                </c:pt>
                <c:pt idx="1" c:formatCode="0.00_ ">
                  <c:v>5407.3</c:v>
                </c:pt>
                <c:pt idx="2">
                  <c:v>1554.36</c:v>
                </c:pt>
                <c:pt idx="3" c:formatCode="0.00%">
                  <c:v>0.223274333995053</c:v>
                </c:pt>
              </c:numCache>
            </c:numRef>
          </c:val>
        </c:ser>
        <c:dLbls>
          <c:showLegendKey val="0"/>
          <c:showVal val="1"/>
          <c:showCatName val="0"/>
          <c:showSerName val="0"/>
          <c:showPercent val="0"/>
          <c:showBubbleSize val="0"/>
        </c:dLbls>
        <c:gapWidth val="246"/>
        <c:overlap val="-28"/>
        <c:axId val="550356960"/>
        <c:axId val="550357520"/>
      </c:barChart>
      <c:catAx>
        <c:axId val="550356960"/>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357520"/>
        <c:crosses val="autoZero"/>
        <c:auto val="1"/>
        <c:lblAlgn val="ctr"/>
        <c:lblOffset val="100"/>
        <c:noMultiLvlLbl val="0"/>
      </c:catAx>
      <c:valAx>
        <c:axId val="550357520"/>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356960"/>
        <c:crosses val="autoZero"/>
        <c:crossBetween val="between"/>
      </c:valAx>
      <c:spPr>
        <a:noFill/>
        <a:ln>
          <a:noFill/>
        </a:ln>
        <a:effectLst/>
      </c:spPr>
    </c:plotArea>
    <c:legend>
      <c:legendPos val="b"/>
      <c:layout>
        <c:manualLayout>
          <c:xMode val="edge"/>
          <c:yMode val="edge"/>
          <c:x val="0.84584789683018"/>
          <c:y val="0.508438818565401"/>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5b2d812-e7f3-4f9b-9d67-c72f453083c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zh-CN" altLang="en-US"/>
              <a:t>收入决算结构图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explosion val="8"/>
            <c:spPr>
              <a:solidFill>
                <a:schemeClr val="accent2"/>
              </a:solidFill>
              <a:ln>
                <a:solidFill>
                  <a:schemeClr val="bg1"/>
                </a:solidFill>
              </a:ln>
              <a:effectLst/>
            </c:spPr>
          </c:dPt>
          <c:dLbls>
            <c:dLbl>
              <c:idx val="0"/>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60.56%</a:t>
                    </a:r>
                    <a:endParaRPr lang="en-US" altLang="zh-CN"/>
                  </a:p>
                </c:rich>
              </c:tx>
              <c:dLblPos val="in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39.44%</a:t>
                    </a:r>
                    <a:endParaRPr lang="en-US" altLang="zh-CN"/>
                  </a:p>
                </c:rich>
              </c:tx>
              <c:dLblPos val="inEnd"/>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'[决算公开图（2022）.xlsx]Sheet1'!$A$50:$B$50</c:f>
              <c:strCache>
                <c:ptCount val="2"/>
                <c:pt idx="0">
                  <c:v>一般公共预算财政拨款收入</c:v>
                </c:pt>
                <c:pt idx="1">
                  <c:v>政府性基金预算财政拨款收入</c:v>
                </c:pt>
              </c:strCache>
            </c:strRef>
          </c:cat>
          <c:val>
            <c:numRef>
              <c:f>'[决算公开图（2022）.xlsx]Sheet1'!$A$51:$B$51</c:f>
              <c:numCache>
                <c:formatCode>0.00%</c:formatCode>
                <c:ptCount val="2"/>
                <c:pt idx="0">
                  <c:v>0.605600731856068</c:v>
                </c:pt>
                <c:pt idx="1">
                  <c:v>0.394399268143932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25f178a-5a16-4b27-b1c0-1f77c2fa4a6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explosion val="26"/>
            <c:spPr>
              <a:solidFill>
                <a:schemeClr val="accent2"/>
              </a:solidFill>
              <a:ln>
                <a:solidFill>
                  <a:schemeClr val="bg1"/>
                </a:solidFill>
              </a:ln>
              <a:effectLst/>
            </c:spPr>
          </c:dPt>
          <c:dLbls>
            <c:dLbl>
              <c:idx val="0"/>
              <c:layout>
                <c:manualLayout>
                  <c:x val="-0.0319110291987554"/>
                  <c:y val="0.12298965708172"/>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12.31%</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538593468718499"/>
                  <c:y val="-0.13894500234296"/>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87.69%</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'[决算公开图（2022）.xlsx]Sheet1'!$A$66:$B$67</c:f>
              <c:multiLvlStrCache>
                <c:ptCount val="2"/>
                <c:lvl>
                  <c:pt idx="0">
                    <c:v>基本支出</c:v>
                  </c:pt>
                  <c:pt idx="1">
                    <c:v>项目支出</c:v>
                  </c:pt>
                </c:lvl>
                <c:lvl/>
              </c:multiLvlStrCache>
            </c:multiLvlStrRef>
          </c:cat>
          <c:val>
            <c:numRef>
              <c:f>'[决算公开图（2022）.xlsx]Sheet1'!$A$68:$B$68</c:f>
              <c:numCache>
                <c:formatCode>0.00%</c:formatCode>
                <c:ptCount val="2"/>
                <c:pt idx="0">
                  <c:v>0.12313721283765</c:v>
                </c:pt>
                <c:pt idx="1">
                  <c:v>0.87686278716235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65586215206651"/>
          <c:y val="0.918599464763604"/>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d32af5f-bd66-4fe1-a800-cdbe0c5ee1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zh-CN" altLang="en-US"/>
              <a:t>财政拨款收、支决算总计变动情况图</a:t>
            </a:r>
            <a:endParaRPr lang="zh-CN" altLang="en-US"/>
          </a:p>
        </c:rich>
      </c:tx>
      <c:layout>
        <c:manualLayout>
          <c:xMode val="edge"/>
          <c:yMode val="edge"/>
          <c:x val="0.241593346992889"/>
          <c:y val="0.00927357032457496"/>
        </c:manualLayout>
      </c:layout>
      <c:overlay val="0"/>
      <c:spPr>
        <a:noFill/>
        <a:ln>
          <a:noFill/>
        </a:ln>
        <a:effectLst/>
      </c:spPr>
    </c:title>
    <c:autoTitleDeleted val="0"/>
    <c:plotArea>
      <c:layout>
        <c:manualLayout>
          <c:layoutTarget val="inner"/>
          <c:xMode val="edge"/>
          <c:yMode val="edge"/>
          <c:x val="0.198374420115599"/>
          <c:y val="0.0850547188617435"/>
          <c:w val="0.664565425023878"/>
          <c:h val="0.811868686868687"/>
        </c:manualLayout>
      </c:layout>
      <c:barChart>
        <c:barDir val="col"/>
        <c:grouping val="clustered"/>
        <c:varyColors val="0"/>
        <c:ser>
          <c:idx val="0"/>
          <c:order val="0"/>
          <c:tx>
            <c:strRef>
              <c:f>'[决算公开图（2022）.xlsx]Sheet1'!$A$2</c:f>
              <c:strCache>
                <c:ptCount val="1"/>
                <c:pt idx="0">
                  <c:v>收入</c:v>
                </c:pt>
              </c:strCache>
            </c:strRef>
          </c:tx>
          <c:spPr>
            <a:solidFill>
              <a:schemeClr val="accent1"/>
            </a:solidFill>
            <a:ln>
              <a:noFill/>
            </a:ln>
            <a:effectLst/>
          </c:spPr>
          <c:invertIfNegative val="0"/>
          <c:dLbls>
            <c:dLbl>
              <c:idx val="0"/>
              <c:layout>
                <c:manualLayout>
                  <c:x val="-0.013719512195122"/>
                  <c:y val="0.01103482099068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3719512195122"/>
                  <c:y val="0.018725279731170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82926829268293"/>
                  <c:y val="0.02574791564492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914634146341463"/>
                  <c:y val="0.003678273663560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'[决算公开图（2022）.xlsx]Sheet1'!$B$1:$E$1</c:f>
              <c:strCache>
                <c:ptCount val="4"/>
                <c:pt idx="0">
                  <c:v>2021年</c:v>
                </c:pt>
                <c:pt idx="1">
                  <c:v>2022年</c:v>
                </c:pt>
                <c:pt idx="2">
                  <c:v>收入支出减少值</c:v>
                </c:pt>
                <c:pt idx="3">
                  <c:v>收入支出下降率</c:v>
                </c:pt>
              </c:strCache>
            </c:strRef>
          </c:cat>
          <c:val>
            <c:numRef>
              <c:f>'[决算公开图（2022）.xlsx]Sheet1'!$B$2:$E$2</c:f>
              <c:numCache>
                <c:formatCode>General</c:formatCode>
                <c:ptCount val="4"/>
                <c:pt idx="0">
                  <c:v>6922.93</c:v>
                </c:pt>
                <c:pt idx="1" c:formatCode="0.00_ ">
                  <c:v>5407.3</c:v>
                </c:pt>
                <c:pt idx="2">
                  <c:v>1515.63</c:v>
                </c:pt>
                <c:pt idx="3" c:formatCode="0.00%">
                  <c:v>0.218928979492787</c:v>
                </c:pt>
              </c:numCache>
            </c:numRef>
          </c:val>
        </c:ser>
        <c:ser>
          <c:idx val="1"/>
          <c:order val="1"/>
          <c:tx>
            <c:strRef>
              <c:f>'[决算公开图（2022）.xlsx]Sheet1'!$A$3</c:f>
              <c:strCache>
                <c:ptCount val="1"/>
                <c:pt idx="0">
                  <c:v>支出</c:v>
                </c:pt>
              </c:strCache>
            </c:strRef>
          </c:tx>
          <c:spPr>
            <a:solidFill>
              <a:schemeClr val="accent2"/>
            </a:solidFill>
            <a:ln>
              <a:noFill/>
            </a:ln>
            <a:effectLst/>
          </c:spPr>
          <c:invertIfNegative val="0"/>
          <c:dLbls>
            <c:dLbl>
              <c:idx val="0"/>
              <c:layout>
                <c:manualLayout>
                  <c:x val="0.0261981262695596"/>
                  <c:y val="0.013040913529145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59146341463415"/>
                  <c:y val="0.01972832600040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98170731707317"/>
                  <c:y val="0.029426189308484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52439024390244"/>
                  <c:y val="0.0036782736635605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'[决算公开图（2022）.xlsx]Sheet1'!$B$1:$E$1</c:f>
              <c:strCache>
                <c:ptCount val="4"/>
                <c:pt idx="0">
                  <c:v>2021年</c:v>
                </c:pt>
                <c:pt idx="1">
                  <c:v>2022年</c:v>
                </c:pt>
                <c:pt idx="2">
                  <c:v>收入支出减少值</c:v>
                </c:pt>
                <c:pt idx="3">
                  <c:v>收入支出下降率</c:v>
                </c:pt>
              </c:strCache>
            </c:strRef>
          </c:cat>
          <c:val>
            <c:numRef>
              <c:f>'[决算公开图（2022）.xlsx]Sheet1'!$B$3:$E$3</c:f>
              <c:numCache>
                <c:formatCode>General</c:formatCode>
                <c:ptCount val="4"/>
                <c:pt idx="0">
                  <c:v>6922.93</c:v>
                </c:pt>
                <c:pt idx="1" c:formatCode="0.00_ ">
                  <c:v>5407.3</c:v>
                </c:pt>
                <c:pt idx="2">
                  <c:v>1515.63</c:v>
                </c:pt>
                <c:pt idx="3" c:formatCode="0.00%">
                  <c:v>0.218928979492787</c:v>
                </c:pt>
              </c:numCache>
            </c:numRef>
          </c:val>
        </c:ser>
        <c:dLbls>
          <c:showLegendKey val="0"/>
          <c:showVal val="1"/>
          <c:showCatName val="0"/>
          <c:showSerName val="0"/>
          <c:showPercent val="0"/>
          <c:showBubbleSize val="0"/>
        </c:dLbls>
        <c:gapWidth val="246"/>
        <c:overlap val="-28"/>
        <c:axId val="550341504"/>
        <c:axId val="550342064"/>
      </c:barChart>
      <c:catAx>
        <c:axId val="550341504"/>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342064"/>
        <c:crosses val="autoZero"/>
        <c:auto val="1"/>
        <c:lblAlgn val="ctr"/>
        <c:lblOffset val="100"/>
        <c:noMultiLvlLbl val="0"/>
      </c:catAx>
      <c:valAx>
        <c:axId val="550342064"/>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0341504"/>
        <c:crosses val="autoZero"/>
        <c:crossBetween val="between"/>
      </c:valAx>
      <c:spPr>
        <a:noFill/>
        <a:ln>
          <a:noFill/>
        </a:ln>
        <a:effectLst/>
      </c:spPr>
    </c:plotArea>
    <c:legend>
      <c:legendPos val="b"/>
      <c:layout>
        <c:manualLayout>
          <c:xMode val="edge"/>
          <c:yMode val="edge"/>
          <c:x val="0.842714234060504"/>
          <c:y val="0.51969057665260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d9ac6a8-401f-4973-b9a5-c450208234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lang="zh-CN" altLang="en-US" b="1"/>
              <a:t>一般公共预算财政拨款支出决算变动情况图</a:t>
            </a:r>
            <a:endParaRPr lang="zh-CN" altLang="en-US" b="1"/>
          </a:p>
        </c:rich>
      </c:tx>
      <c:layout>
        <c:manualLayout>
          <c:xMode val="edge"/>
          <c:yMode val="edge"/>
          <c:x val="0.187507529213348"/>
          <c:y val="0.0210664911125741"/>
        </c:manualLayout>
      </c:layout>
      <c:overlay val="0"/>
      <c:spPr>
        <a:noFill/>
        <a:ln>
          <a:noFill/>
        </a:ln>
        <a:effectLst/>
      </c:spPr>
    </c:title>
    <c:autoTitleDeleted val="0"/>
    <c:plotArea>
      <c:layout>
        <c:manualLayout>
          <c:layoutTarget val="inner"/>
          <c:xMode val="edge"/>
          <c:yMode val="edge"/>
          <c:x val="0.0874111552824961"/>
          <c:y val="0.197498354180382"/>
          <c:w val="0.870304782556318"/>
          <c:h val="0.711740179942945"/>
        </c:manualLayout>
      </c:layout>
      <c:barChart>
        <c:barDir val="col"/>
        <c:grouping val="clustered"/>
        <c:varyColors val="0"/>
        <c:ser>
          <c:idx val="0"/>
          <c:order val="0"/>
          <c:spPr>
            <a:solidFill>
              <a:srgbClr val="C00000"/>
            </a:solidFill>
            <a:ln>
              <a:noFill/>
            </a:ln>
            <a:effectLst/>
          </c:spPr>
          <c:invertIfNegative val="0"/>
          <c:dPt>
            <c:idx val="1"/>
            <c:invertIfNegative val="0"/>
            <c:bubble3D val="0"/>
            <c:spPr>
              <a:solidFill>
                <a:schemeClr val="accent1"/>
              </a:soli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'[决算公开图（2022）.xlsx]Sheet1'!$B$90:$C$90</c:f>
              <c:strCache>
                <c:ptCount val="2"/>
                <c:pt idx="0">
                  <c:v>2021年</c:v>
                </c:pt>
                <c:pt idx="1">
                  <c:v>2022年</c:v>
                </c:pt>
              </c:strCache>
            </c:strRef>
          </c:cat>
          <c:val>
            <c:numRef>
              <c:f>'[决算公开图（2022）.xlsx]Sheet1'!$B$91:$C$91</c:f>
              <c:numCache>
                <c:formatCode>General</c:formatCode>
                <c:ptCount val="2"/>
                <c:pt idx="0">
                  <c:v>6922.93</c:v>
                </c:pt>
                <c:pt idx="1">
                  <c:v>3719.17</c:v>
                </c:pt>
              </c:numCache>
            </c:numRef>
          </c:val>
        </c:ser>
        <c:dLbls>
          <c:showLegendKey val="0"/>
          <c:showVal val="1"/>
          <c:showCatName val="0"/>
          <c:showSerName val="0"/>
          <c:showPercent val="0"/>
          <c:showBubbleSize val="0"/>
        </c:dLbls>
        <c:gapWidth val="219"/>
        <c:overlap val="-27"/>
        <c:axId val="546868560"/>
        <c:axId val="546869120"/>
      </c:barChart>
      <c:catAx>
        <c:axId val="54686856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6869120"/>
        <c:crosses val="autoZero"/>
        <c:auto val="1"/>
        <c:lblAlgn val="ctr"/>
        <c:lblOffset val="100"/>
        <c:noMultiLvlLbl val="0"/>
      </c:catAx>
      <c:valAx>
        <c:axId val="546869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6868560"/>
        <c:crosses val="autoZero"/>
        <c:crossBetween val="between"/>
      </c:valAx>
      <c:spPr>
        <a:noFill/>
        <a:ln>
          <a:noFill/>
        </a:ln>
        <a:effectLst/>
      </c:spPr>
    </c:plotArea>
    <c:plotVisOnly val="1"/>
    <c:dispBlanksAs val="gap"/>
    <c:showDLblsOverMax val="0"/>
    <c:extLst>
      <c:ext uri="{0b15fc19-7d7d-44ad-8c2d-2c3a37ce22c3}">
        <chartProps xmlns="https://web.wps.cn/et/2018/main" chartId="{b8c85016-5e91-4236-967e-dedfd05c5ed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zh-CN" altLang="en-US"/>
              <a:t>一般公共预算财政拨款支出决算结构图</a:t>
            </a:r>
            <a:endParaRPr lang="zh-CN" altLang="en-US"/>
          </a:p>
        </c:rich>
      </c:tx>
      <c:layout/>
      <c:overlay val="0"/>
      <c:spPr>
        <a:noFill/>
        <a:ln>
          <a:noFill/>
        </a:ln>
        <a:effectLst/>
      </c:spPr>
    </c:title>
    <c:autoTitleDeleted val="0"/>
    <c:plotArea>
      <c:layout>
        <c:manualLayout>
          <c:layoutTarget val="inner"/>
          <c:xMode val="edge"/>
          <c:yMode val="edge"/>
          <c:x val="0.276388888888889"/>
          <c:y val="0.237677408695895"/>
          <c:w val="0.654861111111111"/>
          <c:h val="0.653771491957848"/>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explosion val="37"/>
            <c:spPr>
              <a:solidFill>
                <a:schemeClr val="accent2"/>
              </a:solidFill>
              <a:ln>
                <a:solidFill>
                  <a:schemeClr val="bg1"/>
                </a:solidFill>
              </a:ln>
              <a:effectLst/>
            </c:spPr>
          </c:dPt>
          <c:dPt>
            <c:idx val="2"/>
            <c:bubble3D val="0"/>
            <c:explosion val="29"/>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explosion val="9"/>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Lbls>
            <c:dLbl>
              <c:idx val="0"/>
              <c:layout>
                <c:manualLayout>
                  <c:x val="-0.0679907735496444"/>
                  <c:y val="-0.0816576241997796"/>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0.05%</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502660147993798"/>
                  <c:y val="0.0233086575187625"/>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1.50%</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12161965207379"/>
                  <c:y val="0.00755859631826829"/>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1.57%</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067127533955268"/>
                  <c:y val="-0.0143458986457543"/>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1.18%</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4"/>
              <c:layout>
                <c:manualLayout>
                  <c:x val="0.0793839484824287"/>
                  <c:y val="0.0180591170650916"/>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3.27%</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5"/>
              <c:layout>
                <c:manualLayout>
                  <c:x val="-0.121127069921773"/>
                  <c:y val="-0.134234217383262"/>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60.10%</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6"/>
              <c:layout>
                <c:manualLayout>
                  <c:x val="0.162569879036063"/>
                  <c:y val="0.0586266065334619"/>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30.90%</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7"/>
              <c:layout>
                <c:manualLayout>
                  <c:x val="-0.0649082497963309"/>
                  <c:y val="-0.012346789892176"/>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1.19%</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8"/>
              <c:layout>
                <c:manualLayout>
                  <c:x val="-0.145388928283105"/>
                  <c:y val="0.0309105892874513"/>
                </c:manualLayout>
              </c:layout>
              <c:tx>
                <c:rich>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r>
                      <a:rPr lang="en-US" altLang="zh-CN"/>
                      <a:t>0.24%</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'[决算公开图（2021）.xlsx]Sheet1'!$A$117:$I$117</c:f>
              <c:strCache>
                <c:ptCount val="9"/>
                <c:pt idx="0">
                  <c:v>一般公共服务支出</c:v>
                </c:pt>
                <c:pt idx="1">
                  <c:v>文化旅游体育与传媒支出</c:v>
                </c:pt>
                <c:pt idx="2">
                  <c:v>社会保障和就业（类）支出</c:v>
                </c:pt>
                <c:pt idx="3">
                  <c:v>卫生健康支出</c:v>
                </c:pt>
                <c:pt idx="4">
                  <c:v>节能环保支出</c:v>
                </c:pt>
                <c:pt idx="5">
                  <c:v>城乡社区支出</c:v>
                </c:pt>
                <c:pt idx="6">
                  <c:v>农林水支出</c:v>
                </c:pt>
                <c:pt idx="7">
                  <c:v>住房保障支出</c:v>
                </c:pt>
                <c:pt idx="8">
                  <c:v>灾害防治及应急管理支出</c:v>
                </c:pt>
              </c:strCache>
            </c:strRef>
          </c:cat>
          <c:val>
            <c:numRef>
              <c:f>'[决算公开图（2021）.xlsx]Sheet1'!$A$118:$I$118</c:f>
              <c:numCache>
                <c:formatCode>0.00%</c:formatCode>
                <c:ptCount val="9"/>
                <c:pt idx="0">
                  <c:v>0.000524310531650879</c:v>
                </c:pt>
                <c:pt idx="1">
                  <c:v>0.0150490566443588</c:v>
                </c:pt>
                <c:pt idx="2">
                  <c:v>0.0156701629664683</c:v>
                </c:pt>
                <c:pt idx="3">
                  <c:v>0.0117499334528941</c:v>
                </c:pt>
                <c:pt idx="4">
                  <c:v>0.0327223547189292</c:v>
                </c:pt>
                <c:pt idx="5">
                  <c:v>0.600948598746495</c:v>
                </c:pt>
                <c:pt idx="6">
                  <c:v>0.309009805951328</c:v>
                </c:pt>
                <c:pt idx="7">
                  <c:v>0.0119058822264107</c:v>
                </c:pt>
                <c:pt idx="8">
                  <c:v>0.0024198947614656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227597c-c5b8-41e6-ad8e-c43b148f903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“三公”经费财政拨款支出结构图</a:t>
            </a:r>
            <a:endParaRPr lang="zh-CN" altLang="en-US"/>
          </a:p>
        </c:rich>
      </c:tx>
      <c:layout>
        <c:manualLayout>
          <c:xMode val="edge"/>
          <c:yMode val="edge"/>
          <c:x val="0.162833207700265"/>
          <c:y val="0.0171810937955642"/>
        </c:manualLayout>
      </c:layout>
      <c:overlay val="0"/>
    </c:title>
    <c:autoTitleDeleted val="0"/>
    <c:plotArea>
      <c:layout>
        <c:manualLayout>
          <c:layoutTarget val="inner"/>
          <c:xMode val="edge"/>
          <c:yMode val="edge"/>
          <c:x val="0.0699642196175201"/>
          <c:y val="0.173043753963221"/>
          <c:w val="0.578270203578041"/>
          <c:h val="0.743005707038686"/>
        </c:manualLayout>
      </c:layout>
      <c:pieChart>
        <c:varyColors val="1"/>
        <c:ser>
          <c:idx val="0"/>
          <c:order val="0"/>
          <c:explosion val="0"/>
          <c:dPt>
            <c:idx val="0"/>
            <c:bubble3D val="0"/>
          </c:dPt>
          <c:dPt>
            <c:idx val="1"/>
            <c:bubble3D val="0"/>
            <c:explosion val="16"/>
          </c:dPt>
          <c:dPt>
            <c:idx val="2"/>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'[2021年决算数据图表 - 副本.xlsx]收入占总收入比重'!$A$1:$C$1</c:f>
              <c:strCache>
                <c:ptCount val="3"/>
                <c:pt idx="0">
                  <c:v>因公出国（境）费支出</c:v>
                </c:pt>
                <c:pt idx="1">
                  <c:v>公务用车购置及运行维护费支出</c:v>
                </c:pt>
                <c:pt idx="2">
                  <c:v>公务接待费支出</c:v>
                </c:pt>
              </c:strCache>
            </c:strRef>
          </c:cat>
          <c:val>
            <c:numRef>
              <c:f>'[2021年决算数据图表 - 副本.xlsx]收入占总收入比重'!$A$2:$C$2</c:f>
              <c:numCache>
                <c:formatCode>0.00_ </c:formatCode>
                <c:ptCount val="3"/>
                <c:pt idx="0">
                  <c:v>0</c:v>
                </c:pt>
                <c:pt idx="1">
                  <c:v>0</c:v>
                </c:pt>
                <c:pt idx="2">
                  <c:v>0.53</c:v>
                </c:pt>
              </c:numCache>
            </c:numRef>
          </c:val>
        </c:ser>
        <c:dLbls>
          <c:showLegendKey val="1"/>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bdd58c06-dc08-4da8-a668-9d4c14d81396}"/>
      </c:ext>
    </c:extLst>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60</Pages>
  <Words>6932</Words>
  <Characters>8634</Characters>
  <Lines>212</Lines>
  <Paragraphs>59</Paragraphs>
  <TotalTime>1</TotalTime>
  <ScaleCrop>false</ScaleCrop>
  <LinksUpToDate>false</LinksUpToDate>
  <CharactersWithSpaces>8669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2024-04-23T00:57:00Z</dcterms:created>
  <dc:creator>曹颖</dc:creator>
  <cp:lastModifiedBy>Administrator</cp:lastModifiedBy>
  <cp:lastPrinted>2023-08-15T07:38:00Z</cp:lastPrinted>
  <dcterms:modified xsi:type="dcterms:W3CDTF">2024-11-15T02:34:49Z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3B59CD0B359B4E8D9B5B7E0B4DCFCC85_13</vt:lpwstr>
  </property>
</Properties>
</file>