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8BFEF">
      <w:pPr>
        <w:spacing w:line="600" w:lineRule="exact"/>
        <w:jc w:val="left"/>
        <w:outlineLvl w:val="9"/>
        <w:rPr>
          <w:rFonts w:ascii="方正小标宋简体" w:hAnsi="宋体" w:eastAsia="方正小标宋简体"/>
          <w:color w:val="auto"/>
          <w:sz w:val="21"/>
          <w:szCs w:val="21"/>
          <w:highlight w:val="none"/>
        </w:rPr>
      </w:pPr>
      <w:bookmarkStart w:id="0" w:name="_Toc15306267"/>
    </w:p>
    <w:p w14:paraId="76CE6139">
      <w:pPr>
        <w:spacing w:line="600" w:lineRule="exact"/>
        <w:jc w:val="center"/>
        <w:outlineLvl w:val="9"/>
        <w:rPr>
          <w:rFonts w:ascii="方正小标宋简体" w:hAnsi="宋体" w:eastAsia="方正小标宋简体"/>
          <w:color w:val="auto"/>
          <w:sz w:val="72"/>
          <w:szCs w:val="72"/>
          <w:highlight w:val="none"/>
        </w:rPr>
      </w:pPr>
    </w:p>
    <w:p w14:paraId="146C81EE">
      <w:pPr>
        <w:spacing w:line="600" w:lineRule="exact"/>
        <w:jc w:val="center"/>
        <w:outlineLvl w:val="9"/>
        <w:rPr>
          <w:rFonts w:ascii="方正小标宋简体" w:hAnsi="宋体" w:eastAsia="方正小标宋简体"/>
          <w:color w:val="auto"/>
          <w:sz w:val="72"/>
          <w:szCs w:val="72"/>
          <w:highlight w:val="none"/>
        </w:rPr>
      </w:pPr>
    </w:p>
    <w:p w14:paraId="28B74925">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475"/>
      <w:bookmarkStart w:id="2" w:name="_Toc15378441"/>
      <w:bookmarkStart w:id="3" w:name="_Toc15377425"/>
      <w:bookmarkStart w:id="4" w:name="_Toc15377193"/>
      <w:bookmarkStart w:id="5" w:name="_Toc6674"/>
      <w:bookmarkStart w:id="6" w:name="_Toc1539659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p w14:paraId="083015E1">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96598"/>
      <w:bookmarkStart w:id="8" w:name="_Toc15396476"/>
      <w:bookmarkStart w:id="9" w:name="_Toc15377426"/>
      <w:bookmarkStart w:id="10" w:name="_Toc23074"/>
      <w:bookmarkStart w:id="11" w:name="_Toc15378442"/>
      <w:bookmarkStart w:id="12" w:name="_Toc15377194"/>
      <w:r>
        <w:rPr>
          <w:rFonts w:hint="eastAsia" w:ascii="方正小标宋简体" w:hAnsi="方正小标宋简体" w:eastAsia="方正小标宋简体" w:cs="方正小标宋简体"/>
          <w:color w:val="auto"/>
          <w:sz w:val="72"/>
          <w:szCs w:val="72"/>
          <w:highlight w:val="none"/>
          <w:lang w:eastAsia="zh-CN"/>
        </w:rPr>
        <w:t>米易县</w:t>
      </w:r>
      <w:bookmarkEnd w:id="0"/>
      <w:bookmarkStart w:id="13" w:name="_Toc15306268"/>
      <w:r>
        <w:rPr>
          <w:rFonts w:hint="eastAsia" w:ascii="方正小标宋简体" w:hAnsi="方正小标宋简体" w:eastAsia="方正小标宋简体" w:cs="方正小标宋简体"/>
          <w:color w:val="auto"/>
          <w:sz w:val="72"/>
          <w:szCs w:val="72"/>
          <w:highlight w:val="none"/>
          <w:lang w:eastAsia="zh-CN"/>
        </w:rPr>
        <w:t>卫生健康局（本级）单位</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bookmarkEnd w:id="13"/>
    </w:p>
    <w:p w14:paraId="38E6BC2B">
      <w:pPr>
        <w:adjustRightInd w:val="0"/>
        <w:snapToGrid w:val="0"/>
        <w:spacing w:line="360" w:lineRule="auto"/>
        <w:jc w:val="both"/>
        <w:outlineLvl w:val="9"/>
        <w:rPr>
          <w:rFonts w:ascii="方正小标宋简体" w:hAnsi="宋体" w:eastAsia="方正小标宋简体"/>
          <w:color w:val="auto"/>
          <w:sz w:val="52"/>
          <w:szCs w:val="52"/>
          <w:highlight w:val="none"/>
        </w:rPr>
      </w:pPr>
    </w:p>
    <w:p w14:paraId="79C069BB">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2C60FEE7">
      <w:pPr>
        <w:widowControl/>
        <w:jc w:val="center"/>
        <w:rPr>
          <w:rFonts w:ascii="黑体" w:hAnsi="黑体" w:eastAsia="黑体" w:cstheme="minorBidi"/>
          <w:color w:val="auto"/>
          <w:sz w:val="28"/>
          <w:szCs w:val="28"/>
          <w:highlight w:val="none"/>
        </w:rPr>
      </w:pPr>
    </w:p>
    <w:p w14:paraId="6FB17968">
      <w:pPr>
        <w:pStyle w:val="11"/>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31</w:t>
      </w:r>
      <w:r>
        <w:rPr>
          <w:rFonts w:hint="eastAsia"/>
          <w:color w:val="auto"/>
          <w:highlight w:val="none"/>
        </w:rPr>
        <w:t>日</w:t>
      </w:r>
    </w:p>
    <w:p w14:paraId="2E674340">
      <w:pPr>
        <w:rPr>
          <w:color w:val="auto"/>
          <w:highlight w:val="none"/>
        </w:rPr>
      </w:pPr>
    </w:p>
    <w:sdt>
      <w:sdtPr>
        <w:rPr>
          <w:rFonts w:ascii="宋体" w:hAnsi="宋体" w:eastAsia="宋体" w:cs="Times New Roman"/>
          <w:kern w:val="2"/>
          <w:sz w:val="21"/>
          <w:szCs w:val="24"/>
          <w:lang w:val="en-US" w:eastAsia="zh-CN" w:bidi="ar-SA"/>
        </w:rPr>
        <w:id w:val="147455698"/>
        <w15:color w:val="DBDBDB"/>
        <w:docPartObj>
          <w:docPartGallery w:val="Table of Contents"/>
          <w:docPartUnique/>
        </w:docPartObj>
      </w:sdtPr>
      <w:sdtEndPr>
        <w:rPr>
          <w:rFonts w:hint="eastAsia" w:ascii="宋体" w:hAnsi="宋体" w:eastAsia="宋体" w:cs="Times New Roman"/>
          <w:color w:val="auto"/>
          <w:kern w:val="2"/>
          <w:sz w:val="24"/>
          <w:szCs w:val="24"/>
          <w:highlight w:val="none"/>
          <w:lang w:val="en-US" w:eastAsia="zh-CN" w:bidi="ar-SA"/>
        </w:rPr>
      </w:sdtEndPr>
      <w:sdtContent>
        <w:p w14:paraId="6BCEEDA9">
          <w:pPr>
            <w:spacing w:before="0" w:beforeLines="0" w:after="0" w:afterLines="0" w:line="240" w:lineRule="auto"/>
            <w:ind w:left="0" w:leftChars="0" w:right="0" w:rightChars="0" w:firstLine="0" w:firstLineChars="0"/>
            <w:jc w:val="center"/>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TOC \o "1-2" \h \u </w:instrText>
          </w:r>
          <w:r>
            <w:rPr>
              <w:rFonts w:hint="eastAsia"/>
              <w:color w:val="auto"/>
              <w:sz w:val="24"/>
              <w:highlight w:val="none"/>
            </w:rPr>
            <w:fldChar w:fldCharType="separate"/>
          </w:r>
        </w:p>
        <w:p w14:paraId="705D816A">
          <w:pPr>
            <w:pStyle w:val="11"/>
            <w:adjustRightInd w:val="0"/>
            <w:snapToGrid w:val="0"/>
            <w:spacing w:before="0" w:line="440" w:lineRule="exact"/>
            <w:jc w:val="left"/>
            <w:outlineLvl w:val="0"/>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_Toc882 </w:instrText>
          </w:r>
          <w:r>
            <w:rPr>
              <w:rFonts w:hint="eastAsia"/>
              <w:color w:val="auto"/>
              <w:sz w:val="24"/>
              <w:highlight w:val="none"/>
            </w:rPr>
            <w:fldChar w:fldCharType="separate"/>
          </w:r>
          <w:r>
            <w:rPr>
              <w:rFonts w:hint="eastAsia"/>
              <w:color w:val="auto"/>
              <w:sz w:val="24"/>
              <w:highlight w:val="none"/>
            </w:rPr>
            <w:t xml:space="preserve">第一部分 </w:t>
          </w:r>
          <w:r>
            <w:rPr>
              <w:rFonts w:hint="eastAsia"/>
              <w:color w:val="auto"/>
              <w:sz w:val="24"/>
              <w:highlight w:val="none"/>
              <w:lang w:eastAsia="zh-CN"/>
            </w:rPr>
            <w:t>单位</w:t>
          </w:r>
          <w:r>
            <w:rPr>
              <w:rFonts w:hint="eastAsia"/>
              <w:color w:val="auto"/>
              <w:sz w:val="24"/>
              <w:highlight w:val="none"/>
            </w:rPr>
            <w:t>概况</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_Toc882 \h </w:instrText>
          </w:r>
          <w:r>
            <w:rPr>
              <w:rFonts w:hint="eastAsia"/>
              <w:color w:val="auto"/>
              <w:sz w:val="24"/>
              <w:highlight w:val="none"/>
            </w:rPr>
            <w:fldChar w:fldCharType="separate"/>
          </w:r>
          <w:r>
            <w:rPr>
              <w:rFonts w:hint="eastAsia"/>
              <w:color w:val="auto"/>
              <w:sz w:val="24"/>
              <w:highlight w:val="none"/>
            </w:rPr>
            <w:t>4</w:t>
          </w:r>
          <w:r>
            <w:rPr>
              <w:rFonts w:hint="eastAsia"/>
              <w:color w:val="auto"/>
              <w:sz w:val="24"/>
              <w:highlight w:val="none"/>
            </w:rPr>
            <w:fldChar w:fldCharType="end"/>
          </w:r>
          <w:r>
            <w:rPr>
              <w:rFonts w:hint="eastAsia"/>
              <w:color w:val="auto"/>
              <w:sz w:val="24"/>
              <w:highlight w:val="none"/>
            </w:rPr>
            <w:fldChar w:fldCharType="end"/>
          </w:r>
        </w:p>
        <w:p w14:paraId="544DE78F">
          <w:pPr>
            <w:pStyle w:val="11"/>
            <w:adjustRightInd w:val="0"/>
            <w:snapToGrid w:val="0"/>
            <w:spacing w:before="0" w:line="440" w:lineRule="exact"/>
            <w:jc w:val="left"/>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_Toc4017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eastAsia="zh-CN"/>
            </w:rPr>
            <w:t>一、 主要职责</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_Toc4017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66BC74D2">
          <w:pPr>
            <w:pStyle w:val="11"/>
            <w:adjustRightInd w:val="0"/>
            <w:snapToGrid w:val="0"/>
            <w:spacing w:before="0" w:line="440" w:lineRule="exact"/>
            <w:jc w:val="left"/>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_Toc30771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val="en-US" w:eastAsia="zh-CN"/>
            </w:rPr>
            <w:t>二、 机构设置</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_Toc30771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6</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58082182">
          <w:pPr>
            <w:pStyle w:val="11"/>
            <w:adjustRightInd w:val="0"/>
            <w:snapToGrid w:val="0"/>
            <w:spacing w:before="0" w:line="440" w:lineRule="exact"/>
            <w:jc w:val="left"/>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_Toc26589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val="en-US" w:eastAsia="zh-CN"/>
            </w:rPr>
            <w:t>三、 2022年重点工作完成情况</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_Toc26589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6</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4D85DC26">
          <w:pPr>
            <w:pStyle w:val="11"/>
            <w:adjustRightInd w:val="0"/>
            <w:snapToGrid w:val="0"/>
            <w:spacing w:before="0" w:line="440" w:lineRule="exact"/>
            <w:jc w:val="left"/>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_Toc27260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 xml:space="preserve">第二部分 </w:t>
          </w:r>
          <w:r>
            <w:rPr>
              <w:rFonts w:hint="eastAsia" w:ascii="宋体" w:hAnsi="宋体" w:eastAsia="宋体" w:cs="宋体"/>
              <w:color w:val="auto"/>
              <w:sz w:val="24"/>
              <w:highlight w:val="none"/>
              <w:lang w:val="en-US" w:eastAsia="zh-CN"/>
            </w:rPr>
            <w:t>2022年度</w:t>
          </w:r>
          <w:r>
            <w:rPr>
              <w:rFonts w:hint="eastAsia" w:ascii="宋体" w:hAnsi="宋体" w:eastAsia="宋体" w:cs="宋体"/>
              <w:color w:val="auto"/>
              <w:sz w:val="24"/>
              <w:highlight w:val="none"/>
              <w:lang w:eastAsia="zh-CN"/>
            </w:rPr>
            <w:t>单位</w:t>
          </w:r>
          <w:r>
            <w:rPr>
              <w:rFonts w:hint="eastAsia" w:ascii="宋体" w:hAnsi="宋体" w:eastAsia="宋体" w:cs="宋体"/>
              <w:color w:val="auto"/>
              <w:sz w:val="24"/>
              <w:highlight w:val="none"/>
            </w:rPr>
            <w:t>决算情况说明</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_Toc27260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10</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2F164FE5">
          <w:pPr>
            <w:pStyle w:val="11"/>
            <w:adjustRightInd w:val="0"/>
            <w:snapToGrid w:val="0"/>
            <w:spacing w:before="0" w:line="440" w:lineRule="exact"/>
            <w:jc w:val="left"/>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_Toc17982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一、 收入支出决算总体情况说明</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_Toc17982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10</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1DD418DB">
          <w:pPr>
            <w:pStyle w:val="11"/>
            <w:adjustRightInd w:val="0"/>
            <w:snapToGrid w:val="0"/>
            <w:spacing w:before="0" w:line="440" w:lineRule="exact"/>
            <w:jc w:val="left"/>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_Toc16077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二、 收入决算情况说明</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_Toc16077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11</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6E4811C5">
          <w:pPr>
            <w:pStyle w:val="11"/>
            <w:adjustRightInd w:val="0"/>
            <w:snapToGrid w:val="0"/>
            <w:spacing w:before="0" w:line="440" w:lineRule="exact"/>
            <w:jc w:val="left"/>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_Toc9274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三、 支出决算情况说明</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_Toc9274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11</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1AB37F28">
          <w:pPr>
            <w:pStyle w:val="11"/>
            <w:adjustRightInd w:val="0"/>
            <w:snapToGrid w:val="0"/>
            <w:spacing w:before="0" w:line="440" w:lineRule="exact"/>
            <w:jc w:val="left"/>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_Toc15464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四、财政拨款收入支出决算总体情况说明</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_Toc15464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12</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16C9E9E9">
          <w:pPr>
            <w:pStyle w:val="11"/>
            <w:adjustRightInd w:val="0"/>
            <w:snapToGrid w:val="0"/>
            <w:spacing w:before="0" w:line="440" w:lineRule="exact"/>
            <w:jc w:val="left"/>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_Toc13883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五、一般公共预算财政拨款支出决算情况说明</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_Toc13883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13</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2BA1E57C">
          <w:pPr>
            <w:pStyle w:val="11"/>
            <w:adjustRightInd w:val="0"/>
            <w:snapToGrid w:val="0"/>
            <w:spacing w:before="0" w:line="440" w:lineRule="exact"/>
            <w:jc w:val="left"/>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_Toc8434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六、一般公共预算财政拨款基本支出决算情况说明</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_Toc8434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16</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5294CE27">
          <w:pPr>
            <w:pStyle w:val="11"/>
            <w:adjustRightInd w:val="0"/>
            <w:snapToGrid w:val="0"/>
            <w:spacing w:before="0" w:line="440" w:lineRule="exact"/>
            <w:jc w:val="left"/>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_Toc26282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七、财政拨款“三公”经费支出决算情况说明</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_Toc26282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16</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6F1C7B27">
          <w:pPr>
            <w:pStyle w:val="11"/>
            <w:adjustRightInd w:val="0"/>
            <w:snapToGrid w:val="0"/>
            <w:spacing w:before="0" w:line="440" w:lineRule="exact"/>
            <w:jc w:val="left"/>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_Toc6298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八、政府性基金预算支出决算情况说明</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_Toc6298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19</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2A363C2B">
          <w:pPr>
            <w:pStyle w:val="11"/>
            <w:adjustRightInd w:val="0"/>
            <w:snapToGrid w:val="0"/>
            <w:spacing w:before="0" w:line="440" w:lineRule="exact"/>
            <w:jc w:val="left"/>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_Toc31604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九、 国有资本经营预算支出决算情况说明</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_Toc31604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19</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556D3955">
          <w:pPr>
            <w:pStyle w:val="11"/>
            <w:adjustRightInd w:val="0"/>
            <w:snapToGrid w:val="0"/>
            <w:spacing w:before="0" w:line="440" w:lineRule="exact"/>
            <w:jc w:val="left"/>
            <w:outlineLvl w:val="0"/>
            <w:rPr>
              <w:rFonts w:hint="eastAsia"/>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_Toc8987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十、 其他重要事项的情况说明</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_Toc8987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19</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1083A827">
          <w:pPr>
            <w:pStyle w:val="11"/>
            <w:adjustRightInd w:val="0"/>
            <w:snapToGrid w:val="0"/>
            <w:spacing w:before="0" w:line="440" w:lineRule="exact"/>
            <w:jc w:val="left"/>
            <w:outlineLvl w:val="0"/>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_Toc19699 </w:instrText>
          </w:r>
          <w:r>
            <w:rPr>
              <w:rFonts w:hint="eastAsia"/>
              <w:color w:val="auto"/>
              <w:sz w:val="24"/>
              <w:highlight w:val="none"/>
            </w:rPr>
            <w:fldChar w:fldCharType="separate"/>
          </w:r>
          <w:r>
            <w:rPr>
              <w:rFonts w:hint="eastAsia"/>
              <w:color w:val="auto"/>
              <w:sz w:val="24"/>
              <w:highlight w:val="none"/>
            </w:rPr>
            <w:t>第三部分 名词解释</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_Toc19699 \h </w:instrText>
          </w:r>
          <w:r>
            <w:rPr>
              <w:rFonts w:hint="eastAsia"/>
              <w:color w:val="auto"/>
              <w:sz w:val="24"/>
              <w:highlight w:val="none"/>
            </w:rPr>
            <w:fldChar w:fldCharType="separate"/>
          </w:r>
          <w:r>
            <w:rPr>
              <w:rFonts w:hint="eastAsia"/>
              <w:color w:val="auto"/>
              <w:sz w:val="24"/>
              <w:highlight w:val="none"/>
            </w:rPr>
            <w:t>21</w:t>
          </w:r>
          <w:r>
            <w:rPr>
              <w:rFonts w:hint="eastAsia"/>
              <w:color w:val="auto"/>
              <w:sz w:val="24"/>
              <w:highlight w:val="none"/>
            </w:rPr>
            <w:fldChar w:fldCharType="end"/>
          </w:r>
          <w:r>
            <w:rPr>
              <w:rFonts w:hint="eastAsia"/>
              <w:color w:val="auto"/>
              <w:sz w:val="24"/>
              <w:highlight w:val="none"/>
            </w:rPr>
            <w:fldChar w:fldCharType="end"/>
          </w:r>
        </w:p>
        <w:p w14:paraId="4091FEF8">
          <w:pPr>
            <w:pStyle w:val="11"/>
            <w:adjustRightInd w:val="0"/>
            <w:snapToGrid w:val="0"/>
            <w:spacing w:before="0" w:line="440" w:lineRule="exact"/>
            <w:jc w:val="left"/>
            <w:outlineLvl w:val="0"/>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_Toc30894 </w:instrText>
          </w:r>
          <w:r>
            <w:rPr>
              <w:rFonts w:hint="eastAsia"/>
              <w:color w:val="auto"/>
              <w:sz w:val="24"/>
              <w:highlight w:val="none"/>
            </w:rPr>
            <w:fldChar w:fldCharType="separate"/>
          </w:r>
          <w:r>
            <w:rPr>
              <w:rFonts w:hint="eastAsia"/>
              <w:color w:val="auto"/>
              <w:sz w:val="24"/>
              <w:highlight w:val="none"/>
            </w:rPr>
            <w:t>第四部分 附件</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_Toc30894 \h </w:instrText>
          </w:r>
          <w:r>
            <w:rPr>
              <w:rFonts w:hint="eastAsia"/>
              <w:color w:val="auto"/>
              <w:sz w:val="24"/>
              <w:highlight w:val="none"/>
            </w:rPr>
            <w:fldChar w:fldCharType="separate"/>
          </w:r>
          <w:r>
            <w:rPr>
              <w:rFonts w:hint="eastAsia"/>
              <w:color w:val="auto"/>
              <w:sz w:val="24"/>
              <w:highlight w:val="none"/>
            </w:rPr>
            <w:t>23</w:t>
          </w:r>
          <w:r>
            <w:rPr>
              <w:rFonts w:hint="eastAsia"/>
              <w:color w:val="auto"/>
              <w:sz w:val="24"/>
              <w:highlight w:val="none"/>
            </w:rPr>
            <w:fldChar w:fldCharType="end"/>
          </w:r>
          <w:r>
            <w:rPr>
              <w:rFonts w:hint="eastAsia"/>
              <w:color w:val="auto"/>
              <w:sz w:val="24"/>
              <w:highlight w:val="none"/>
            </w:rPr>
            <w:fldChar w:fldCharType="end"/>
          </w:r>
        </w:p>
        <w:p w14:paraId="497C3FC5">
          <w:pPr>
            <w:pStyle w:val="11"/>
            <w:adjustRightInd w:val="0"/>
            <w:snapToGrid w:val="0"/>
            <w:spacing w:before="0" w:line="440" w:lineRule="exact"/>
            <w:jc w:val="left"/>
            <w:outlineLvl w:val="0"/>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_Toc17008 </w:instrText>
          </w:r>
          <w:r>
            <w:rPr>
              <w:rFonts w:hint="eastAsia"/>
              <w:color w:val="auto"/>
              <w:sz w:val="24"/>
              <w:highlight w:val="none"/>
            </w:rPr>
            <w:fldChar w:fldCharType="separate"/>
          </w:r>
          <w:r>
            <w:rPr>
              <w:rFonts w:hint="eastAsia"/>
              <w:color w:val="auto"/>
              <w:sz w:val="24"/>
              <w:highlight w:val="none"/>
            </w:rPr>
            <w:t>第五部分 附表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_Toc17008 \h </w:instrText>
          </w:r>
          <w:r>
            <w:rPr>
              <w:rFonts w:hint="eastAsia"/>
              <w:color w:val="auto"/>
              <w:sz w:val="24"/>
              <w:highlight w:val="none"/>
            </w:rPr>
            <w:fldChar w:fldCharType="separate"/>
          </w:r>
          <w:r>
            <w:rPr>
              <w:rFonts w:hint="eastAsia"/>
              <w:color w:val="auto"/>
              <w:sz w:val="24"/>
              <w:highlight w:val="none"/>
            </w:rPr>
            <w:t>24</w:t>
          </w:r>
          <w:r>
            <w:rPr>
              <w:rFonts w:hint="eastAsia"/>
              <w:color w:val="auto"/>
              <w:sz w:val="24"/>
              <w:highlight w:val="none"/>
            </w:rPr>
            <w:fldChar w:fldCharType="end"/>
          </w:r>
          <w:r>
            <w:rPr>
              <w:rFonts w:hint="eastAsia"/>
              <w:color w:val="auto"/>
              <w:sz w:val="24"/>
              <w:highlight w:val="none"/>
            </w:rPr>
            <w:fldChar w:fldCharType="end"/>
          </w:r>
        </w:p>
        <w:p w14:paraId="6CED8617">
          <w:pPr>
            <w:pStyle w:val="11"/>
            <w:adjustRightInd w:val="0"/>
            <w:snapToGrid w:val="0"/>
            <w:spacing w:before="0" w:line="440" w:lineRule="exact"/>
            <w:jc w:val="left"/>
            <w:outlineLvl w:val="0"/>
            <w:rPr>
              <w:rFonts w:hint="eastAsia"/>
              <w:color w:val="auto"/>
              <w:sz w:val="24"/>
              <w:highlight w:val="none"/>
            </w:rPr>
          </w:pPr>
          <w:r>
            <w:rPr>
              <w:rFonts w:hint="eastAsia"/>
              <w:color w:val="auto"/>
              <w:sz w:val="24"/>
              <w:highlight w:val="none"/>
            </w:rPr>
            <w:fldChar w:fldCharType="end"/>
          </w:r>
        </w:p>
      </w:sdtContent>
    </w:sdt>
    <w:p w14:paraId="54AB81E2">
      <w:pPr>
        <w:pStyle w:val="11"/>
        <w:adjustRightInd w:val="0"/>
        <w:snapToGrid w:val="0"/>
        <w:spacing w:before="0" w:line="440" w:lineRule="exact"/>
        <w:jc w:val="left"/>
        <w:outlineLvl w:val="0"/>
        <w:rPr>
          <w:rFonts w:hint="eastAsia" w:ascii="宋体" w:hAnsi="宋体" w:eastAsia="宋体" w:cs="宋体"/>
          <w:color w:val="auto"/>
          <w:sz w:val="24"/>
          <w:highlight w:val="none"/>
        </w:rPr>
      </w:pPr>
      <w:bookmarkStart w:id="14" w:name="_Toc8430"/>
      <w:r>
        <w:rPr>
          <w:rFonts w:hint="eastAsia" w:ascii="宋体" w:hAnsi="宋体" w:eastAsia="宋体" w:cs="宋体"/>
          <w:color w:val="auto"/>
          <w:sz w:val="24"/>
          <w:highlight w:val="none"/>
        </w:rPr>
        <w:t>一、收入支出决算总表</w:t>
      </w:r>
      <w:bookmarkEnd w:id="14"/>
    </w:p>
    <w:p w14:paraId="5ED786EC">
      <w:pPr>
        <w:pStyle w:val="11"/>
        <w:adjustRightInd w:val="0"/>
        <w:snapToGrid w:val="0"/>
        <w:spacing w:before="0" w:line="440" w:lineRule="exact"/>
        <w:jc w:val="left"/>
        <w:outlineLvl w:val="0"/>
        <w:rPr>
          <w:rFonts w:hint="eastAsia" w:ascii="宋体" w:hAnsi="宋体" w:eastAsia="宋体" w:cs="宋体"/>
          <w:color w:val="auto"/>
          <w:sz w:val="24"/>
          <w:highlight w:val="none"/>
        </w:rPr>
      </w:pPr>
      <w:bookmarkStart w:id="15" w:name="_Toc15493"/>
      <w:r>
        <w:rPr>
          <w:rFonts w:hint="eastAsia" w:ascii="宋体" w:hAnsi="宋体" w:eastAsia="宋体" w:cs="宋体"/>
          <w:color w:val="auto"/>
          <w:sz w:val="24"/>
          <w:highlight w:val="none"/>
        </w:rPr>
        <w:t>二、收入决算表</w:t>
      </w:r>
      <w:bookmarkEnd w:id="15"/>
    </w:p>
    <w:p w14:paraId="6D355084">
      <w:pPr>
        <w:pStyle w:val="11"/>
        <w:adjustRightInd w:val="0"/>
        <w:snapToGrid w:val="0"/>
        <w:spacing w:before="0" w:line="440" w:lineRule="exact"/>
        <w:jc w:val="left"/>
        <w:outlineLvl w:val="0"/>
        <w:rPr>
          <w:rFonts w:hint="eastAsia" w:ascii="宋体" w:hAnsi="宋体" w:eastAsia="宋体" w:cs="宋体"/>
          <w:color w:val="auto"/>
          <w:sz w:val="24"/>
          <w:highlight w:val="none"/>
        </w:rPr>
      </w:pPr>
      <w:bookmarkStart w:id="16" w:name="_Toc19200"/>
      <w:r>
        <w:rPr>
          <w:rFonts w:hint="eastAsia" w:ascii="宋体" w:hAnsi="宋体" w:eastAsia="宋体" w:cs="宋体"/>
          <w:color w:val="auto"/>
          <w:sz w:val="24"/>
          <w:highlight w:val="none"/>
        </w:rPr>
        <w:t>三、支出决算表</w:t>
      </w:r>
      <w:bookmarkEnd w:id="16"/>
    </w:p>
    <w:p w14:paraId="44E51BCC">
      <w:pPr>
        <w:pStyle w:val="11"/>
        <w:adjustRightInd w:val="0"/>
        <w:snapToGrid w:val="0"/>
        <w:spacing w:before="0" w:line="440" w:lineRule="exact"/>
        <w:jc w:val="left"/>
        <w:outlineLvl w:val="0"/>
        <w:rPr>
          <w:rFonts w:hint="eastAsia" w:ascii="宋体" w:hAnsi="宋体" w:eastAsia="宋体" w:cs="宋体"/>
          <w:color w:val="auto"/>
          <w:sz w:val="24"/>
          <w:highlight w:val="none"/>
        </w:rPr>
      </w:pPr>
      <w:bookmarkStart w:id="17" w:name="_Toc10302"/>
      <w:r>
        <w:rPr>
          <w:rFonts w:hint="eastAsia" w:ascii="宋体" w:hAnsi="宋体" w:eastAsia="宋体" w:cs="宋体"/>
          <w:color w:val="auto"/>
          <w:sz w:val="24"/>
          <w:highlight w:val="none"/>
        </w:rPr>
        <w:t>四、财政拨款收入支出决算总表</w:t>
      </w:r>
      <w:bookmarkEnd w:id="17"/>
    </w:p>
    <w:p w14:paraId="5DB1124D">
      <w:pPr>
        <w:pStyle w:val="11"/>
        <w:adjustRightInd w:val="0"/>
        <w:snapToGrid w:val="0"/>
        <w:spacing w:before="0" w:line="440" w:lineRule="exact"/>
        <w:jc w:val="left"/>
        <w:outlineLvl w:val="0"/>
        <w:rPr>
          <w:rFonts w:hint="eastAsia" w:ascii="宋体" w:hAnsi="宋体" w:eastAsia="宋体" w:cs="宋体"/>
          <w:color w:val="auto"/>
          <w:sz w:val="24"/>
          <w:highlight w:val="none"/>
        </w:rPr>
      </w:pPr>
      <w:bookmarkStart w:id="18" w:name="_Toc12581"/>
      <w:r>
        <w:rPr>
          <w:rFonts w:hint="eastAsia" w:ascii="宋体" w:hAnsi="宋体" w:eastAsia="宋体" w:cs="宋体"/>
          <w:color w:val="auto"/>
          <w:sz w:val="24"/>
          <w:highlight w:val="none"/>
        </w:rPr>
        <w:t>五、财政拨款支出决算明细表</w:t>
      </w:r>
      <w:bookmarkEnd w:id="18"/>
    </w:p>
    <w:p w14:paraId="2405D710">
      <w:pPr>
        <w:pStyle w:val="11"/>
        <w:adjustRightInd w:val="0"/>
        <w:snapToGrid w:val="0"/>
        <w:spacing w:before="0" w:line="440" w:lineRule="exact"/>
        <w:jc w:val="left"/>
        <w:outlineLvl w:val="0"/>
        <w:rPr>
          <w:rFonts w:hint="eastAsia" w:ascii="宋体" w:hAnsi="宋体" w:eastAsia="宋体" w:cs="宋体"/>
          <w:color w:val="auto"/>
          <w:sz w:val="24"/>
          <w:highlight w:val="none"/>
        </w:rPr>
      </w:pPr>
      <w:bookmarkStart w:id="19" w:name="_Toc17528"/>
      <w:r>
        <w:rPr>
          <w:rFonts w:hint="eastAsia" w:ascii="宋体" w:hAnsi="宋体" w:eastAsia="宋体" w:cs="宋体"/>
          <w:color w:val="auto"/>
          <w:sz w:val="24"/>
          <w:highlight w:val="none"/>
        </w:rPr>
        <w:t>六、一般公共预算财政拨款支出决算表</w:t>
      </w:r>
      <w:bookmarkEnd w:id="19"/>
    </w:p>
    <w:p w14:paraId="240D2336">
      <w:pPr>
        <w:pStyle w:val="11"/>
        <w:adjustRightInd w:val="0"/>
        <w:snapToGrid w:val="0"/>
        <w:spacing w:before="0" w:line="440" w:lineRule="exact"/>
        <w:jc w:val="left"/>
        <w:outlineLvl w:val="0"/>
        <w:rPr>
          <w:rFonts w:hint="eastAsia" w:ascii="宋体" w:hAnsi="宋体" w:eastAsia="宋体" w:cs="宋体"/>
          <w:color w:val="auto"/>
          <w:sz w:val="24"/>
          <w:highlight w:val="none"/>
        </w:rPr>
      </w:pPr>
      <w:bookmarkStart w:id="20" w:name="_Toc4251"/>
      <w:r>
        <w:rPr>
          <w:rFonts w:hint="eastAsia" w:ascii="宋体" w:hAnsi="宋体" w:eastAsia="宋体" w:cs="宋体"/>
          <w:color w:val="auto"/>
          <w:sz w:val="24"/>
          <w:highlight w:val="none"/>
        </w:rPr>
        <w:t>七、一般公共预算财政拨款支出决算明细表</w:t>
      </w:r>
      <w:bookmarkEnd w:id="20"/>
    </w:p>
    <w:p w14:paraId="50C23F0C">
      <w:pPr>
        <w:pStyle w:val="11"/>
        <w:adjustRightInd w:val="0"/>
        <w:snapToGrid w:val="0"/>
        <w:spacing w:before="0" w:line="440" w:lineRule="exact"/>
        <w:jc w:val="left"/>
        <w:outlineLvl w:val="0"/>
        <w:rPr>
          <w:rFonts w:hint="eastAsia" w:ascii="宋体" w:hAnsi="宋体" w:eastAsia="宋体" w:cs="宋体"/>
          <w:color w:val="auto"/>
          <w:sz w:val="24"/>
          <w:highlight w:val="none"/>
        </w:rPr>
      </w:pPr>
      <w:bookmarkStart w:id="21" w:name="_Toc10570"/>
      <w:r>
        <w:rPr>
          <w:rFonts w:hint="eastAsia" w:ascii="宋体" w:hAnsi="宋体" w:eastAsia="宋体" w:cs="宋体"/>
          <w:color w:val="auto"/>
          <w:sz w:val="24"/>
          <w:highlight w:val="none"/>
        </w:rPr>
        <w:t>八、一般公共预算财政拨款基本支出决算</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bookmarkEnd w:id="21"/>
    </w:p>
    <w:p w14:paraId="5DA1EC06">
      <w:pPr>
        <w:pStyle w:val="11"/>
        <w:adjustRightInd w:val="0"/>
        <w:snapToGrid w:val="0"/>
        <w:spacing w:before="0" w:line="440" w:lineRule="exact"/>
        <w:jc w:val="left"/>
        <w:outlineLvl w:val="0"/>
        <w:rPr>
          <w:rFonts w:hint="eastAsia" w:ascii="宋体" w:hAnsi="宋体" w:eastAsia="宋体" w:cs="宋体"/>
          <w:color w:val="auto"/>
          <w:sz w:val="24"/>
          <w:highlight w:val="none"/>
        </w:rPr>
      </w:pPr>
      <w:bookmarkStart w:id="22" w:name="_Toc31139"/>
      <w:r>
        <w:rPr>
          <w:rFonts w:hint="eastAsia" w:ascii="宋体" w:hAnsi="宋体" w:eastAsia="宋体" w:cs="宋体"/>
          <w:color w:val="auto"/>
          <w:sz w:val="24"/>
          <w:highlight w:val="none"/>
        </w:rPr>
        <w:t>九、一般公共预算财政拨款项目支出决算表</w:t>
      </w:r>
      <w:bookmarkEnd w:id="22"/>
    </w:p>
    <w:p w14:paraId="0843B289">
      <w:pPr>
        <w:pStyle w:val="11"/>
        <w:adjustRightInd w:val="0"/>
        <w:snapToGrid w:val="0"/>
        <w:spacing w:before="0" w:line="440" w:lineRule="exact"/>
        <w:jc w:val="left"/>
        <w:outlineLvl w:val="0"/>
        <w:rPr>
          <w:rFonts w:hint="eastAsia" w:ascii="宋体" w:hAnsi="宋体" w:eastAsia="宋体" w:cs="宋体"/>
          <w:color w:val="auto"/>
          <w:sz w:val="24"/>
          <w:highlight w:val="none"/>
        </w:rPr>
      </w:pPr>
      <w:bookmarkStart w:id="23" w:name="_Toc17495"/>
      <w:r>
        <w:rPr>
          <w:rFonts w:hint="eastAsia" w:ascii="宋体" w:hAnsi="宋体" w:eastAsia="宋体" w:cs="宋体"/>
          <w:color w:val="auto"/>
          <w:sz w:val="24"/>
          <w:highlight w:val="none"/>
        </w:rPr>
        <w:t>十、政府性基金预算财政拨款收入支出决算表</w:t>
      </w:r>
      <w:bookmarkEnd w:id="23"/>
    </w:p>
    <w:p w14:paraId="2CD81276">
      <w:pPr>
        <w:pStyle w:val="11"/>
        <w:adjustRightInd w:val="0"/>
        <w:snapToGrid w:val="0"/>
        <w:spacing w:before="0" w:line="440" w:lineRule="exact"/>
        <w:jc w:val="left"/>
        <w:outlineLvl w:val="0"/>
        <w:rPr>
          <w:rFonts w:hint="eastAsia" w:ascii="宋体" w:hAnsi="宋体" w:eastAsia="宋体" w:cs="宋体"/>
          <w:color w:val="auto"/>
          <w:sz w:val="24"/>
          <w:highlight w:val="none"/>
        </w:rPr>
      </w:pPr>
      <w:bookmarkStart w:id="24" w:name="_Toc20530"/>
      <w:r>
        <w:rPr>
          <w:rFonts w:hint="eastAsia" w:ascii="宋体" w:hAnsi="宋体" w:eastAsia="宋体" w:cs="宋体"/>
          <w:color w:val="auto"/>
          <w:sz w:val="24"/>
          <w:highlight w:val="none"/>
        </w:rPr>
        <w:t>十一、国有资本经营预算财政拨款收入支出决算表</w:t>
      </w:r>
      <w:bookmarkEnd w:id="24"/>
    </w:p>
    <w:p w14:paraId="5ABB88FF">
      <w:pPr>
        <w:pStyle w:val="11"/>
        <w:adjustRightInd w:val="0"/>
        <w:snapToGrid w:val="0"/>
        <w:spacing w:before="0" w:line="440" w:lineRule="exact"/>
        <w:jc w:val="left"/>
        <w:outlineLvl w:val="0"/>
        <w:rPr>
          <w:rFonts w:hint="eastAsia" w:ascii="宋体" w:hAnsi="宋体" w:eastAsia="宋体" w:cs="宋体"/>
          <w:color w:val="auto"/>
          <w:sz w:val="24"/>
          <w:highlight w:val="none"/>
        </w:rPr>
      </w:pPr>
      <w:bookmarkStart w:id="25" w:name="_Toc19246"/>
      <w:r>
        <w:rPr>
          <w:rFonts w:hint="eastAsia" w:ascii="宋体" w:hAnsi="宋体" w:eastAsia="宋体" w:cs="宋体"/>
          <w:color w:val="auto"/>
          <w:sz w:val="24"/>
          <w:highlight w:val="none"/>
        </w:rPr>
        <w:t>十二、</w:t>
      </w:r>
      <w:r>
        <w:rPr>
          <w:rFonts w:hint="eastAsia" w:ascii="宋体" w:hAnsi="宋体" w:eastAsia="宋体" w:cs="宋体"/>
          <w:color w:val="auto"/>
          <w:sz w:val="24"/>
          <w:highlight w:val="none"/>
          <w:lang w:val="en-US" w:eastAsia="zh-CN"/>
        </w:rPr>
        <w:t>国有资本经营预算财政拨款支出决算表</w:t>
      </w:r>
      <w:bookmarkEnd w:id="25"/>
    </w:p>
    <w:p w14:paraId="378007F0">
      <w:pPr>
        <w:pStyle w:val="11"/>
        <w:adjustRightInd w:val="0"/>
        <w:snapToGrid w:val="0"/>
        <w:spacing w:before="0" w:line="440" w:lineRule="exact"/>
        <w:jc w:val="left"/>
        <w:outlineLvl w:val="0"/>
        <w:rPr>
          <w:rFonts w:hint="eastAsia" w:ascii="宋体" w:hAnsi="宋体" w:eastAsia="宋体" w:cs="宋体"/>
          <w:color w:val="auto"/>
          <w:sz w:val="24"/>
          <w:highlight w:val="none"/>
        </w:rPr>
      </w:pPr>
      <w:bookmarkStart w:id="26" w:name="_Toc5952"/>
      <w:r>
        <w:rPr>
          <w:rFonts w:hint="eastAsia" w:ascii="宋体" w:hAnsi="宋体" w:eastAsia="宋体" w:cs="宋体"/>
          <w:color w:val="auto"/>
          <w:sz w:val="24"/>
          <w:highlight w:val="none"/>
        </w:rPr>
        <w:t>十三、财政拨款“三公”经费支出决算表</w:t>
      </w:r>
      <w:bookmarkEnd w:id="26"/>
    </w:p>
    <w:p w14:paraId="4F08BC76">
      <w:pPr>
        <w:pStyle w:val="3"/>
        <w:jc w:val="center"/>
        <w:rPr>
          <w:rFonts w:hint="eastAsia" w:ascii="黑体" w:hAnsi="黑体" w:eastAsia="黑体"/>
          <w:b w:val="0"/>
          <w:color w:val="auto"/>
          <w:highlight w:val="none"/>
        </w:rPr>
      </w:pPr>
      <w:bookmarkStart w:id="27" w:name="_Toc882"/>
      <w:bookmarkStart w:id="28" w:name="_Toc15377196"/>
      <w:bookmarkStart w:id="29" w:name="_Toc15396599"/>
    </w:p>
    <w:p w14:paraId="209DE772">
      <w:pPr>
        <w:rPr>
          <w:rFonts w:hint="eastAsia" w:ascii="黑体" w:hAnsi="黑体" w:eastAsia="黑体"/>
          <w:b w:val="0"/>
          <w:color w:val="auto"/>
          <w:highlight w:val="none"/>
        </w:rPr>
      </w:pPr>
    </w:p>
    <w:p w14:paraId="1EDEF0D7">
      <w:pPr>
        <w:pStyle w:val="2"/>
        <w:rPr>
          <w:rFonts w:hint="eastAsia"/>
        </w:rPr>
      </w:pPr>
    </w:p>
    <w:p w14:paraId="5538057E">
      <w:pPr>
        <w:pStyle w:val="3"/>
        <w:jc w:val="center"/>
        <w:rPr>
          <w:rFonts w:hint="eastAsia" w:ascii="黑体" w:hAnsi="黑体" w:eastAsia="黑体"/>
          <w:b w:val="0"/>
          <w:color w:val="auto"/>
          <w:highlight w:val="none"/>
        </w:rPr>
      </w:pPr>
    </w:p>
    <w:p w14:paraId="76E5EAA4">
      <w:pPr>
        <w:pStyle w:val="3"/>
        <w:jc w:val="center"/>
        <w:rPr>
          <w:rFonts w:hint="eastAsia" w:ascii="黑体" w:hAnsi="黑体" w:eastAsia="黑体"/>
          <w:b w:val="0"/>
          <w:color w:val="auto"/>
          <w:highlight w:val="none"/>
        </w:rPr>
      </w:pPr>
    </w:p>
    <w:p w14:paraId="28D3C5FF">
      <w:pPr>
        <w:pStyle w:val="3"/>
        <w:jc w:val="center"/>
        <w:rPr>
          <w:rFonts w:hint="eastAsia" w:ascii="黑体" w:hAnsi="黑体" w:eastAsia="黑体"/>
          <w:b w:val="0"/>
          <w:color w:val="auto"/>
          <w:highlight w:val="none"/>
        </w:rPr>
      </w:pPr>
    </w:p>
    <w:p w14:paraId="348633A5">
      <w:pPr>
        <w:pStyle w:val="3"/>
        <w:jc w:val="both"/>
        <w:rPr>
          <w:rFonts w:hint="eastAsia" w:ascii="黑体" w:hAnsi="黑体" w:eastAsia="黑体"/>
          <w:b w:val="0"/>
          <w:color w:val="auto"/>
          <w:highlight w:val="none"/>
        </w:rPr>
      </w:pPr>
    </w:p>
    <w:p w14:paraId="30020FEF">
      <w:pPr>
        <w:rPr>
          <w:rFonts w:hint="eastAsia" w:ascii="黑体" w:hAnsi="黑体" w:eastAsia="黑体"/>
          <w:b w:val="0"/>
          <w:color w:val="auto"/>
          <w:highlight w:val="none"/>
        </w:rPr>
      </w:pPr>
    </w:p>
    <w:p w14:paraId="209BDD22">
      <w:pPr>
        <w:pStyle w:val="2"/>
        <w:rPr>
          <w:rFonts w:hint="eastAsia"/>
        </w:rPr>
      </w:pPr>
    </w:p>
    <w:p w14:paraId="41A35EC5">
      <w:pPr>
        <w:pStyle w:val="3"/>
        <w:jc w:val="center"/>
        <w:rPr>
          <w:rFonts w:hint="eastAsia" w:ascii="黑体" w:hAnsi="黑体" w:eastAsia="黑体"/>
          <w:b w:val="0"/>
          <w:color w:val="auto"/>
          <w:highlight w:val="none"/>
        </w:rPr>
      </w:pPr>
    </w:p>
    <w:p w14:paraId="267FF958">
      <w:pPr>
        <w:pStyle w:val="3"/>
        <w:jc w:val="center"/>
        <w:rPr>
          <w:rStyle w:val="25"/>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27"/>
      <w:bookmarkEnd w:id="28"/>
      <w:bookmarkEnd w:id="29"/>
    </w:p>
    <w:p w14:paraId="3E00B123">
      <w:pPr>
        <w:widowControl/>
        <w:jc w:val="left"/>
        <w:rPr>
          <w:rFonts w:ascii="黑体" w:eastAsia="黑体"/>
          <w:color w:val="auto"/>
          <w:sz w:val="32"/>
          <w:szCs w:val="32"/>
          <w:highlight w:val="none"/>
        </w:rPr>
      </w:pPr>
    </w:p>
    <w:p w14:paraId="4BD7878B">
      <w:pPr>
        <w:pStyle w:val="4"/>
        <w:numPr>
          <w:ilvl w:val="0"/>
          <w:numId w:val="1"/>
        </w:numPr>
        <w:rPr>
          <w:rStyle w:val="26"/>
          <w:rFonts w:hint="eastAsia" w:ascii="黑体" w:hAnsi="黑体" w:eastAsia="黑体"/>
          <w:b w:val="0"/>
          <w:bCs w:val="0"/>
          <w:color w:val="auto"/>
          <w:highlight w:val="none"/>
          <w:lang w:eastAsia="zh-CN"/>
        </w:rPr>
      </w:pPr>
      <w:bookmarkStart w:id="30" w:name="_Toc4017"/>
      <w:bookmarkStart w:id="31" w:name="_Toc15377197"/>
      <w:bookmarkStart w:id="32" w:name="_Toc15396600"/>
      <w:r>
        <w:rPr>
          <w:rStyle w:val="26"/>
          <w:rFonts w:hint="eastAsia" w:ascii="黑体" w:hAnsi="黑体" w:eastAsia="黑体"/>
          <w:b w:val="0"/>
          <w:bCs w:val="0"/>
          <w:color w:val="auto"/>
          <w:highlight w:val="none"/>
          <w:lang w:eastAsia="zh-CN"/>
        </w:rPr>
        <w:t>主要职责</w:t>
      </w:r>
      <w:bookmarkEnd w:id="30"/>
    </w:p>
    <w:p w14:paraId="6A4138E0">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负责起草全县卫生健康事业发展规划，组织实施卫生健康政策与技术标准规范。统筹规划全县卫生健康资源配置。制定并组织实施推进卫生健康基本公共服务均等化、普惠化、便捷化和公共资源向基层延伸等政策措施。</w:t>
      </w:r>
    </w:p>
    <w:p w14:paraId="28A7D017">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牵头推进全县深化医药卫生体制改革。研究提出深化改革重大政策、措施的建议。组织深化公立医院综合改革，建立健全现代医院管理制度。组织实施推动卫生健康公共服务提供主体多元化、提供方式多样化的政策措施。</w:t>
      </w:r>
    </w:p>
    <w:p w14:paraId="108A7A84">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3.制定并组织落实全县疾病预防控制规划、免疫规划以及严重危害人民健康的艾滋病等重大传染病、寄生虫病、地</w:t>
      </w:r>
    </w:p>
    <w:p w14:paraId="44A55712">
      <w:pPr>
        <w:spacing w:line="600" w:lineRule="exac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方病等公共卫生问题的干预措施。负责全县卫生应急工作，组织和指导全县突发公共卫生事件预防控制和各类突发公共事件的医疗卫生救援。依法根据授权发布法定报告传染病疫情信息、突发公共卫生事件应急处置信息。依照国家检疫传染病和监测传染病目录，参与开展检疫监测工作。</w:t>
      </w:r>
    </w:p>
    <w:p w14:paraId="1DB3A983">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4.贯彻落实国家药物政策和国家基本药物制度。开展药械使用监测、临床综合评价和短缺药品预警，组织执行国家药典和国家基本药物目录，制定基本药物使用的政策措施。</w:t>
      </w:r>
    </w:p>
    <w:p w14:paraId="36628576">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5.组织实施食品安全风险监测,开展食品安全企业标准备案,组织开展食品安全事故流行病学调查。</w:t>
      </w:r>
    </w:p>
    <w:p w14:paraId="44CEE9F5">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6.负责职责范围内的职业卫生、放射卫生、环境卫生、学校卫生、公共场所卫生、饮用水卫生等公共卫生的监督管理。负责传染病防治监督，健全卫生健康综合监督体系。</w:t>
      </w:r>
    </w:p>
    <w:p w14:paraId="2DF840CA">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7.制定全县医疗机构、医疗服务行业管理办法并监督实施，建立医疗服务评价和监督管理体系。会同有关部门实施</w:t>
      </w:r>
    </w:p>
    <w:p w14:paraId="38DCD9A3">
      <w:pPr>
        <w:spacing w:line="600" w:lineRule="exac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卫生健康专业技术人员资格标准。制定并组织实施医疗服务规范、标准和卫生健康专业技术人员执业规则、服务规范。负责医疗机构、人员和行为的日常监督管理。</w:t>
      </w:r>
    </w:p>
    <w:p w14:paraId="5FE53946">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8.负责全县计划生育管理和服务工作，开展人口监测预警，研究提出人口与家庭发展相关政策建议，执行计划生育政策。指导县人口和计划生育协会的业务工作。</w:t>
      </w:r>
    </w:p>
    <w:p w14:paraId="12C44E10">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9.指导全县医疗卫生、妇幼健康服务体系和基层卫生队伍建设。推进卫生健康科技创新发展。</w:t>
      </w:r>
    </w:p>
    <w:p w14:paraId="79B01008">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10.拟订全县中医药中长期发展规划，并纳入卫生健康事业发展总体规划和战略目标予以组织实施，监督指导全县中医药工作。</w:t>
      </w:r>
    </w:p>
    <w:p w14:paraId="37755A31">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11.负责县确定的保健对象的医疗保健工作，负责全县有关部门（单位）离休干部医疗管理工作。负责重要会议与重大活动的医疗卫生保障工作。</w:t>
      </w:r>
    </w:p>
    <w:p w14:paraId="0C17B440">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12.依法依规履行卫生健康行业安全生产监管职责，负责职责范围内的生态环境保护、审批服务便民化等工作。</w:t>
      </w:r>
    </w:p>
    <w:p w14:paraId="346F4531">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13.完成县委、县政府交办的其他任务。</w:t>
      </w:r>
    </w:p>
    <w:p w14:paraId="629AA0AC">
      <w:pPr>
        <w:rPr>
          <w:rFonts w:hint="eastAsia"/>
          <w:lang w:eastAsia="zh-CN"/>
        </w:rPr>
      </w:pPr>
    </w:p>
    <w:p w14:paraId="048A07A0">
      <w:pPr>
        <w:pStyle w:val="4"/>
        <w:numPr>
          <w:ilvl w:val="0"/>
          <w:numId w:val="1"/>
        </w:numPr>
        <w:rPr>
          <w:rFonts w:hint="eastAsia" w:ascii="黑体" w:hAnsi="黑体" w:eastAsia="黑体"/>
          <w:b w:val="0"/>
          <w:color w:val="auto"/>
          <w:highlight w:val="none"/>
          <w:lang w:val="en-US" w:eastAsia="zh-CN"/>
        </w:rPr>
      </w:pPr>
      <w:bookmarkStart w:id="33" w:name="_Toc30771"/>
      <w:r>
        <w:rPr>
          <w:rFonts w:hint="eastAsia" w:ascii="黑体" w:hAnsi="黑体" w:eastAsia="黑体"/>
          <w:b w:val="0"/>
          <w:color w:val="auto"/>
          <w:highlight w:val="none"/>
          <w:lang w:val="en-US" w:eastAsia="zh-CN"/>
        </w:rPr>
        <w:t>机构设置</w:t>
      </w:r>
      <w:bookmarkEnd w:id="33"/>
    </w:p>
    <w:p w14:paraId="52E2042E">
      <w:pPr>
        <w:spacing w:line="600" w:lineRule="exact"/>
        <w:ind w:firstLine="420" w:firstLineChars="200"/>
        <w:rPr>
          <w:rFonts w:hint="eastAsia" w:ascii="仿宋" w:hAnsi="仿宋" w:eastAsia="仿宋"/>
          <w:color w:val="auto"/>
          <w:sz w:val="32"/>
          <w:szCs w:val="32"/>
          <w:highlight w:val="none"/>
        </w:rPr>
      </w:pPr>
      <w:r>
        <w:rPr>
          <w:rFonts w:hint="eastAsia"/>
          <w:lang w:val="en-US" w:eastAsia="zh-CN"/>
        </w:rPr>
        <w:t xml:space="preserve">   </w:t>
      </w:r>
      <w:r>
        <w:rPr>
          <w:rFonts w:hint="eastAsia" w:ascii="仿宋" w:hAnsi="仿宋" w:eastAsia="仿宋"/>
          <w:color w:val="auto"/>
          <w:sz w:val="32"/>
          <w:szCs w:val="32"/>
          <w:highlight w:val="none"/>
          <w:lang w:eastAsia="zh-CN"/>
        </w:rPr>
        <w:t>米易县卫生健康局（本级）</w:t>
      </w:r>
      <w:r>
        <w:rPr>
          <w:rFonts w:hint="eastAsia" w:ascii="仿宋" w:hAnsi="仿宋" w:eastAsia="仿宋"/>
          <w:color w:val="auto"/>
          <w:sz w:val="32"/>
          <w:szCs w:val="32"/>
          <w:highlight w:val="none"/>
        </w:rPr>
        <w:t>属</w:t>
      </w:r>
      <w:r>
        <w:rPr>
          <w:rFonts w:hint="eastAsia" w:ascii="仿宋" w:hAnsi="仿宋" w:eastAsia="仿宋"/>
          <w:color w:val="auto"/>
          <w:sz w:val="32"/>
          <w:szCs w:val="32"/>
          <w:highlight w:val="none"/>
          <w:lang w:eastAsia="zh-CN"/>
        </w:rPr>
        <w:t>于米易县卫生健康部门下属的</w:t>
      </w:r>
      <w:r>
        <w:rPr>
          <w:rFonts w:hint="eastAsia" w:ascii="仿宋" w:hAnsi="仿宋" w:eastAsia="仿宋"/>
          <w:color w:val="auto"/>
          <w:sz w:val="32"/>
          <w:szCs w:val="32"/>
          <w:highlight w:val="none"/>
        </w:rPr>
        <w:t>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eastAsia="zh-CN"/>
        </w:rPr>
        <w:t>设独立编制机构</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其中行政</w:t>
      </w:r>
      <w:r>
        <w:rPr>
          <w:rFonts w:hint="eastAsia" w:ascii="仿宋" w:hAnsi="仿宋" w:eastAsia="仿宋"/>
          <w:color w:val="auto"/>
          <w:sz w:val="32"/>
          <w:szCs w:val="32"/>
          <w:highlight w:val="none"/>
          <w:lang w:eastAsia="zh-CN"/>
        </w:rPr>
        <w:t>机构</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个，参照公务员法管理的事业</w:t>
      </w:r>
      <w:r>
        <w:rPr>
          <w:rFonts w:hint="eastAsia" w:ascii="仿宋" w:hAnsi="仿宋" w:eastAsia="仿宋"/>
          <w:color w:val="auto"/>
          <w:sz w:val="32"/>
          <w:szCs w:val="32"/>
          <w:highlight w:val="none"/>
          <w:lang w:eastAsia="zh-CN"/>
        </w:rPr>
        <w:t>机构</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个，其他事业</w:t>
      </w:r>
      <w:r>
        <w:rPr>
          <w:rFonts w:hint="eastAsia" w:ascii="仿宋" w:hAnsi="仿宋" w:eastAsia="仿宋"/>
          <w:color w:val="auto"/>
          <w:sz w:val="32"/>
          <w:szCs w:val="32"/>
          <w:highlight w:val="none"/>
          <w:lang w:eastAsia="zh-CN"/>
        </w:rPr>
        <w:t>机构</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14:paraId="26224CBC">
      <w:pPr>
        <w:spacing w:line="6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米易县卫生健康局（本级）</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w:t>
      </w:r>
      <w:r>
        <w:rPr>
          <w:rFonts w:hint="eastAsia" w:ascii="仿宋" w:hAnsi="仿宋" w:eastAsia="仿宋"/>
          <w:color w:val="auto"/>
          <w:sz w:val="32"/>
          <w:szCs w:val="32"/>
          <w:highlight w:val="none"/>
          <w:lang w:eastAsia="zh-CN"/>
        </w:rPr>
        <w:t>单位</w:t>
      </w:r>
      <w:r>
        <w:rPr>
          <w:rFonts w:hint="eastAsia" w:ascii="仿宋" w:hAnsi="仿宋" w:eastAsia="仿宋"/>
          <w:color w:val="auto"/>
          <w:sz w:val="32"/>
          <w:szCs w:val="32"/>
          <w:highlight w:val="none"/>
        </w:rPr>
        <w:t>决算编制范围</w:t>
      </w:r>
      <w:r>
        <w:rPr>
          <w:rFonts w:hint="eastAsia" w:ascii="仿宋" w:hAnsi="仿宋" w:eastAsia="仿宋"/>
          <w:color w:val="auto"/>
          <w:sz w:val="32"/>
          <w:szCs w:val="32"/>
          <w:highlight w:val="none"/>
          <w:lang w:eastAsia="zh-CN"/>
        </w:rPr>
        <w:t>独立编制机构</w:t>
      </w:r>
      <w:r>
        <w:rPr>
          <w:rFonts w:hint="eastAsia" w:ascii="仿宋" w:hAnsi="仿宋" w:eastAsia="仿宋"/>
          <w:color w:val="auto"/>
          <w:sz w:val="32"/>
          <w:szCs w:val="32"/>
          <w:highlight w:val="none"/>
        </w:rPr>
        <w:t>包括：</w:t>
      </w:r>
      <w:r>
        <w:rPr>
          <w:rFonts w:hint="eastAsia" w:ascii="仿宋" w:hAnsi="仿宋" w:eastAsia="仿宋"/>
          <w:color w:val="auto"/>
          <w:sz w:val="32"/>
          <w:szCs w:val="32"/>
          <w:highlight w:val="none"/>
          <w:lang w:eastAsia="zh-CN"/>
        </w:rPr>
        <w:t>米易县卫生健康局（本级）。</w:t>
      </w:r>
    </w:p>
    <w:p w14:paraId="699964D1">
      <w:pPr>
        <w:pStyle w:val="4"/>
        <w:numPr>
          <w:ilvl w:val="0"/>
          <w:numId w:val="1"/>
        </w:numPr>
        <w:rPr>
          <w:rFonts w:hint="eastAsia" w:ascii="黑体" w:hAnsi="黑体" w:eastAsia="黑体"/>
          <w:b w:val="0"/>
          <w:color w:val="auto"/>
          <w:highlight w:val="none"/>
          <w:lang w:val="en-US" w:eastAsia="zh-CN"/>
        </w:rPr>
      </w:pPr>
      <w:bookmarkStart w:id="34" w:name="_Toc26589"/>
      <w:r>
        <w:rPr>
          <w:rFonts w:hint="eastAsia" w:ascii="黑体" w:hAnsi="黑体" w:eastAsia="黑体"/>
          <w:b w:val="0"/>
          <w:color w:val="auto"/>
          <w:highlight w:val="none"/>
          <w:lang w:val="en-US" w:eastAsia="zh-CN"/>
        </w:rPr>
        <w:t>2022年重点工作完成情况</w:t>
      </w:r>
      <w:bookmarkEnd w:id="34"/>
    </w:p>
    <w:bookmarkEnd w:id="31"/>
    <w:bookmarkEnd w:id="32"/>
    <w:p w14:paraId="3EE4F995">
      <w:pPr>
        <w:widowControl/>
        <w:numPr>
          <w:ilvl w:val="0"/>
          <w:numId w:val="2"/>
        </w:numPr>
        <w:ind w:firstLine="643" w:firstLineChars="200"/>
        <w:jc w:val="left"/>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党建引领取得新成效</w:t>
      </w:r>
    </w:p>
    <w:p w14:paraId="6B90A62A">
      <w:pPr>
        <w:widowControl/>
        <w:numPr>
          <w:ilvl w:val="0"/>
          <w:numId w:val="0"/>
        </w:numPr>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坚持党建引领，以巩固党史学习教育成果、“三亮三比”主题活动等为载体，夯实党建基础，厚植党建文化，驱动卫生健康高质量发展。结合三级乙等综合医院创建，完成了县人民医院内设科室党支部调整设置，实现内设机构党支部全覆盖。</w:t>
      </w:r>
    </w:p>
    <w:p w14:paraId="5247D368">
      <w:pPr>
        <w:widowControl/>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二）医疗卫生健康事业发展取得新进展</w:t>
      </w:r>
    </w:p>
    <w:p w14:paraId="53124DA2">
      <w:pPr>
        <w:widowControl/>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紧密型县域医共体建设持续深化。“1+N”模式紧密型机制建立；胸痛、卒中、高危孕产妇救治、危重新生儿救治、创伤中心逐步创建，危急重症救治能力进一步提升；医疗集团康复中心成功打造，中医药健康服务和中医药治未病综合服务能力持续加强；县域医学影像、心电诊断、临床检验、病理诊断、远程会诊、消毒供应六大中心基本建成，基层检查、上级诊断、区域互认的县域内资源集约配置格局逐步呈现。</w:t>
      </w:r>
    </w:p>
    <w:p w14:paraId="49CFDFF2">
      <w:pPr>
        <w:widowControl/>
        <w:ind w:firstLine="643" w:firstLineChars="200"/>
        <w:jc w:val="left"/>
        <w:rPr>
          <w:rFonts w:hint="eastAsia" w:ascii="仿宋" w:hAnsi="仿宋" w:eastAsia="仿宋"/>
          <w:color w:val="auto"/>
          <w:sz w:val="32"/>
          <w:szCs w:val="32"/>
          <w:highlight w:val="none"/>
        </w:rPr>
      </w:pPr>
      <w:r>
        <w:rPr>
          <w:rFonts w:hint="eastAsia" w:ascii="仿宋" w:hAnsi="仿宋" w:eastAsia="仿宋"/>
          <w:b/>
          <w:bCs/>
          <w:color w:val="auto"/>
          <w:sz w:val="32"/>
          <w:szCs w:val="32"/>
          <w:highlight w:val="none"/>
        </w:rPr>
        <w:t>2.县域医疗卫生次中心建设全面推进。</w:t>
      </w:r>
      <w:r>
        <w:rPr>
          <w:rFonts w:hint="eastAsia" w:ascii="仿宋" w:hAnsi="仿宋" w:eastAsia="仿宋"/>
          <w:color w:val="auto"/>
          <w:sz w:val="32"/>
          <w:szCs w:val="32"/>
          <w:highlight w:val="none"/>
        </w:rPr>
        <w:t>全面推进白马镇、撒莲镇县域医疗卫生次中心建设工作。截至目前，通过对基础设施、设备投入及技术指导，白马镇县域医疗卫生次中心医疗卫生服务能力得到显著提升，现已完成市级评估，正在准备迎接省级评估；撒莲镇医疗卫生次中心自8月启动建设以来，正在积极进行相关医疗设备购置、中医馆改造及完善基础设施建设等工作。</w:t>
      </w:r>
    </w:p>
    <w:p w14:paraId="2499957C">
      <w:pPr>
        <w:widowControl/>
        <w:ind w:firstLine="643" w:firstLineChars="200"/>
        <w:jc w:val="left"/>
        <w:rPr>
          <w:rFonts w:hint="eastAsia" w:ascii="仿宋" w:hAnsi="仿宋" w:eastAsia="仿宋"/>
          <w:color w:val="auto"/>
          <w:sz w:val="32"/>
          <w:szCs w:val="32"/>
          <w:highlight w:val="none"/>
        </w:rPr>
      </w:pPr>
      <w:r>
        <w:rPr>
          <w:rFonts w:hint="eastAsia" w:ascii="仿宋" w:hAnsi="仿宋" w:eastAsia="仿宋"/>
          <w:b/>
          <w:bCs/>
          <w:color w:val="auto"/>
          <w:sz w:val="32"/>
          <w:szCs w:val="32"/>
          <w:highlight w:val="none"/>
        </w:rPr>
        <w:t>3.“一老一小”工作加速推进。</w:t>
      </w:r>
      <w:r>
        <w:rPr>
          <w:rFonts w:hint="eastAsia" w:ascii="仿宋" w:hAnsi="仿宋" w:eastAsia="仿宋"/>
          <w:color w:val="auto"/>
          <w:sz w:val="32"/>
          <w:szCs w:val="32"/>
          <w:highlight w:val="none"/>
        </w:rPr>
        <w:t>全面完成县域内托育机构备案管理工作，持续加强托育机构卫生保健、疾病预防等业务指导工作。孕产妇住院分娩免费服务项目、免费婚前医学健康检查、免费孕前优生健康检查等妇幼健康基本公共卫生服务项目持续实施。县人民医院、县中医医院成功创建为市级老年友善医疗机构，成功创建“全国示范性老年友好型社区”1个。</w:t>
      </w:r>
    </w:p>
    <w:p w14:paraId="047C8FBA">
      <w:pPr>
        <w:widowControl/>
        <w:ind w:firstLine="643" w:firstLineChars="200"/>
        <w:jc w:val="left"/>
        <w:rPr>
          <w:rFonts w:hint="eastAsia" w:ascii="仿宋" w:hAnsi="仿宋" w:eastAsia="仿宋"/>
          <w:color w:val="auto"/>
          <w:sz w:val="32"/>
          <w:szCs w:val="32"/>
          <w:highlight w:val="none"/>
        </w:rPr>
      </w:pPr>
      <w:r>
        <w:rPr>
          <w:rFonts w:hint="eastAsia" w:ascii="仿宋" w:hAnsi="仿宋" w:eastAsia="仿宋"/>
          <w:b/>
          <w:bCs/>
          <w:color w:val="auto"/>
          <w:sz w:val="32"/>
          <w:szCs w:val="32"/>
          <w:highlight w:val="none"/>
        </w:rPr>
        <w:t>（</w:t>
      </w:r>
      <w:r>
        <w:rPr>
          <w:rFonts w:hint="eastAsia" w:ascii="仿宋" w:hAnsi="仿宋" w:eastAsia="仿宋"/>
          <w:b/>
          <w:bCs/>
          <w:color w:val="auto"/>
          <w:sz w:val="32"/>
          <w:szCs w:val="32"/>
          <w:highlight w:val="none"/>
          <w:lang w:eastAsia="zh-CN"/>
        </w:rPr>
        <w:t>三</w:t>
      </w:r>
      <w:r>
        <w:rPr>
          <w:rFonts w:hint="eastAsia" w:ascii="仿宋" w:hAnsi="仿宋" w:eastAsia="仿宋"/>
          <w:b/>
          <w:bCs/>
          <w:color w:val="auto"/>
          <w:sz w:val="32"/>
          <w:szCs w:val="32"/>
          <w:highlight w:val="none"/>
        </w:rPr>
        <w:t>）医疗卫生健康服务水平取得新提升</w:t>
      </w:r>
    </w:p>
    <w:p w14:paraId="02DE26F8">
      <w:pPr>
        <w:widowControl/>
        <w:ind w:firstLine="643" w:firstLineChars="200"/>
        <w:jc w:val="left"/>
        <w:rPr>
          <w:rFonts w:hint="eastAsia" w:ascii="仿宋" w:hAnsi="仿宋" w:eastAsia="仿宋"/>
          <w:color w:val="auto"/>
          <w:sz w:val="32"/>
          <w:szCs w:val="32"/>
          <w:highlight w:val="none"/>
        </w:rPr>
      </w:pPr>
      <w:r>
        <w:rPr>
          <w:rFonts w:hint="eastAsia" w:ascii="仿宋" w:hAnsi="仿宋" w:eastAsia="仿宋"/>
          <w:b/>
          <w:bCs/>
          <w:color w:val="auto"/>
          <w:sz w:val="32"/>
          <w:szCs w:val="32"/>
          <w:highlight w:val="none"/>
        </w:rPr>
        <w:t>1.医疗卫生各项创建有力推进。</w:t>
      </w:r>
      <w:r>
        <w:rPr>
          <w:rFonts w:hint="eastAsia" w:ascii="仿宋" w:hAnsi="仿宋" w:eastAsia="仿宋"/>
          <w:color w:val="auto"/>
          <w:sz w:val="32"/>
          <w:szCs w:val="32"/>
          <w:highlight w:val="none"/>
        </w:rPr>
        <w:t>一是全力推进三级乙等综合医院创建。按照三乙科室设置要求，进一步细化了县人民医院科室设置，新成立了感染性疾病科、疼痛科等科室7个，在独立区域规范设置发热门诊。创建为国家PCCM科规范化建设二级医院达标单位，通过国家“胸痛中心”认证，实现了胸痛、卒中、呼吸与危重症学科的无缝对接。同时，积极邀请省级专家17人次，对三级乙等综合医院创建工作进行现场指导及专题培训。二是积极推进省级慢性病综合防控示范区建设工作。完成健康主题公园、健康一条街、国家登山健身步道等健康支持性环境打造；健全监测体系，规范开展全人群死因监测、心脑血管事件报告、肿瘤随访登记和伤害监测等，扎实开展社会因素调查，进一步掌握全县慢病患病情况、高危因素等情况。并于10月接受了省级建设慢性病综合防控示范区专家的调研检查。</w:t>
      </w:r>
    </w:p>
    <w:p w14:paraId="425C132A">
      <w:pPr>
        <w:widowControl/>
        <w:ind w:firstLine="643" w:firstLineChars="200"/>
        <w:jc w:val="left"/>
        <w:rPr>
          <w:rFonts w:hint="eastAsia" w:ascii="仿宋" w:hAnsi="仿宋" w:eastAsia="仿宋"/>
          <w:color w:val="auto"/>
          <w:sz w:val="32"/>
          <w:szCs w:val="32"/>
          <w:highlight w:val="none"/>
        </w:rPr>
      </w:pPr>
      <w:r>
        <w:rPr>
          <w:rFonts w:hint="eastAsia" w:ascii="仿宋" w:hAnsi="仿宋" w:eastAsia="仿宋"/>
          <w:b/>
          <w:bCs/>
          <w:color w:val="auto"/>
          <w:sz w:val="32"/>
          <w:szCs w:val="32"/>
          <w:highlight w:val="none"/>
        </w:rPr>
        <w:t>2.中医药事业持续发展。</w:t>
      </w:r>
      <w:r>
        <w:rPr>
          <w:rFonts w:hint="eastAsia" w:ascii="仿宋" w:hAnsi="仿宋" w:eastAsia="仿宋"/>
          <w:color w:val="auto"/>
          <w:sz w:val="32"/>
          <w:szCs w:val="32"/>
          <w:highlight w:val="none"/>
        </w:rPr>
        <w:t>扎实开展“百千万”中医强基层活动，县级中医师坐诊172个村卫生卫室900余次；举办2022年度基层常见病多发病中医药适宜技术推广培训及竞赛活动，150余名医务人员参加培训及竞赛活动；积极开展攀枝花市治未病中心分中心建设工作，已完成米易县攀莲镇城北社区卫生服务中心、康养综合体（梅花园农家乐）建设攀枝花市治未病中心分中心推荐、资料报送及现场准备工作，待市级验收。</w:t>
      </w:r>
    </w:p>
    <w:p w14:paraId="1364CE57">
      <w:pPr>
        <w:widowControl/>
        <w:ind w:firstLine="643" w:firstLineChars="200"/>
        <w:jc w:val="left"/>
        <w:rPr>
          <w:rFonts w:hint="eastAsia" w:ascii="仿宋" w:hAnsi="仿宋" w:eastAsia="仿宋"/>
          <w:color w:val="auto"/>
          <w:sz w:val="32"/>
          <w:szCs w:val="32"/>
          <w:highlight w:val="none"/>
        </w:rPr>
      </w:pPr>
      <w:r>
        <w:rPr>
          <w:rFonts w:hint="eastAsia" w:ascii="仿宋" w:hAnsi="仿宋" w:eastAsia="仿宋"/>
          <w:b/>
          <w:bCs/>
          <w:color w:val="auto"/>
          <w:sz w:val="32"/>
          <w:szCs w:val="32"/>
          <w:highlight w:val="none"/>
        </w:rPr>
        <w:t>3.基本公共卫生服务提质增效。</w:t>
      </w:r>
      <w:r>
        <w:rPr>
          <w:rFonts w:hint="eastAsia" w:ascii="仿宋" w:hAnsi="仿宋" w:eastAsia="仿宋"/>
          <w:color w:val="auto"/>
          <w:sz w:val="32"/>
          <w:szCs w:val="32"/>
          <w:highlight w:val="none"/>
        </w:rPr>
        <w:t>加强基层医疗卫生机构与上级医疗机构、疾控机构、妇幼保健机构协同联动，推动慢病患者、孕产妇等群体信息整合。改革完善家庭医生签约服务制度，根据不同人群签约服务需求，分类制定签约服务包，切实履行约定服务内容，已组建家庭医生签约团队80个。全县基层医疗卫生机构“优质服务基层行”参与率达100%。</w:t>
      </w:r>
    </w:p>
    <w:p w14:paraId="051C5511">
      <w:pPr>
        <w:widowControl/>
        <w:ind w:firstLine="643" w:firstLineChars="200"/>
        <w:jc w:val="left"/>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w:t>
      </w:r>
      <w:r>
        <w:rPr>
          <w:rFonts w:hint="eastAsia" w:ascii="仿宋" w:hAnsi="仿宋" w:eastAsia="仿宋"/>
          <w:b/>
          <w:bCs/>
          <w:color w:val="auto"/>
          <w:sz w:val="32"/>
          <w:szCs w:val="32"/>
          <w:highlight w:val="none"/>
          <w:lang w:eastAsia="zh-CN"/>
        </w:rPr>
        <w:t>四</w:t>
      </w:r>
      <w:r>
        <w:rPr>
          <w:rFonts w:hint="eastAsia" w:ascii="仿宋" w:hAnsi="仿宋" w:eastAsia="仿宋"/>
          <w:b/>
          <w:bCs/>
          <w:color w:val="auto"/>
          <w:sz w:val="32"/>
          <w:szCs w:val="32"/>
          <w:highlight w:val="none"/>
        </w:rPr>
        <w:t>）医疗卫生服务体系建设取得新突破</w:t>
      </w:r>
    </w:p>
    <w:p w14:paraId="6768DE90">
      <w:pPr>
        <w:widowControl/>
        <w:ind w:firstLine="643" w:firstLineChars="200"/>
        <w:jc w:val="left"/>
        <w:rPr>
          <w:rFonts w:hint="eastAsia" w:ascii="仿宋" w:hAnsi="仿宋" w:eastAsia="仿宋"/>
          <w:color w:val="auto"/>
          <w:sz w:val="32"/>
          <w:szCs w:val="32"/>
          <w:highlight w:val="none"/>
        </w:rPr>
      </w:pPr>
      <w:r>
        <w:rPr>
          <w:rFonts w:hint="eastAsia" w:ascii="仿宋" w:hAnsi="仿宋" w:eastAsia="仿宋"/>
          <w:b/>
          <w:bCs/>
          <w:color w:val="auto"/>
          <w:sz w:val="32"/>
          <w:szCs w:val="32"/>
          <w:highlight w:val="none"/>
        </w:rPr>
        <w:t>1.重点项目建设加快推进。</w:t>
      </w:r>
      <w:r>
        <w:rPr>
          <w:rFonts w:hint="eastAsia" w:ascii="仿宋" w:hAnsi="仿宋" w:eastAsia="仿宋"/>
          <w:color w:val="auto"/>
          <w:sz w:val="32"/>
          <w:szCs w:val="32"/>
          <w:highlight w:val="none"/>
        </w:rPr>
        <w:t>县人民医院住院综合楼项目建设已完成主体施工及验收，目前室内装修（含外墙装饰、地面、墙面及室内吊顶）已进入收尾阶段，各类设备安装施工正在积极推进；县疾控检验检测中心项目建设已完成主体施工及验收，目前正在进行室内、外装修施工。</w:t>
      </w:r>
    </w:p>
    <w:p w14:paraId="1E4A99B3">
      <w:pPr>
        <w:widowControl/>
        <w:ind w:firstLine="643" w:firstLineChars="200"/>
        <w:jc w:val="left"/>
        <w:rPr>
          <w:rFonts w:hint="eastAsia" w:ascii="仿宋" w:hAnsi="仿宋" w:eastAsia="仿宋"/>
          <w:color w:val="auto"/>
          <w:sz w:val="32"/>
          <w:szCs w:val="32"/>
          <w:highlight w:val="none"/>
        </w:rPr>
      </w:pPr>
      <w:r>
        <w:rPr>
          <w:rFonts w:hint="eastAsia" w:ascii="仿宋" w:hAnsi="仿宋" w:eastAsia="仿宋"/>
          <w:b/>
          <w:bCs/>
          <w:color w:val="auto"/>
          <w:sz w:val="32"/>
          <w:szCs w:val="32"/>
          <w:highlight w:val="none"/>
        </w:rPr>
        <w:t>2.人才队伍建设不断夯实。</w:t>
      </w:r>
      <w:r>
        <w:rPr>
          <w:rFonts w:hint="eastAsia" w:ascii="仿宋" w:hAnsi="仿宋" w:eastAsia="仿宋"/>
          <w:color w:val="auto"/>
          <w:sz w:val="32"/>
          <w:szCs w:val="32"/>
          <w:highlight w:val="none"/>
        </w:rPr>
        <w:t>以《米易县医疗集团卫生人才集聚支持实施细则》等制度为依托，搭建起卫生人才集聚平台，设立卫生人才培养补助基金，通过给予人才工作政策资金支持，补齐人才短板，截至目前，2022年已引进卫生专业技术人员共计22人。</w:t>
      </w:r>
    </w:p>
    <w:p w14:paraId="382F2D3E">
      <w:pPr>
        <w:widowControl/>
        <w:ind w:firstLine="643" w:firstLineChars="200"/>
        <w:jc w:val="left"/>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w:t>
      </w:r>
      <w:r>
        <w:rPr>
          <w:rFonts w:hint="eastAsia" w:ascii="仿宋" w:hAnsi="仿宋" w:eastAsia="仿宋"/>
          <w:b/>
          <w:bCs/>
          <w:color w:val="auto"/>
          <w:sz w:val="32"/>
          <w:szCs w:val="32"/>
          <w:highlight w:val="none"/>
          <w:lang w:eastAsia="zh-CN"/>
        </w:rPr>
        <w:t>五</w:t>
      </w:r>
      <w:r>
        <w:rPr>
          <w:rFonts w:hint="eastAsia" w:ascii="仿宋" w:hAnsi="仿宋" w:eastAsia="仿宋"/>
          <w:b/>
          <w:bCs/>
          <w:color w:val="auto"/>
          <w:sz w:val="32"/>
          <w:szCs w:val="32"/>
          <w:highlight w:val="none"/>
        </w:rPr>
        <w:t>）疫情防控工作取得新成效</w:t>
      </w:r>
    </w:p>
    <w:p w14:paraId="417C9F4E">
      <w:pPr>
        <w:widowControl/>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持续当好“疫情防控排头兵”和县应急指挥部“参谋助手”，认真履行疫情防控、核酸检测、医疗救治、转运隔离等工作组（或专班）牵头单位职责。完成发热门诊及发热哨点建设，实现规范运行，严格落实医疗机构首诊负责、预检分诊和院感防控制度，全面实施“入川即检”“落地检”等防控措施，切实守住疫情防控首道关口。全面完成新冠肺炎病毒疫苗大规模人群接种任务。</w:t>
      </w:r>
    </w:p>
    <w:p w14:paraId="2CD2E889">
      <w:pPr>
        <w:widowControl/>
        <w:jc w:val="left"/>
        <w:rPr>
          <w:rFonts w:ascii="仿宋" w:hAnsi="仿宋" w:eastAsia="仿宋"/>
          <w:color w:val="auto"/>
          <w:kern w:val="0"/>
          <w:sz w:val="32"/>
          <w:szCs w:val="32"/>
          <w:highlight w:val="none"/>
        </w:rPr>
      </w:pPr>
    </w:p>
    <w:p w14:paraId="39156833">
      <w:pPr>
        <w:pStyle w:val="3"/>
        <w:ind w:right="440"/>
        <w:jc w:val="center"/>
        <w:rPr>
          <w:rStyle w:val="25"/>
          <w:rFonts w:ascii="黑体" w:hAnsi="黑体" w:eastAsia="黑体"/>
          <w:b w:val="0"/>
          <w:bCs/>
          <w:color w:val="auto"/>
          <w:highlight w:val="none"/>
        </w:rPr>
      </w:pPr>
      <w:bookmarkStart w:id="35" w:name="_Toc27260"/>
      <w:bookmarkStart w:id="36" w:name="_Toc15396602"/>
      <w:bookmarkStart w:id="3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35"/>
      <w:bookmarkEnd w:id="36"/>
      <w:bookmarkEnd w:id="37"/>
    </w:p>
    <w:p w14:paraId="22912CE8">
      <w:pPr>
        <w:rPr>
          <w:color w:val="auto"/>
          <w:highlight w:val="none"/>
        </w:rPr>
      </w:pPr>
    </w:p>
    <w:p w14:paraId="7A4BEDB8">
      <w:pPr>
        <w:pStyle w:val="24"/>
        <w:numPr>
          <w:ilvl w:val="0"/>
          <w:numId w:val="3"/>
        </w:numPr>
        <w:spacing w:line="600" w:lineRule="exact"/>
        <w:ind w:firstLineChars="0"/>
        <w:outlineLvl w:val="1"/>
        <w:rPr>
          <w:rStyle w:val="26"/>
          <w:rFonts w:ascii="黑体" w:hAnsi="黑体" w:eastAsia="黑体"/>
          <w:b w:val="0"/>
          <w:color w:val="auto"/>
          <w:highlight w:val="none"/>
        </w:rPr>
      </w:pPr>
      <w:bookmarkStart w:id="38" w:name="_Toc17982"/>
      <w:bookmarkStart w:id="39" w:name="_Toc15377205"/>
      <w:bookmarkStart w:id="40" w:name="_Toc15396603"/>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38"/>
      <w:bookmarkEnd w:id="39"/>
      <w:bookmarkEnd w:id="40"/>
    </w:p>
    <w:p w14:paraId="23E86AEC">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2645.39</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206.96</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7.26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2021年有抗疫特别国债安排的支出1135.88万元</w:t>
      </w:r>
      <w:r>
        <w:rPr>
          <w:rFonts w:hint="eastAsia" w:ascii="仿宋" w:hAnsi="仿宋" w:eastAsia="仿宋"/>
          <w:color w:val="auto"/>
          <w:sz w:val="32"/>
          <w:szCs w:val="32"/>
          <w:highlight w:val="none"/>
          <w:lang w:eastAsia="zh-CN"/>
        </w:rPr>
        <w:t>。</w:t>
      </w:r>
    </w:p>
    <w:p w14:paraId="213F2290">
      <w:pPr>
        <w:pStyle w:val="2"/>
        <w:ind w:firstLine="320" w:firstLineChars="100"/>
        <w:rPr>
          <w:rFonts w:hint="default"/>
          <w:lang w:val="en-US" w:eastAsia="zh-CN"/>
        </w:rPr>
      </w:pPr>
      <w:r>
        <w:rPr>
          <w:rFonts w:hint="eastAsia" w:ascii="仿宋" w:hAnsi="仿宋" w:eastAsia="仿宋"/>
          <w:color w:val="auto"/>
          <w:sz w:val="32"/>
          <w:szCs w:val="32"/>
          <w:highlight w:val="none"/>
          <w:lang w:eastAsia="zh-CN"/>
        </w:rPr>
        <w:t>图</w:t>
      </w:r>
      <w:r>
        <w:rPr>
          <w:rFonts w:hint="eastAsia" w:ascii="仿宋" w:hAnsi="仿宋" w:eastAsia="仿宋"/>
          <w:color w:val="auto"/>
          <w:sz w:val="32"/>
          <w:szCs w:val="32"/>
          <w:highlight w:val="none"/>
          <w:lang w:val="en-US" w:eastAsia="zh-CN"/>
        </w:rPr>
        <w:t>1：</w:t>
      </w:r>
    </w:p>
    <w:p w14:paraId="0C8774EF">
      <w:pPr>
        <w:spacing w:line="600" w:lineRule="exact"/>
        <w:ind w:firstLine="420" w:firstLineChars="200"/>
        <w:jc w:val="left"/>
        <w:rPr>
          <w:rFonts w:hint="eastAsia" w:ascii="仿宋_GB2312" w:eastAsia="仿宋_GB2312"/>
          <w:color w:val="auto"/>
          <w:sz w:val="32"/>
          <w:szCs w:val="32"/>
          <w:highlight w:val="none"/>
          <w:lang w:eastAsia="zh-CN"/>
        </w:rPr>
      </w:pPr>
      <w:r>
        <w:drawing>
          <wp:anchor distT="0" distB="0" distL="114300" distR="114300" simplePos="0" relativeHeight="251659264" behindDoc="0" locked="0" layoutInCell="1" allowOverlap="1">
            <wp:simplePos x="0" y="0"/>
            <wp:positionH relativeFrom="column">
              <wp:posOffset>207645</wp:posOffset>
            </wp:positionH>
            <wp:positionV relativeFrom="paragraph">
              <wp:posOffset>97155</wp:posOffset>
            </wp:positionV>
            <wp:extent cx="4572000" cy="2898140"/>
            <wp:effectExtent l="4445" t="4445" r="14605" b="1206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2E5697A5">
      <w:pPr>
        <w:spacing w:line="600" w:lineRule="exact"/>
        <w:ind w:firstLine="640" w:firstLineChars="200"/>
        <w:jc w:val="left"/>
        <w:rPr>
          <w:rFonts w:hint="eastAsia" w:ascii="仿宋_GB2312" w:eastAsia="仿宋_GB2312"/>
          <w:color w:val="auto"/>
          <w:sz w:val="32"/>
          <w:szCs w:val="32"/>
          <w:highlight w:val="none"/>
          <w:lang w:eastAsia="zh-CN"/>
        </w:rPr>
      </w:pPr>
    </w:p>
    <w:p w14:paraId="556F95CE">
      <w:pPr>
        <w:pStyle w:val="2"/>
        <w:rPr>
          <w:rFonts w:hint="eastAsia"/>
          <w:lang w:eastAsia="zh-CN"/>
        </w:rPr>
      </w:pPr>
    </w:p>
    <w:p w14:paraId="41ECB3B3">
      <w:pPr>
        <w:spacing w:line="600" w:lineRule="exact"/>
        <w:ind w:firstLine="640" w:firstLineChars="200"/>
        <w:jc w:val="left"/>
        <w:rPr>
          <w:rFonts w:hint="eastAsia" w:ascii="仿宋_GB2312" w:eastAsia="仿宋_GB2312"/>
          <w:color w:val="auto"/>
          <w:sz w:val="32"/>
          <w:szCs w:val="32"/>
          <w:highlight w:val="none"/>
          <w:lang w:eastAsia="zh-CN"/>
        </w:rPr>
      </w:pPr>
    </w:p>
    <w:p w14:paraId="53BAA227">
      <w:pPr>
        <w:pStyle w:val="24"/>
        <w:numPr>
          <w:ilvl w:val="0"/>
          <w:numId w:val="3"/>
        </w:numPr>
        <w:spacing w:line="600" w:lineRule="exact"/>
        <w:ind w:firstLineChars="0"/>
        <w:outlineLvl w:val="1"/>
        <w:rPr>
          <w:rStyle w:val="26"/>
          <w:rFonts w:ascii="黑体" w:hAnsi="黑体" w:eastAsia="黑体"/>
          <w:b w:val="0"/>
          <w:color w:val="auto"/>
          <w:highlight w:val="none"/>
        </w:rPr>
      </w:pPr>
      <w:bookmarkStart w:id="41" w:name="_Toc15396604"/>
      <w:bookmarkStart w:id="42" w:name="_Toc15377206"/>
      <w:bookmarkStart w:id="43" w:name="_Toc16077"/>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41"/>
      <w:bookmarkEnd w:id="42"/>
      <w:bookmarkEnd w:id="43"/>
    </w:p>
    <w:p w14:paraId="39EFCAAA">
      <w:pPr>
        <w:spacing w:line="600" w:lineRule="exact"/>
        <w:ind w:firstLine="640" w:firstLineChars="200"/>
        <w:outlineLvl w:val="1"/>
        <w:rPr>
          <w:rFonts w:hint="eastAsia" w:ascii="仿宋" w:hAnsi="仿宋" w:eastAsia="仿宋"/>
          <w:color w:val="auto"/>
          <w:sz w:val="32"/>
          <w:szCs w:val="32"/>
          <w:highlight w:val="none"/>
        </w:rPr>
      </w:pPr>
      <w:bookmarkStart w:id="44" w:name="_Toc19851"/>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2642.82</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2642.82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44"/>
    </w:p>
    <w:p w14:paraId="5558A769">
      <w:pPr>
        <w:pStyle w:val="2"/>
        <w:ind w:firstLine="320" w:firstLineChars="100"/>
        <w:rPr>
          <w:rFonts w:hint="default" w:ascii="仿宋" w:hAnsi="仿宋" w:eastAsia="仿宋"/>
          <w:color w:val="auto"/>
          <w:sz w:val="32"/>
          <w:szCs w:val="32"/>
          <w:highlight w:val="none"/>
          <w:lang w:val="en-US"/>
        </w:rPr>
      </w:pPr>
      <w:r>
        <w:rPr>
          <w:rFonts w:hint="eastAsia" w:ascii="仿宋" w:hAnsi="仿宋" w:eastAsia="仿宋"/>
          <w:color w:val="auto"/>
          <w:sz w:val="32"/>
          <w:szCs w:val="32"/>
          <w:highlight w:val="none"/>
          <w:lang w:eastAsia="zh-CN"/>
        </w:rPr>
        <w:t>图</w:t>
      </w:r>
      <w:r>
        <w:rPr>
          <w:rFonts w:hint="eastAsia" w:ascii="仿宋" w:hAnsi="仿宋" w:eastAsia="仿宋"/>
          <w:color w:val="auto"/>
          <w:sz w:val="32"/>
          <w:szCs w:val="32"/>
          <w:highlight w:val="none"/>
          <w:lang w:val="en-US" w:eastAsia="zh-CN"/>
        </w:rPr>
        <w:t>2：</w:t>
      </w:r>
    </w:p>
    <w:p w14:paraId="12A32663">
      <w:pPr>
        <w:pStyle w:val="2"/>
        <w:rPr>
          <w:rFonts w:ascii="仿宋_GB2312" w:eastAsia="仿宋_GB2312"/>
          <w:color w:val="auto"/>
          <w:sz w:val="32"/>
          <w:szCs w:val="32"/>
          <w:highlight w:val="none"/>
        </w:rPr>
      </w:pPr>
      <w:r>
        <w:drawing>
          <wp:anchor distT="0" distB="0" distL="114300" distR="114300" simplePos="0" relativeHeight="251660288" behindDoc="0" locked="0" layoutInCell="1" allowOverlap="1">
            <wp:simplePos x="0" y="0"/>
            <wp:positionH relativeFrom="column">
              <wp:posOffset>252095</wp:posOffset>
            </wp:positionH>
            <wp:positionV relativeFrom="paragraph">
              <wp:posOffset>189230</wp:posOffset>
            </wp:positionV>
            <wp:extent cx="4572000" cy="2743200"/>
            <wp:effectExtent l="4445" t="4445" r="14605" b="14605"/>
            <wp:wrapTopAndBottom/>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67A5547">
      <w:pPr>
        <w:pStyle w:val="24"/>
        <w:numPr>
          <w:ilvl w:val="0"/>
          <w:numId w:val="3"/>
        </w:numPr>
        <w:spacing w:line="600" w:lineRule="exact"/>
        <w:ind w:firstLineChars="0"/>
        <w:outlineLvl w:val="1"/>
        <w:rPr>
          <w:rStyle w:val="26"/>
          <w:rFonts w:ascii="黑体" w:hAnsi="黑体" w:eastAsia="黑体"/>
          <w:b w:val="0"/>
          <w:color w:val="auto"/>
          <w:highlight w:val="none"/>
        </w:rPr>
      </w:pPr>
      <w:bookmarkStart w:id="45" w:name="_Toc15396605"/>
      <w:bookmarkStart w:id="46" w:name="_Toc9274"/>
      <w:bookmarkStart w:id="47" w:name="_Toc15377207"/>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45"/>
      <w:bookmarkEnd w:id="46"/>
      <w:bookmarkEnd w:id="47"/>
    </w:p>
    <w:p w14:paraId="07B0F856">
      <w:pPr>
        <w:spacing w:line="600" w:lineRule="exact"/>
        <w:ind w:firstLine="640" w:firstLineChars="200"/>
        <w:outlineLvl w:val="1"/>
        <w:rPr>
          <w:rFonts w:hint="eastAsia" w:ascii="仿宋" w:hAnsi="仿宋" w:eastAsia="仿宋"/>
          <w:color w:val="auto"/>
          <w:sz w:val="32"/>
          <w:szCs w:val="32"/>
          <w:highlight w:val="none"/>
          <w:lang w:eastAsia="zh-CN"/>
        </w:rPr>
      </w:pPr>
      <w:bookmarkStart w:id="48" w:name="_Toc4839"/>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2642.82</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421.32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15.94</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2221.50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84.06</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48"/>
    </w:p>
    <w:p w14:paraId="7AFDD844">
      <w:pPr>
        <w:pStyle w:val="2"/>
        <w:ind w:firstLine="640" w:firstLineChars="200"/>
        <w:rPr>
          <w:rFonts w:hint="default"/>
          <w:lang w:val="en-US" w:eastAsia="zh-CN"/>
        </w:rPr>
      </w:pPr>
      <w:r>
        <w:rPr>
          <w:rFonts w:hint="eastAsia" w:ascii="仿宋" w:hAnsi="仿宋" w:eastAsia="仿宋"/>
          <w:color w:val="auto"/>
          <w:sz w:val="32"/>
          <w:szCs w:val="32"/>
          <w:highlight w:val="none"/>
          <w:lang w:eastAsia="zh-CN"/>
        </w:rPr>
        <w:t>图</w:t>
      </w:r>
      <w:r>
        <w:rPr>
          <w:rFonts w:hint="eastAsia" w:ascii="仿宋" w:hAnsi="仿宋" w:eastAsia="仿宋"/>
          <w:color w:val="auto"/>
          <w:sz w:val="32"/>
          <w:szCs w:val="32"/>
          <w:highlight w:val="none"/>
          <w:lang w:val="en-US" w:eastAsia="zh-CN"/>
        </w:rPr>
        <w:t>3:</w:t>
      </w:r>
    </w:p>
    <w:p w14:paraId="7B97701A">
      <w:pPr>
        <w:spacing w:line="600" w:lineRule="exact"/>
        <w:ind w:firstLine="420" w:firstLineChars="200"/>
        <w:outlineLvl w:val="9"/>
        <w:rPr>
          <w:rFonts w:ascii="仿宋" w:hAnsi="仿宋" w:eastAsia="仿宋"/>
          <w:b/>
          <w:color w:val="auto"/>
          <w:sz w:val="32"/>
          <w:szCs w:val="32"/>
          <w:highlight w:val="none"/>
        </w:rPr>
      </w:pPr>
      <w:r>
        <w:drawing>
          <wp:anchor distT="0" distB="0" distL="114300" distR="114300" simplePos="0" relativeHeight="251661312" behindDoc="0" locked="0" layoutInCell="1" allowOverlap="1">
            <wp:simplePos x="0" y="0"/>
            <wp:positionH relativeFrom="column">
              <wp:posOffset>326390</wp:posOffset>
            </wp:positionH>
            <wp:positionV relativeFrom="paragraph">
              <wp:posOffset>52070</wp:posOffset>
            </wp:positionV>
            <wp:extent cx="4572000" cy="2743200"/>
            <wp:effectExtent l="4445" t="4445" r="14605" b="1460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C78B377">
      <w:pPr>
        <w:spacing w:line="600" w:lineRule="exact"/>
        <w:rPr>
          <w:rFonts w:ascii="仿宋_GB2312" w:eastAsia="仿宋_GB2312"/>
          <w:color w:val="auto"/>
          <w:sz w:val="32"/>
          <w:szCs w:val="32"/>
          <w:highlight w:val="none"/>
        </w:rPr>
      </w:pPr>
    </w:p>
    <w:p w14:paraId="357F6E77">
      <w:pPr>
        <w:spacing w:line="600" w:lineRule="exact"/>
        <w:ind w:firstLine="640" w:firstLineChars="200"/>
        <w:outlineLvl w:val="1"/>
        <w:rPr>
          <w:rStyle w:val="26"/>
          <w:rFonts w:ascii="黑体" w:hAnsi="黑体" w:eastAsia="黑体"/>
          <w:b w:val="0"/>
          <w:color w:val="auto"/>
          <w:highlight w:val="none"/>
        </w:rPr>
      </w:pPr>
      <w:bookmarkStart w:id="49" w:name="_Toc15377208"/>
      <w:bookmarkStart w:id="50" w:name="_Toc15464"/>
      <w:bookmarkStart w:id="51" w:name="_Toc15396606"/>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49"/>
      <w:bookmarkEnd w:id="50"/>
      <w:bookmarkEnd w:id="51"/>
    </w:p>
    <w:p w14:paraId="2CB8CC58">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2642.82</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127.03</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4.59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2021年含政府性基金预算财政拨款1056.33万元。</w:t>
      </w:r>
    </w:p>
    <w:p w14:paraId="798451FC">
      <w:pPr>
        <w:spacing w:line="600" w:lineRule="exact"/>
        <w:ind w:firstLine="420" w:firstLineChars="200"/>
        <w:rPr>
          <w:rFonts w:hint="default" w:ascii="仿宋" w:hAnsi="仿宋" w:eastAsia="仿宋"/>
          <w:color w:val="auto"/>
          <w:sz w:val="32"/>
          <w:szCs w:val="32"/>
          <w:highlight w:val="none"/>
          <w:lang w:val="en-US" w:eastAsia="zh-CN"/>
        </w:rPr>
      </w:pPr>
      <w:r>
        <w:drawing>
          <wp:anchor distT="0" distB="0" distL="114300" distR="114300" simplePos="0" relativeHeight="251662336" behindDoc="0" locked="0" layoutInCell="1" allowOverlap="1">
            <wp:simplePos x="0" y="0"/>
            <wp:positionH relativeFrom="column">
              <wp:posOffset>407035</wp:posOffset>
            </wp:positionH>
            <wp:positionV relativeFrom="paragraph">
              <wp:posOffset>539750</wp:posOffset>
            </wp:positionV>
            <wp:extent cx="4572000" cy="2743200"/>
            <wp:effectExtent l="4445" t="4445" r="14605" b="14605"/>
            <wp:wrapTopAndBottom/>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auto"/>
          <w:sz w:val="32"/>
          <w:szCs w:val="32"/>
          <w:highlight w:val="none"/>
          <w:lang w:eastAsia="zh-CN"/>
        </w:rPr>
        <w:t>图</w:t>
      </w:r>
      <w:r>
        <w:rPr>
          <w:rFonts w:hint="eastAsia" w:ascii="仿宋" w:hAnsi="仿宋" w:eastAsia="仿宋"/>
          <w:color w:val="auto"/>
          <w:sz w:val="32"/>
          <w:szCs w:val="32"/>
          <w:highlight w:val="none"/>
          <w:lang w:val="en-US" w:eastAsia="zh-CN"/>
        </w:rPr>
        <w:t>4：</w:t>
      </w:r>
    </w:p>
    <w:p w14:paraId="2D3F3266">
      <w:pPr>
        <w:spacing w:line="600" w:lineRule="exact"/>
        <w:ind w:firstLine="643" w:firstLineChars="200"/>
        <w:rPr>
          <w:rFonts w:ascii="仿宋" w:hAnsi="仿宋" w:eastAsia="仿宋"/>
          <w:b/>
          <w:color w:val="auto"/>
          <w:sz w:val="32"/>
          <w:szCs w:val="32"/>
          <w:highlight w:val="none"/>
        </w:rPr>
      </w:pPr>
    </w:p>
    <w:p w14:paraId="58754E92">
      <w:pPr>
        <w:spacing w:line="600" w:lineRule="exact"/>
        <w:ind w:firstLine="640" w:firstLineChars="200"/>
        <w:outlineLvl w:val="1"/>
        <w:rPr>
          <w:rStyle w:val="26"/>
          <w:rFonts w:ascii="黑体" w:hAnsi="黑体" w:eastAsia="黑体"/>
          <w:b w:val="0"/>
          <w:color w:val="auto"/>
          <w:highlight w:val="none"/>
        </w:rPr>
      </w:pPr>
      <w:bookmarkStart w:id="52" w:name="_Toc15396607"/>
      <w:bookmarkStart w:id="53" w:name="_Toc15377209"/>
      <w:bookmarkStart w:id="54" w:name="_Toc13883"/>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52"/>
      <w:bookmarkEnd w:id="53"/>
      <w:bookmarkEnd w:id="54"/>
    </w:p>
    <w:p w14:paraId="7BA94C13">
      <w:pPr>
        <w:spacing w:line="600" w:lineRule="exact"/>
        <w:ind w:firstLine="643" w:firstLineChars="200"/>
        <w:outlineLvl w:val="2"/>
        <w:rPr>
          <w:rFonts w:ascii="仿宋" w:hAnsi="仿宋" w:eastAsia="仿宋"/>
          <w:b/>
          <w:color w:val="auto"/>
          <w:sz w:val="32"/>
          <w:szCs w:val="32"/>
          <w:highlight w:val="none"/>
        </w:rPr>
      </w:pPr>
      <w:bookmarkStart w:id="55" w:name="_Toc15377210"/>
      <w:r>
        <w:rPr>
          <w:rFonts w:hint="eastAsia" w:ascii="仿宋" w:hAnsi="仿宋" w:eastAsia="仿宋"/>
          <w:b/>
          <w:color w:val="auto"/>
          <w:sz w:val="32"/>
          <w:szCs w:val="32"/>
          <w:highlight w:val="none"/>
        </w:rPr>
        <w:t>（一）一般公共预算财政拨款支出决算总体情况</w:t>
      </w:r>
      <w:bookmarkEnd w:id="55"/>
    </w:p>
    <w:p w14:paraId="13D1E5E9">
      <w:pPr>
        <w:spacing w:line="600" w:lineRule="exact"/>
        <w:ind w:firstLine="640" w:firstLineChars="20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2642.82</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929.30</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54.23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2021年有政府性基金预算财政拨款1056.33万元支出。</w:t>
      </w:r>
    </w:p>
    <w:p w14:paraId="43079FBB">
      <w:pPr>
        <w:pStyle w:val="2"/>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图5：</w:t>
      </w:r>
    </w:p>
    <w:p w14:paraId="19A58C74">
      <w:pPr>
        <w:pStyle w:val="2"/>
        <w:rPr>
          <w:rFonts w:ascii="仿宋" w:hAnsi="仿宋" w:eastAsia="仿宋"/>
          <w:color w:val="auto"/>
          <w:sz w:val="32"/>
          <w:szCs w:val="32"/>
          <w:highlight w:val="none"/>
        </w:rPr>
      </w:pPr>
      <w:r>
        <w:drawing>
          <wp:anchor distT="0" distB="0" distL="114300" distR="114300" simplePos="0" relativeHeight="251663360" behindDoc="0" locked="0" layoutInCell="1" allowOverlap="1">
            <wp:simplePos x="0" y="0"/>
            <wp:positionH relativeFrom="column">
              <wp:posOffset>408305</wp:posOffset>
            </wp:positionH>
            <wp:positionV relativeFrom="paragraph">
              <wp:posOffset>133350</wp:posOffset>
            </wp:positionV>
            <wp:extent cx="4572000" cy="2486660"/>
            <wp:effectExtent l="4445" t="4445" r="14605" b="2349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CAADC3F">
      <w:pPr>
        <w:spacing w:line="600" w:lineRule="exact"/>
        <w:ind w:firstLine="643" w:firstLineChars="200"/>
        <w:outlineLvl w:val="2"/>
        <w:rPr>
          <w:rFonts w:ascii="仿宋" w:hAnsi="仿宋" w:eastAsia="仿宋"/>
          <w:b/>
          <w:color w:val="auto"/>
          <w:sz w:val="32"/>
          <w:szCs w:val="32"/>
          <w:highlight w:val="none"/>
        </w:rPr>
      </w:pPr>
      <w:bookmarkStart w:id="56" w:name="_Toc15377211"/>
      <w:r>
        <w:rPr>
          <w:rFonts w:hint="eastAsia" w:ascii="仿宋" w:hAnsi="仿宋" w:eastAsia="仿宋"/>
          <w:b/>
          <w:color w:val="auto"/>
          <w:sz w:val="32"/>
          <w:szCs w:val="32"/>
          <w:highlight w:val="none"/>
        </w:rPr>
        <w:t>（二）一般公共预算财政拨款支出决算结构情况</w:t>
      </w:r>
      <w:bookmarkEnd w:id="56"/>
    </w:p>
    <w:p w14:paraId="23A79F1D">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2642.82</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71.74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2.71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2291.47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86.71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29.62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农林水支出</w:t>
      </w:r>
      <w:r>
        <w:rPr>
          <w:rFonts w:hint="eastAsia" w:ascii="仿宋" w:hAnsi="仿宋" w:eastAsia="仿宋"/>
          <w:b w:val="0"/>
          <w:bCs w:val="0"/>
          <w:color w:val="auto"/>
          <w:sz w:val="32"/>
          <w:szCs w:val="32"/>
          <w:highlight w:val="none"/>
          <w:lang w:val="en-US" w:eastAsia="zh-CN"/>
        </w:rPr>
        <w:t>250.00万元，占9.46%</w:t>
      </w:r>
      <w:r>
        <w:rPr>
          <w:rFonts w:hint="eastAsia" w:ascii="仿宋" w:hAnsi="仿宋" w:eastAsia="仿宋"/>
          <w:color w:val="auto"/>
          <w:sz w:val="32"/>
          <w:szCs w:val="32"/>
          <w:highlight w:val="none"/>
        </w:rPr>
        <w:t>。</w:t>
      </w:r>
    </w:p>
    <w:p w14:paraId="1EAE0893">
      <w:pPr>
        <w:pStyle w:val="2"/>
        <w:ind w:firstLine="640" w:firstLineChars="200"/>
        <w:rPr>
          <w:rFonts w:hint="eastAsia" w:ascii="仿宋" w:hAnsi="仿宋" w:eastAsia="仿宋"/>
          <w:color w:val="auto"/>
          <w:sz w:val="32"/>
          <w:szCs w:val="32"/>
          <w:highlight w:val="none"/>
          <w:lang w:eastAsia="zh-CN"/>
        </w:rPr>
      </w:pPr>
    </w:p>
    <w:p w14:paraId="54D8D389">
      <w:pPr>
        <w:pStyle w:val="2"/>
        <w:ind w:firstLine="640" w:firstLineChars="200"/>
        <w:rPr>
          <w:rFonts w:hint="default" w:eastAsia="仿宋"/>
          <w:lang w:val="en-US" w:eastAsia="zh-CN"/>
        </w:rPr>
      </w:pPr>
      <w:r>
        <w:rPr>
          <w:rFonts w:hint="eastAsia" w:ascii="仿宋" w:hAnsi="仿宋" w:eastAsia="仿宋"/>
          <w:color w:val="auto"/>
          <w:sz w:val="32"/>
          <w:szCs w:val="32"/>
          <w:highlight w:val="none"/>
          <w:lang w:eastAsia="zh-CN"/>
        </w:rPr>
        <w:t>图</w:t>
      </w:r>
      <w:r>
        <w:rPr>
          <w:rFonts w:hint="eastAsia" w:ascii="仿宋" w:hAnsi="仿宋" w:eastAsia="仿宋"/>
          <w:color w:val="auto"/>
          <w:sz w:val="32"/>
          <w:szCs w:val="32"/>
          <w:highlight w:val="none"/>
          <w:lang w:val="en-US" w:eastAsia="zh-CN"/>
        </w:rPr>
        <w:t>6：</w:t>
      </w:r>
    </w:p>
    <w:p w14:paraId="0F58142F">
      <w:pPr>
        <w:spacing w:line="600" w:lineRule="exact"/>
        <w:ind w:firstLine="420" w:firstLineChars="200"/>
        <w:rPr>
          <w:rFonts w:ascii="仿宋" w:hAnsi="仿宋" w:eastAsia="仿宋"/>
          <w:color w:val="auto"/>
          <w:sz w:val="32"/>
          <w:szCs w:val="32"/>
          <w:highlight w:val="none"/>
        </w:rPr>
      </w:pPr>
      <w:r>
        <w:drawing>
          <wp:anchor distT="0" distB="0" distL="114300" distR="114300" simplePos="0" relativeHeight="251664384" behindDoc="0" locked="0" layoutInCell="1" allowOverlap="1">
            <wp:simplePos x="0" y="0"/>
            <wp:positionH relativeFrom="column">
              <wp:posOffset>389890</wp:posOffset>
            </wp:positionH>
            <wp:positionV relativeFrom="paragraph">
              <wp:posOffset>200660</wp:posOffset>
            </wp:positionV>
            <wp:extent cx="4572000" cy="2743200"/>
            <wp:effectExtent l="4445" t="4445" r="14605" b="14605"/>
            <wp:wrapTopAndBottom/>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A3DC660">
      <w:pPr>
        <w:spacing w:line="600" w:lineRule="exact"/>
        <w:ind w:firstLine="643" w:firstLineChars="200"/>
        <w:outlineLvl w:val="2"/>
        <w:rPr>
          <w:rFonts w:ascii="仿宋" w:hAnsi="仿宋" w:eastAsia="仿宋"/>
          <w:b/>
          <w:color w:val="auto"/>
          <w:sz w:val="32"/>
          <w:szCs w:val="32"/>
          <w:highlight w:val="none"/>
        </w:rPr>
      </w:pPr>
      <w:bookmarkStart w:id="57" w:name="_Toc15377212"/>
      <w:r>
        <w:rPr>
          <w:rFonts w:hint="eastAsia" w:ascii="仿宋" w:hAnsi="仿宋" w:eastAsia="仿宋"/>
          <w:b/>
          <w:color w:val="auto"/>
          <w:sz w:val="32"/>
          <w:szCs w:val="32"/>
          <w:highlight w:val="none"/>
        </w:rPr>
        <w:t>（三）一般公共预算财政拨款支出决算具体情况</w:t>
      </w:r>
      <w:bookmarkEnd w:id="57"/>
    </w:p>
    <w:p w14:paraId="56C8F0A2">
      <w:pPr>
        <w:spacing w:line="600" w:lineRule="exact"/>
        <w:ind w:firstLine="643" w:firstLineChars="200"/>
        <w:outlineLvl w:val="2"/>
        <w:rPr>
          <w:rFonts w:ascii="仿宋" w:hAnsi="仿宋" w:eastAsia="仿宋"/>
          <w:color w:val="auto"/>
          <w:sz w:val="32"/>
          <w:szCs w:val="32"/>
          <w:highlight w:val="none"/>
        </w:rPr>
      </w:pPr>
      <w:bookmarkStart w:id="58" w:name="_Toc15377444"/>
      <w:bookmarkStart w:id="59" w:name="_Toc15377213"/>
      <w:bookmarkStart w:id="60"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2642.82万元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58"/>
      <w:bookmarkEnd w:id="59"/>
      <w:bookmarkEnd w:id="60"/>
    </w:p>
    <w:p w14:paraId="03071770">
      <w:pPr>
        <w:spacing w:line="600" w:lineRule="exact"/>
        <w:ind w:firstLine="643" w:firstLineChars="200"/>
        <w:rPr>
          <w:rFonts w:ascii="仿宋" w:hAnsi="仿宋" w:eastAsia="仿宋"/>
          <w:b/>
          <w:color w:val="auto"/>
          <w:sz w:val="32"/>
          <w:szCs w:val="32"/>
          <w:highlight w:val="none"/>
        </w:rPr>
      </w:pPr>
      <w:r>
        <w:rPr>
          <w:rStyle w:val="15"/>
          <w:rFonts w:ascii="仿宋" w:hAnsi="仿宋" w:eastAsia="仿宋"/>
          <w:bCs/>
          <w:color w:val="auto"/>
          <w:sz w:val="32"/>
          <w:szCs w:val="32"/>
          <w:highlight w:val="none"/>
        </w:rPr>
        <w:t>1.</w:t>
      </w:r>
      <w:r>
        <w:rPr>
          <w:rStyle w:val="15"/>
          <w:rFonts w:hint="eastAsia" w:ascii="仿宋" w:hAnsi="仿宋" w:eastAsia="仿宋"/>
          <w:bCs/>
          <w:color w:val="auto"/>
          <w:sz w:val="32"/>
          <w:szCs w:val="32"/>
          <w:highlight w:val="none"/>
        </w:rPr>
        <w:t>社会保障和就业</w:t>
      </w:r>
      <w:r>
        <w:rPr>
          <w:rStyle w:val="15"/>
          <w:rFonts w:hint="eastAsia" w:ascii="仿宋" w:hAnsi="仿宋" w:eastAsia="仿宋"/>
          <w:bCs/>
          <w:color w:val="auto"/>
          <w:sz w:val="32"/>
          <w:szCs w:val="32"/>
          <w:highlight w:val="none"/>
          <w:lang w:eastAsia="zh-CN"/>
        </w:rPr>
        <w:t>支出</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行政事业单位养老支出</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行政单位离退休</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40.97</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Style w:val="15"/>
          <w:rFonts w:hint="eastAsia" w:ascii="仿宋" w:hAnsi="仿宋" w:eastAsia="仿宋"/>
          <w:bCs/>
          <w:color w:val="auto"/>
          <w:sz w:val="32"/>
          <w:szCs w:val="32"/>
          <w:highlight w:val="none"/>
        </w:rPr>
        <w:t>社会保障和就业</w:t>
      </w:r>
      <w:r>
        <w:rPr>
          <w:rStyle w:val="15"/>
          <w:rFonts w:hint="eastAsia" w:ascii="仿宋" w:hAnsi="仿宋" w:eastAsia="仿宋"/>
          <w:bCs/>
          <w:color w:val="auto"/>
          <w:sz w:val="32"/>
          <w:szCs w:val="32"/>
          <w:highlight w:val="none"/>
          <w:lang w:eastAsia="zh-CN"/>
        </w:rPr>
        <w:t>支出</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行政事业单位养老支出</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机关事业单位基本养老保险缴费支出</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23.66</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Style w:val="15"/>
          <w:rFonts w:hint="eastAsia" w:ascii="仿宋" w:hAnsi="仿宋" w:eastAsia="仿宋"/>
          <w:bCs/>
          <w:color w:val="auto"/>
          <w:sz w:val="32"/>
          <w:szCs w:val="32"/>
          <w:highlight w:val="none"/>
        </w:rPr>
        <w:t>社会保障和就业</w:t>
      </w:r>
      <w:r>
        <w:rPr>
          <w:rStyle w:val="15"/>
          <w:rFonts w:hint="eastAsia" w:ascii="仿宋" w:hAnsi="仿宋" w:eastAsia="仿宋"/>
          <w:bCs/>
          <w:color w:val="auto"/>
          <w:sz w:val="32"/>
          <w:szCs w:val="32"/>
          <w:highlight w:val="none"/>
          <w:lang w:eastAsia="zh-CN"/>
        </w:rPr>
        <w:t>支出</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行政事业单位养老支出</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机关事业单位职业年金缴费支出</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7.11</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14:paraId="2AFEEA13">
      <w:pPr>
        <w:spacing w:line="600" w:lineRule="exact"/>
        <w:ind w:firstLine="643" w:firstLineChars="200"/>
        <w:rPr>
          <w:rFonts w:hint="eastAsia" w:ascii="仿宋" w:hAnsi="仿宋" w:eastAsia="仿宋"/>
          <w:b/>
          <w:color w:val="auto"/>
          <w:sz w:val="32"/>
          <w:szCs w:val="32"/>
          <w:highlight w:val="none"/>
          <w:lang w:eastAsia="zh-CN"/>
        </w:rPr>
      </w:pPr>
      <w:r>
        <w:rPr>
          <w:rStyle w:val="15"/>
          <w:rFonts w:hint="eastAsia" w:ascii="仿宋" w:hAnsi="仿宋" w:eastAsia="仿宋"/>
          <w:bCs/>
          <w:color w:val="auto"/>
          <w:sz w:val="32"/>
          <w:szCs w:val="32"/>
          <w:highlight w:val="none"/>
          <w:lang w:val="en-US" w:eastAsia="zh-CN"/>
        </w:rPr>
        <w:t>2</w:t>
      </w:r>
      <w:r>
        <w:rPr>
          <w:rStyle w:val="15"/>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卫生健康管理事务</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行政支出</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251.85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卫生健康管理事务</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一般行政管理事务</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6.12</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卫生健康管理事务</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机关服务</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38.61</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卫生健康管理事务</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其他卫生健康管理事务支出</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12.99</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基层医疗卫生机构</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其他基层医疗卫生机构支出</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546.46</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公共卫生</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基本公共卫生服务</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3.51</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公共卫生</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重大公共卫生服务</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0.32</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公共卫生</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突发公共卫生事件应急处理</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276.56</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计划生育服务</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计划生育服务</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258.33</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计划生育服务</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其他计划生育事务支出</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848.18</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行政事业单位医疗</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行政单位医疗</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15.18</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行政事业单位医疗</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事业单位医疗</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2.54</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行政事业单位医疗</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公务员医疗补助</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11.78</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其他卫生健康支出</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其他卫生健康支出</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19.04</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14:paraId="5E73FF8E">
      <w:pPr>
        <w:spacing w:line="600" w:lineRule="exact"/>
        <w:ind w:firstLine="643" w:firstLineChars="200"/>
        <w:rPr>
          <w:rStyle w:val="15"/>
          <w:rFonts w:hint="eastAsia" w:ascii="仿宋" w:hAnsi="仿宋" w:eastAsia="仿宋"/>
          <w:b w:val="0"/>
          <w:bCs/>
          <w:color w:val="auto"/>
          <w:sz w:val="32"/>
          <w:szCs w:val="32"/>
          <w:highlight w:val="none"/>
          <w:lang w:eastAsia="zh-CN"/>
        </w:rPr>
      </w:pPr>
      <w:r>
        <w:rPr>
          <w:rFonts w:hint="eastAsia" w:ascii="仿宋" w:hAnsi="仿宋" w:eastAsia="仿宋"/>
          <w:b/>
          <w:bCs/>
          <w:color w:val="auto"/>
          <w:sz w:val="32"/>
          <w:szCs w:val="32"/>
          <w:highlight w:val="none"/>
          <w:lang w:val="en-US" w:eastAsia="zh-CN"/>
        </w:rPr>
        <w:t>3.</w:t>
      </w:r>
      <w:r>
        <w:rPr>
          <w:rFonts w:hint="eastAsia" w:ascii="仿宋" w:hAnsi="仿宋" w:eastAsia="仿宋"/>
          <w:b/>
          <w:bCs/>
          <w:color w:val="auto"/>
          <w:sz w:val="32"/>
          <w:szCs w:val="32"/>
          <w:highlight w:val="none"/>
          <w:lang w:eastAsia="zh-CN"/>
        </w:rPr>
        <w:t>农林水支出</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巩固脱贫衔接乡村振兴</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社会发展</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130</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Fonts w:hint="eastAsia" w:ascii="仿宋" w:hAnsi="仿宋" w:eastAsia="仿宋"/>
          <w:b/>
          <w:bCs/>
          <w:color w:val="auto"/>
          <w:sz w:val="32"/>
          <w:szCs w:val="32"/>
          <w:highlight w:val="none"/>
          <w:lang w:eastAsia="zh-CN"/>
        </w:rPr>
        <w:t>农林水支出</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巩固脱贫衔接乡村振兴</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其他巩固脱贫衔接乡村振兴支出</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120</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14:paraId="7C630E1A">
      <w:pPr>
        <w:pStyle w:val="2"/>
        <w:ind w:firstLine="643" w:firstLineChars="200"/>
        <w:rPr>
          <w:rFonts w:hint="eastAsia" w:eastAsia="仿宋"/>
          <w:lang w:eastAsia="zh-CN"/>
        </w:rPr>
      </w:pPr>
      <w:r>
        <w:rPr>
          <w:rFonts w:hint="eastAsia" w:ascii="仿宋" w:hAnsi="仿宋" w:eastAsia="仿宋"/>
          <w:b/>
          <w:bCs/>
          <w:color w:val="auto"/>
          <w:sz w:val="32"/>
          <w:szCs w:val="32"/>
          <w:highlight w:val="none"/>
          <w:lang w:val="en-US" w:eastAsia="zh-CN"/>
        </w:rPr>
        <w:t>4.</w:t>
      </w:r>
      <w:r>
        <w:rPr>
          <w:rFonts w:hint="eastAsia" w:ascii="仿宋" w:hAnsi="仿宋" w:eastAsia="仿宋"/>
          <w:b/>
          <w:bCs/>
          <w:color w:val="auto"/>
          <w:sz w:val="32"/>
          <w:szCs w:val="32"/>
          <w:highlight w:val="none"/>
          <w:lang w:eastAsia="zh-CN"/>
        </w:rPr>
        <w:t>住房保障支出</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住房改革支出</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住房公积金</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29.62</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14:paraId="3150ACF4">
      <w:pPr>
        <w:spacing w:line="600" w:lineRule="exact"/>
        <w:rPr>
          <w:rFonts w:ascii="仿宋" w:hAnsi="仿宋" w:eastAsia="仿宋"/>
          <w:b/>
          <w:color w:val="auto"/>
          <w:sz w:val="32"/>
          <w:szCs w:val="32"/>
          <w:highlight w:val="none"/>
        </w:rPr>
      </w:pPr>
    </w:p>
    <w:p w14:paraId="7A995934">
      <w:pPr>
        <w:tabs>
          <w:tab w:val="right" w:pos="8306"/>
        </w:tabs>
        <w:spacing w:line="600" w:lineRule="exact"/>
        <w:ind w:firstLine="640"/>
        <w:outlineLvl w:val="1"/>
        <w:rPr>
          <w:rStyle w:val="26"/>
          <w:color w:val="auto"/>
          <w:highlight w:val="none"/>
        </w:rPr>
      </w:pPr>
      <w:bookmarkStart w:id="61" w:name="_Toc8434"/>
      <w:bookmarkStart w:id="62" w:name="_Toc15396608"/>
      <w:bookmarkStart w:id="63"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61"/>
      <w:bookmarkEnd w:id="62"/>
      <w:bookmarkEnd w:id="63"/>
      <w:r>
        <w:rPr>
          <w:rStyle w:val="26"/>
          <w:rFonts w:ascii="黑体" w:hAnsi="黑体" w:eastAsia="黑体"/>
          <w:b w:val="0"/>
          <w:color w:val="auto"/>
          <w:highlight w:val="none"/>
        </w:rPr>
        <w:tab/>
      </w:r>
    </w:p>
    <w:p w14:paraId="3D1E050B">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421.32</w:t>
      </w:r>
      <w:r>
        <w:rPr>
          <w:rFonts w:hint="eastAsia" w:ascii="仿宋" w:hAnsi="仿宋" w:eastAsia="仿宋"/>
          <w:color w:val="auto"/>
          <w:sz w:val="32"/>
          <w:szCs w:val="32"/>
          <w:highlight w:val="none"/>
        </w:rPr>
        <w:t>万元，其中：</w:t>
      </w:r>
    </w:p>
    <w:p w14:paraId="151F1C47">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382.79</w:t>
      </w:r>
      <w:r>
        <w:rPr>
          <w:rFonts w:hint="eastAsia" w:ascii="仿宋" w:hAnsi="仿宋" w:eastAsia="仿宋"/>
          <w:color w:val="auto"/>
          <w:sz w:val="32"/>
          <w:szCs w:val="32"/>
          <w:highlight w:val="none"/>
        </w:rPr>
        <w:t>万元，主要包括：基本工资、津贴补贴、奖金、绩效工资、机关事业单位基本养老保险缴费、职业年金缴费、</w:t>
      </w:r>
      <w:r>
        <w:rPr>
          <w:rFonts w:hint="eastAsia" w:ascii="仿宋" w:hAnsi="仿宋" w:eastAsia="仿宋"/>
          <w:color w:val="auto"/>
          <w:sz w:val="32"/>
          <w:szCs w:val="32"/>
          <w:highlight w:val="none"/>
          <w:lang w:eastAsia="zh-CN"/>
        </w:rPr>
        <w:t>职工基本养老保险缴费、公务员医疗补助缴费、</w:t>
      </w:r>
      <w:r>
        <w:rPr>
          <w:rFonts w:hint="eastAsia" w:ascii="仿宋" w:hAnsi="仿宋" w:eastAsia="仿宋"/>
          <w:color w:val="auto"/>
          <w:sz w:val="32"/>
          <w:szCs w:val="32"/>
          <w:highlight w:val="none"/>
        </w:rPr>
        <w:t>其他社会保障缴费、生活补助、医疗费补助、奖励金、住房公积金、其他对个人和家庭的补助支出等。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38.53</w:t>
      </w:r>
      <w:r>
        <w:rPr>
          <w:rFonts w:hint="eastAsia" w:ascii="仿宋" w:hAnsi="仿宋" w:eastAsia="仿宋"/>
          <w:color w:val="auto"/>
          <w:sz w:val="32"/>
          <w:szCs w:val="32"/>
          <w:highlight w:val="none"/>
        </w:rPr>
        <w:t>万元，主要包括：办公费、水费、电费、邮电费、差旅费、培训费、公务接待费、福利费、其他交通费、其他商品和服务支出等。</w:t>
      </w:r>
    </w:p>
    <w:p w14:paraId="742A1072">
      <w:pPr>
        <w:spacing w:line="600" w:lineRule="exact"/>
        <w:ind w:firstLine="640"/>
        <w:rPr>
          <w:rFonts w:ascii="仿宋" w:hAnsi="仿宋" w:eastAsia="仿宋"/>
          <w:b/>
          <w:color w:val="auto"/>
          <w:sz w:val="32"/>
          <w:szCs w:val="32"/>
          <w:highlight w:val="none"/>
        </w:rPr>
      </w:pPr>
    </w:p>
    <w:p w14:paraId="09619194">
      <w:pPr>
        <w:spacing w:line="600" w:lineRule="exact"/>
        <w:ind w:firstLine="640"/>
        <w:outlineLvl w:val="1"/>
        <w:rPr>
          <w:rStyle w:val="26"/>
          <w:rFonts w:ascii="黑体" w:hAnsi="黑体" w:eastAsia="黑体"/>
          <w:b w:val="0"/>
          <w:color w:val="auto"/>
          <w:highlight w:val="none"/>
        </w:rPr>
      </w:pPr>
      <w:bookmarkStart w:id="64" w:name="_Toc26282"/>
      <w:bookmarkStart w:id="65" w:name="_Toc15396609"/>
      <w:bookmarkStart w:id="66" w:name="_Toc15377215"/>
      <w:r>
        <w:rPr>
          <w:rFonts w:hint="eastAsia" w:ascii="黑体" w:eastAsia="黑体"/>
          <w:color w:val="auto"/>
          <w:sz w:val="32"/>
          <w:szCs w:val="32"/>
          <w:highlight w:val="none"/>
        </w:rPr>
        <w:t>七、</w:t>
      </w:r>
      <w:r>
        <w:rPr>
          <w:rStyle w:val="26"/>
          <w:rFonts w:hint="eastAsia" w:ascii="黑体" w:hAnsi="黑体" w:eastAsia="黑体"/>
          <w:b w:val="0"/>
          <w:color w:val="auto"/>
          <w:highlight w:val="none"/>
        </w:rPr>
        <w:t>财政拨款</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三公”经费支出决算情况说明</w:t>
      </w:r>
      <w:bookmarkEnd w:id="64"/>
      <w:bookmarkEnd w:id="65"/>
      <w:bookmarkEnd w:id="66"/>
    </w:p>
    <w:p w14:paraId="3C741014">
      <w:pPr>
        <w:spacing w:line="600" w:lineRule="exact"/>
        <w:ind w:firstLine="640"/>
        <w:outlineLvl w:val="2"/>
        <w:rPr>
          <w:rFonts w:ascii="仿宋" w:hAnsi="仿宋" w:eastAsia="仿宋"/>
          <w:b/>
          <w:color w:val="auto"/>
          <w:sz w:val="32"/>
          <w:szCs w:val="32"/>
          <w:highlight w:val="none"/>
        </w:rPr>
      </w:pPr>
      <w:bookmarkStart w:id="67" w:name="_Toc15377216"/>
      <w:r>
        <w:rPr>
          <w:rFonts w:hint="eastAsia" w:ascii="仿宋" w:hAnsi="仿宋" w:eastAsia="仿宋"/>
          <w:b/>
          <w:color w:val="auto"/>
          <w:sz w:val="32"/>
          <w:szCs w:val="32"/>
          <w:highlight w:val="none"/>
        </w:rPr>
        <w:t>（一）“三公”经费财政拨款支出决算总体情况说明</w:t>
      </w:r>
      <w:bookmarkEnd w:id="67"/>
    </w:p>
    <w:p w14:paraId="0CB92C35">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1.97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89.55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减少0.08万元，下降3.90%。</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公务接待费减少</w:t>
      </w:r>
      <w:r>
        <w:rPr>
          <w:rFonts w:hint="eastAsia" w:ascii="仿宋" w:hAnsi="仿宋" w:eastAsia="仿宋"/>
          <w:color w:val="auto"/>
          <w:sz w:val="32"/>
          <w:szCs w:val="32"/>
          <w:highlight w:val="none"/>
        </w:rPr>
        <w:t>。</w:t>
      </w:r>
    </w:p>
    <w:p w14:paraId="42C7703B">
      <w:pPr>
        <w:spacing w:line="600" w:lineRule="exact"/>
        <w:ind w:firstLine="640"/>
        <w:outlineLvl w:val="2"/>
        <w:rPr>
          <w:rFonts w:ascii="仿宋" w:hAnsi="仿宋" w:eastAsia="仿宋"/>
          <w:b/>
          <w:color w:val="auto"/>
          <w:sz w:val="32"/>
          <w:szCs w:val="32"/>
          <w:highlight w:val="none"/>
        </w:rPr>
      </w:pPr>
      <w:bookmarkStart w:id="68" w:name="_Toc15377217"/>
      <w:r>
        <w:rPr>
          <w:rFonts w:hint="eastAsia" w:ascii="仿宋" w:hAnsi="仿宋" w:eastAsia="仿宋"/>
          <w:b/>
          <w:color w:val="auto"/>
          <w:sz w:val="32"/>
          <w:szCs w:val="32"/>
          <w:highlight w:val="none"/>
        </w:rPr>
        <w:t>（二）“三公”经费财政拨款支出决算具体情况说明</w:t>
      </w:r>
      <w:bookmarkEnd w:id="68"/>
    </w:p>
    <w:p w14:paraId="12F1739B">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1.97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6277CC3F">
      <w:pPr>
        <w:spacing w:line="600" w:lineRule="exact"/>
        <w:ind w:firstLine="640"/>
        <w:rPr>
          <w:rFonts w:hint="default" w:ascii="仿宋" w:hAnsi="仿宋" w:eastAsia="仿宋"/>
          <w:color w:val="auto"/>
          <w:sz w:val="32"/>
          <w:szCs w:val="32"/>
          <w:highlight w:val="none"/>
          <w:lang w:val="en-US"/>
        </w:rPr>
      </w:pPr>
      <w:r>
        <w:rPr>
          <w:rFonts w:hint="eastAsia" w:ascii="仿宋" w:hAnsi="仿宋" w:eastAsia="仿宋"/>
          <w:color w:val="auto"/>
          <w:sz w:val="32"/>
          <w:szCs w:val="32"/>
          <w:highlight w:val="none"/>
          <w:lang w:eastAsia="zh-CN"/>
        </w:rPr>
        <w:t>图</w:t>
      </w:r>
      <w:r>
        <w:rPr>
          <w:rFonts w:hint="eastAsia" w:ascii="仿宋" w:hAnsi="仿宋" w:eastAsia="仿宋"/>
          <w:color w:val="auto"/>
          <w:sz w:val="32"/>
          <w:szCs w:val="32"/>
          <w:highlight w:val="none"/>
          <w:lang w:val="en-US" w:eastAsia="zh-CN"/>
        </w:rPr>
        <w:t>7：</w:t>
      </w:r>
    </w:p>
    <w:p w14:paraId="4317733B">
      <w:pPr>
        <w:spacing w:line="600" w:lineRule="exact"/>
        <w:ind w:firstLine="640"/>
        <w:rPr>
          <w:rFonts w:ascii="仿宋_GB2312" w:eastAsia="仿宋_GB2312"/>
          <w:b/>
          <w:color w:val="auto"/>
          <w:sz w:val="32"/>
          <w:szCs w:val="32"/>
          <w:highlight w:val="none"/>
        </w:rPr>
      </w:pPr>
    </w:p>
    <w:p w14:paraId="18075D58">
      <w:pPr>
        <w:spacing w:line="600" w:lineRule="exact"/>
        <w:ind w:firstLine="640"/>
        <w:rPr>
          <w:rFonts w:ascii="仿宋_GB2312" w:eastAsia="仿宋_GB2312"/>
          <w:color w:val="auto"/>
          <w:sz w:val="32"/>
          <w:szCs w:val="32"/>
          <w:highlight w:val="none"/>
        </w:rPr>
      </w:pPr>
      <w:r>
        <w:drawing>
          <wp:anchor distT="0" distB="0" distL="114300" distR="114300" simplePos="0" relativeHeight="251665408" behindDoc="0" locked="0" layoutInCell="1" allowOverlap="1">
            <wp:simplePos x="0" y="0"/>
            <wp:positionH relativeFrom="column">
              <wp:posOffset>306705</wp:posOffset>
            </wp:positionH>
            <wp:positionV relativeFrom="paragraph">
              <wp:posOffset>-250825</wp:posOffset>
            </wp:positionV>
            <wp:extent cx="4572000" cy="2743200"/>
            <wp:effectExtent l="4445" t="4445" r="14605" b="14605"/>
            <wp:wrapTopAndBottom/>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0.00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2AF646B0">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0.00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79C7E1C2">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3966366A">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14:paraId="128DA252">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1.97</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89.55</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0.08</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3.90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公务接待批次减少</w:t>
      </w:r>
      <w:r>
        <w:rPr>
          <w:rFonts w:hint="eastAsia" w:ascii="仿宋_GB2312" w:eastAsia="仿宋_GB2312"/>
          <w:color w:val="auto"/>
          <w:sz w:val="32"/>
          <w:szCs w:val="32"/>
          <w:highlight w:val="none"/>
        </w:rPr>
        <w:t>。其中：</w:t>
      </w:r>
    </w:p>
    <w:p w14:paraId="39DF79AC">
      <w:pPr>
        <w:spacing w:line="600" w:lineRule="exact"/>
        <w:ind w:firstLine="640"/>
        <w:rPr>
          <w:rFonts w:hint="default" w:ascii="仿宋_GB2312" w:eastAsia="仿宋_GB2312"/>
          <w:color w:val="auto"/>
          <w:sz w:val="32"/>
          <w:szCs w:val="32"/>
          <w:highlight w:val="none"/>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1.97</w:t>
      </w:r>
      <w:r>
        <w:rPr>
          <w:rFonts w:hint="eastAsia" w:ascii="仿宋_GB2312" w:eastAsia="仿宋_GB2312"/>
          <w:color w:val="auto"/>
          <w:sz w:val="32"/>
          <w:szCs w:val="32"/>
          <w:highlight w:val="none"/>
        </w:rPr>
        <w:t>万元，主要用于执行公务、开展业务活动开支用餐费。国内公务接待</w:t>
      </w:r>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138</w:t>
      </w:r>
      <w:r>
        <w:rPr>
          <w:rFonts w:hint="eastAsia" w:ascii="仿宋_GB2312" w:eastAsia="仿宋_GB2312"/>
          <w:color w:val="auto"/>
          <w:sz w:val="32"/>
          <w:szCs w:val="32"/>
          <w:highlight w:val="none"/>
        </w:rPr>
        <w:t>人次，共计支出</w:t>
      </w:r>
      <w:r>
        <w:rPr>
          <w:rFonts w:hint="eastAsia" w:ascii="仿宋_GB2312" w:eastAsia="仿宋_GB2312"/>
          <w:color w:val="auto"/>
          <w:sz w:val="32"/>
          <w:szCs w:val="32"/>
          <w:highlight w:val="none"/>
          <w:lang w:val="en-US" w:eastAsia="zh-CN"/>
        </w:rPr>
        <w:t>1.97</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val="en-US" w:eastAsia="zh-CN"/>
        </w:rPr>
        <w:t>1.支付接种隔离点检查接待费（随行6人，陪客1人）0.08万元；2.付评估易安驾校集中隔离医学观察点接待费（随行7人，陪客2人）0.13万元；3.付开展基层医疗卫生机构临床特色科室现场审核接待费（随行7人，陪客2人）0.13万元；4.付应急演练综合评估接待费（随行10人，陪客2人）0.11万元；5.付老年友善医疗机构市级评估接待费（随行5人，陪客1人）0.05万元；6.支付市爱卫办等部门对我县爱国卫生工作检查接待餐费0.05万元；7.支付市爱国卫生健康城市建设及健康攀枝花行动督查接待费（随行4人，陪客2人）0.08万元；8.支付市级爱国卫生工作和健康县城建设业务技术指导接待费用（对象5人，陪客3人）0.13万元；9.付招聘公共卫生特别服务岗人员面试准备工作餐费0.03万元；10.付市级技术指导我县省级慢性病综合防控示范区建设接待费用（11人）0.04万元；11.付全国示范性老年友好型社区省级复核接待餐费（随行7人，陪客5人）0.15万元；12.付县域医疗次中心建设省级验收接待餐费（随行15人，陪客3人）0.24万元；13.付隔离点安全生产联合检查接待餐费（随行10人，陪客2人）0.17万元；14.付方舱隔离点建设专项督导工作接待餐费（随行10人，陪客3人）0.16万元；15.付方舱隔离点建设省级验收接待餐费（随行12人，陪客3人）0.22万元；16.付医疗机构疫情防控交叉检查接待餐费（随行4人，陪客2人）0.08万元；17.付2022年托幼（育）机构卫生省级指导接待费（随行7人，陪客2人）0.07万元；18.付新冠疫苗接种推进情况督导接待餐费（随行3人，陪客1人）0.06万元。</w:t>
      </w:r>
    </w:p>
    <w:p w14:paraId="703AEB43">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14:paraId="5426C2BA">
      <w:pPr>
        <w:spacing w:line="600" w:lineRule="exact"/>
        <w:ind w:firstLine="640"/>
        <w:outlineLvl w:val="9"/>
        <w:rPr>
          <w:rFonts w:ascii="黑体" w:eastAsia="黑体"/>
          <w:color w:val="auto"/>
          <w:sz w:val="32"/>
          <w:szCs w:val="32"/>
          <w:highlight w:val="none"/>
        </w:rPr>
      </w:pPr>
      <w:bookmarkStart w:id="69" w:name="_Toc15377218"/>
      <w:bookmarkStart w:id="70" w:name="_Toc15396610"/>
    </w:p>
    <w:p w14:paraId="45274D8C">
      <w:pPr>
        <w:spacing w:line="600" w:lineRule="exact"/>
        <w:ind w:firstLine="640"/>
        <w:outlineLvl w:val="1"/>
        <w:rPr>
          <w:rStyle w:val="26"/>
          <w:rFonts w:ascii="黑体" w:hAnsi="黑体" w:eastAsia="黑体"/>
          <w:color w:val="auto"/>
          <w:highlight w:val="none"/>
        </w:rPr>
      </w:pPr>
      <w:bookmarkStart w:id="71" w:name="_Toc6298"/>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69"/>
      <w:bookmarkEnd w:id="70"/>
      <w:bookmarkEnd w:id="71"/>
    </w:p>
    <w:p w14:paraId="5458A7A8">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14:paraId="5A1A6F68">
      <w:pPr>
        <w:spacing w:line="600" w:lineRule="exact"/>
        <w:ind w:firstLine="640"/>
        <w:rPr>
          <w:rFonts w:ascii="仿宋_GB2312" w:eastAsia="仿宋_GB2312"/>
          <w:color w:val="auto"/>
          <w:sz w:val="32"/>
          <w:szCs w:val="32"/>
          <w:highlight w:val="none"/>
        </w:rPr>
      </w:pPr>
    </w:p>
    <w:p w14:paraId="6C07FE6C">
      <w:pPr>
        <w:numPr>
          <w:ilvl w:val="0"/>
          <w:numId w:val="4"/>
        </w:numPr>
        <w:spacing w:line="600" w:lineRule="exact"/>
        <w:ind w:firstLine="640"/>
        <w:outlineLvl w:val="1"/>
        <w:rPr>
          <w:rStyle w:val="26"/>
          <w:rFonts w:ascii="黑体" w:hAnsi="黑体" w:eastAsia="黑体"/>
          <w:b w:val="0"/>
          <w:color w:val="auto"/>
          <w:highlight w:val="none"/>
        </w:rPr>
      </w:pPr>
      <w:bookmarkStart w:id="72" w:name="_Toc15396611"/>
      <w:bookmarkStart w:id="73" w:name="_Toc15377219"/>
      <w:bookmarkStart w:id="74" w:name="_Toc31604"/>
      <w:r>
        <w:rPr>
          <w:rStyle w:val="26"/>
          <w:rFonts w:hint="eastAsia" w:ascii="黑体" w:hAnsi="黑体" w:eastAsia="黑体"/>
          <w:b w:val="0"/>
          <w:color w:val="auto"/>
          <w:highlight w:val="none"/>
        </w:rPr>
        <w:t>国有资本经营预算支出决算情况说明</w:t>
      </w:r>
      <w:bookmarkEnd w:id="72"/>
      <w:bookmarkEnd w:id="73"/>
      <w:bookmarkEnd w:id="74"/>
    </w:p>
    <w:p w14:paraId="589D3D88">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14:paraId="7E46397E">
      <w:pPr>
        <w:spacing w:line="580" w:lineRule="exact"/>
        <w:jc w:val="center"/>
        <w:rPr>
          <w:rFonts w:ascii="方正小标宋简体" w:hAnsi="方正小标宋简体" w:eastAsia="方正小标宋简体" w:cs="方正小标宋简体"/>
          <w:color w:val="auto"/>
          <w:sz w:val="44"/>
          <w:szCs w:val="44"/>
          <w:highlight w:val="none"/>
        </w:rPr>
      </w:pPr>
    </w:p>
    <w:p w14:paraId="2350DEC5">
      <w:pPr>
        <w:numPr>
          <w:ilvl w:val="0"/>
          <w:numId w:val="4"/>
        </w:numPr>
        <w:spacing w:line="600" w:lineRule="exact"/>
        <w:ind w:firstLine="640"/>
        <w:outlineLvl w:val="1"/>
        <w:rPr>
          <w:rStyle w:val="26"/>
          <w:rFonts w:hint="eastAsia" w:ascii="黑体" w:hAnsi="黑体" w:eastAsia="黑体"/>
          <w:b w:val="0"/>
          <w:color w:val="auto"/>
          <w:highlight w:val="none"/>
        </w:rPr>
      </w:pPr>
      <w:bookmarkStart w:id="75" w:name="_Toc15396612"/>
      <w:bookmarkStart w:id="76" w:name="_Toc15377221"/>
      <w:bookmarkStart w:id="77" w:name="_Toc8987"/>
      <w:r>
        <w:rPr>
          <w:rStyle w:val="26"/>
          <w:rFonts w:hint="eastAsia" w:ascii="黑体" w:hAnsi="黑体" w:eastAsia="黑体"/>
          <w:b w:val="0"/>
          <w:color w:val="auto"/>
          <w:highlight w:val="none"/>
        </w:rPr>
        <w:t>其他重要事项的情况说明</w:t>
      </w:r>
      <w:bookmarkEnd w:id="75"/>
      <w:bookmarkEnd w:id="76"/>
      <w:bookmarkEnd w:id="77"/>
    </w:p>
    <w:p w14:paraId="07160C4C">
      <w:pPr>
        <w:spacing w:line="600" w:lineRule="exact"/>
        <w:ind w:firstLine="643" w:firstLineChars="200"/>
        <w:outlineLvl w:val="2"/>
        <w:rPr>
          <w:rFonts w:ascii="仿宋" w:hAnsi="仿宋" w:eastAsia="仿宋"/>
          <w:color w:val="auto"/>
          <w:sz w:val="32"/>
          <w:szCs w:val="32"/>
          <w:highlight w:val="none"/>
        </w:rPr>
      </w:pPr>
      <w:bookmarkStart w:id="78" w:name="_Toc15377222"/>
      <w:r>
        <w:rPr>
          <w:rFonts w:hint="eastAsia" w:ascii="仿宋" w:hAnsi="仿宋" w:eastAsia="仿宋"/>
          <w:b/>
          <w:color w:val="auto"/>
          <w:sz w:val="32"/>
          <w:szCs w:val="32"/>
          <w:highlight w:val="none"/>
        </w:rPr>
        <w:t>（一）机关运行经费支出情况</w:t>
      </w:r>
      <w:bookmarkEnd w:id="78"/>
    </w:p>
    <w:p w14:paraId="52831E98">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米易县卫生健康局（本级）</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38.53</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4.74</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14.03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eastAsia="zh-CN"/>
        </w:rPr>
        <w:t>是公用经费增加。</w:t>
      </w:r>
    </w:p>
    <w:p w14:paraId="4960FC0B">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9" w:name="_Toc15377223"/>
      <w:r>
        <w:rPr>
          <w:rFonts w:hint="eastAsia" w:ascii="仿宋" w:hAnsi="仿宋" w:eastAsia="仿宋"/>
          <w:b/>
          <w:color w:val="auto"/>
          <w:sz w:val="32"/>
          <w:szCs w:val="32"/>
          <w:highlight w:val="none"/>
        </w:rPr>
        <w:t>（二）政府采购支出情况</w:t>
      </w:r>
      <w:bookmarkEnd w:id="79"/>
    </w:p>
    <w:p w14:paraId="5062FA4F">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米易县卫生健康局（本级）</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3AEA2E95">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0" w:name="_Toc15377224"/>
      <w:r>
        <w:rPr>
          <w:rFonts w:hint="eastAsia" w:ascii="仿宋" w:hAnsi="仿宋" w:eastAsia="仿宋"/>
          <w:b/>
          <w:color w:val="auto"/>
          <w:sz w:val="32"/>
          <w:szCs w:val="32"/>
          <w:highlight w:val="none"/>
        </w:rPr>
        <w:t>（三）国有资产占有使用情况</w:t>
      </w:r>
      <w:bookmarkEnd w:id="80"/>
    </w:p>
    <w:p w14:paraId="09A2A2E7">
      <w:pPr>
        <w:autoSpaceDE w:val="0"/>
        <w:autoSpaceDN w:val="0"/>
        <w:adjustRightInd w:val="0"/>
        <w:spacing w:line="600" w:lineRule="exact"/>
        <w:ind w:firstLine="640" w:firstLineChars="200"/>
        <w:jc w:val="left"/>
        <w:rPr>
          <w:rFonts w:ascii="仿宋" w:hAnsi="仿宋" w:eastAsia="仿宋"/>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米易县卫生健康局（本级）</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0802E8D7">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4715F5C1">
      <w:pPr>
        <w:pStyle w:val="2"/>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年度预算编制阶段，组织对村卫生室信息化网络费等</w:t>
      </w:r>
      <w:r>
        <w:rPr>
          <w:rFonts w:hint="eastAsia" w:hAnsi="仿宋_GB2312" w:cs="仿宋_GB2312"/>
          <w:color w:val="auto"/>
          <w:sz w:val="32"/>
          <w:szCs w:val="32"/>
          <w:highlight w:val="none"/>
          <w:lang w:val="en-US" w:eastAsia="zh-CN"/>
        </w:rPr>
        <w:t>69</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69</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69</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69</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14:paraId="094027EA">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65841605">
      <w:pPr>
        <w:numPr>
          <w:ilvl w:val="0"/>
          <w:numId w:val="5"/>
        </w:numPr>
        <w:spacing w:line="600" w:lineRule="exact"/>
        <w:ind w:firstLine="660" w:firstLineChars="150"/>
        <w:jc w:val="center"/>
        <w:outlineLvl w:val="0"/>
        <w:rPr>
          <w:rStyle w:val="25"/>
          <w:rFonts w:ascii="黑体" w:hAnsi="黑体" w:eastAsia="黑体"/>
          <w:b w:val="0"/>
          <w:color w:val="auto"/>
          <w:highlight w:val="none"/>
        </w:rPr>
      </w:pPr>
      <w:bookmarkStart w:id="81" w:name="_Toc15396613"/>
      <w:bookmarkStart w:id="82" w:name="_Toc15377225"/>
      <w:bookmarkStart w:id="83" w:name="_Toc19699"/>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81"/>
      <w:bookmarkEnd w:id="82"/>
      <w:bookmarkEnd w:id="83"/>
    </w:p>
    <w:p w14:paraId="0476E724">
      <w:pPr>
        <w:spacing w:line="600" w:lineRule="exact"/>
        <w:jc w:val="left"/>
        <w:rPr>
          <w:rFonts w:ascii="宋体"/>
          <w:b/>
          <w:color w:val="auto"/>
          <w:sz w:val="44"/>
          <w:szCs w:val="44"/>
          <w:highlight w:val="none"/>
        </w:rPr>
      </w:pPr>
    </w:p>
    <w:p w14:paraId="3AC3DBA3">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2ADE7FB7">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7B3A7D19">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年末结转和结余：指单位按有关规定结转到下年或以后年度继续使用的资金。</w:t>
      </w:r>
    </w:p>
    <w:p w14:paraId="530BA1A2">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12956D3D">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267EA5E4">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Start w:id="116" w:name="_GoBack"/>
      <w:bookmarkEnd w:id="116"/>
    </w:p>
    <w:p w14:paraId="58C5D5B1">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9A864A9">
      <w:pPr>
        <w:spacing w:line="600" w:lineRule="exact"/>
        <w:jc w:val="center"/>
        <w:outlineLvl w:val="0"/>
        <w:rPr>
          <w:rStyle w:val="25"/>
          <w:rFonts w:ascii="黑体" w:hAnsi="黑体" w:eastAsia="黑体"/>
          <w:b w:val="0"/>
          <w:color w:val="auto"/>
          <w:highlight w:val="none"/>
        </w:rPr>
      </w:pPr>
      <w:bookmarkStart w:id="84" w:name="_Toc15377226"/>
      <w:r>
        <w:rPr>
          <w:rFonts w:ascii="宋体"/>
          <w:b/>
          <w:color w:val="auto"/>
          <w:sz w:val="44"/>
          <w:szCs w:val="44"/>
          <w:highlight w:val="none"/>
        </w:rPr>
        <w:br w:type="page"/>
      </w:r>
      <w:bookmarkStart w:id="85" w:name="_Toc30894"/>
      <w:bookmarkStart w:id="86" w:name="_Toc15396614"/>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85"/>
      <w:bookmarkEnd w:id="86"/>
    </w:p>
    <w:p w14:paraId="6F96F359">
      <w:pPr>
        <w:keepNext w:val="0"/>
        <w:keepLines w:val="0"/>
        <w:pageBreakBefore w:val="0"/>
        <w:kinsoku/>
        <w:wordWrap/>
        <w:overflowPunct/>
        <w:topLinePunct w:val="0"/>
        <w:autoSpaceDE/>
        <w:autoSpaceDN/>
        <w:bidi w:val="0"/>
        <w:spacing w:line="572" w:lineRule="exact"/>
        <w:jc w:val="left"/>
        <w:textAlignment w:val="auto"/>
        <w:outlineLvl w:val="9"/>
        <w:rPr>
          <w:rFonts w:ascii="仿宋_GB2312" w:hAnsi="仿宋_GB2312" w:eastAsia="仿宋_GB2312" w:cs="仿宋_GB2312"/>
          <w:color w:val="auto"/>
          <w:sz w:val="32"/>
          <w:szCs w:val="32"/>
          <w:highlight w:val="none"/>
        </w:rPr>
      </w:pPr>
    </w:p>
    <w:p w14:paraId="2886DD3E">
      <w:pPr>
        <w:spacing w:line="600" w:lineRule="exact"/>
        <w:jc w:val="left"/>
        <w:outlineLvl w:val="0"/>
        <w:rPr>
          <w:rFonts w:hint="default" w:ascii="宋体" w:hAnsi="宋体" w:eastAsia="宋体" w:cs="宋体"/>
          <w:color w:val="auto"/>
          <w:kern w:val="0"/>
          <w:sz w:val="32"/>
          <w:szCs w:val="32"/>
          <w:highlight w:val="none"/>
          <w:lang w:val="en-US" w:eastAsia="zh-CN" w:bidi="ar-SA"/>
        </w:rPr>
      </w:pPr>
      <w:bookmarkStart w:id="87" w:name="_Toc5799"/>
      <w:bookmarkStart w:id="88" w:name="_Toc15396618"/>
      <w:r>
        <w:rPr>
          <w:rFonts w:hint="eastAsia" w:ascii="宋体" w:hAnsi="宋体" w:cs="宋体"/>
          <w:color w:val="auto"/>
          <w:kern w:val="0"/>
          <w:sz w:val="32"/>
          <w:szCs w:val="32"/>
          <w:highlight w:val="none"/>
          <w:lang w:val="en-US" w:eastAsia="zh-CN" w:bidi="ar-SA"/>
        </w:rPr>
        <w:t>见附件3：2022年度米易县卫生健康局（本级）</w:t>
      </w:r>
      <w:r>
        <w:rPr>
          <w:rFonts w:hint="eastAsia" w:ascii="宋体" w:hAnsi="宋体" w:eastAsia="宋体" w:cs="宋体"/>
          <w:color w:val="auto"/>
          <w:kern w:val="0"/>
          <w:sz w:val="32"/>
          <w:szCs w:val="32"/>
          <w:highlight w:val="none"/>
          <w:lang w:val="en-US" w:eastAsia="zh-CN" w:bidi="ar-SA"/>
        </w:rPr>
        <w:t>预算项目支出绩效自评表</w:t>
      </w:r>
      <w:r>
        <w:rPr>
          <w:rFonts w:hint="eastAsia" w:ascii="宋体" w:hAnsi="宋体" w:cs="宋体"/>
          <w:color w:val="auto"/>
          <w:kern w:val="0"/>
          <w:sz w:val="32"/>
          <w:szCs w:val="32"/>
          <w:highlight w:val="none"/>
          <w:lang w:val="en-US" w:eastAsia="zh-CN" w:bidi="ar-SA"/>
        </w:rPr>
        <w:t xml:space="preserve"> </w:t>
      </w:r>
      <w:bookmarkEnd w:id="87"/>
    </w:p>
    <w:p w14:paraId="161653DD">
      <w:pPr>
        <w:spacing w:line="600" w:lineRule="exact"/>
        <w:jc w:val="left"/>
        <w:outlineLvl w:val="9"/>
        <w:rPr>
          <w:rFonts w:hint="eastAsia" w:ascii="仿宋_GB2312" w:hAnsi="Calibri" w:eastAsia="仿宋_GB2312" w:cs="仿宋"/>
          <w:color w:val="auto"/>
          <w:kern w:val="0"/>
          <w:sz w:val="32"/>
          <w:szCs w:val="32"/>
          <w:highlight w:val="none"/>
          <w:lang w:val="en-US" w:eastAsia="zh-CN" w:bidi="ar-SA"/>
        </w:rPr>
      </w:pPr>
    </w:p>
    <w:p w14:paraId="3F62A2AF">
      <w:pPr>
        <w:pStyle w:val="2"/>
        <w:rPr>
          <w:rFonts w:hint="eastAsia" w:ascii="仿宋_GB2312" w:hAnsi="Calibri" w:eastAsia="仿宋_GB2312" w:cs="仿宋"/>
          <w:color w:val="auto"/>
          <w:kern w:val="0"/>
          <w:sz w:val="32"/>
          <w:szCs w:val="32"/>
          <w:highlight w:val="none"/>
          <w:lang w:val="en-US" w:eastAsia="zh-CN" w:bidi="ar-SA"/>
        </w:rPr>
      </w:pPr>
    </w:p>
    <w:p w14:paraId="3A18383F">
      <w:pPr>
        <w:pStyle w:val="2"/>
        <w:rPr>
          <w:rFonts w:hint="eastAsia" w:ascii="仿宋_GB2312" w:hAnsi="Calibri" w:eastAsia="仿宋_GB2312" w:cs="仿宋"/>
          <w:color w:val="auto"/>
          <w:kern w:val="0"/>
          <w:sz w:val="32"/>
          <w:szCs w:val="32"/>
          <w:highlight w:val="none"/>
          <w:lang w:val="en-US" w:eastAsia="zh-CN" w:bidi="ar-SA"/>
        </w:rPr>
      </w:pPr>
    </w:p>
    <w:p w14:paraId="7F94E28F">
      <w:pPr>
        <w:pStyle w:val="2"/>
        <w:rPr>
          <w:rFonts w:hint="eastAsia" w:ascii="仿宋_GB2312" w:hAnsi="Calibri" w:eastAsia="仿宋_GB2312" w:cs="仿宋"/>
          <w:color w:val="auto"/>
          <w:kern w:val="0"/>
          <w:sz w:val="32"/>
          <w:szCs w:val="32"/>
          <w:highlight w:val="none"/>
          <w:lang w:val="en-US" w:eastAsia="zh-CN" w:bidi="ar-SA"/>
        </w:rPr>
      </w:pPr>
    </w:p>
    <w:p w14:paraId="37C2B1CA">
      <w:pPr>
        <w:pStyle w:val="2"/>
        <w:rPr>
          <w:rFonts w:hint="eastAsia" w:ascii="仿宋_GB2312" w:hAnsi="Calibri" w:eastAsia="仿宋_GB2312" w:cs="仿宋"/>
          <w:color w:val="auto"/>
          <w:kern w:val="0"/>
          <w:sz w:val="32"/>
          <w:szCs w:val="32"/>
          <w:highlight w:val="none"/>
          <w:lang w:val="en-US" w:eastAsia="zh-CN" w:bidi="ar-SA"/>
        </w:rPr>
      </w:pPr>
    </w:p>
    <w:p w14:paraId="18F99AF3">
      <w:pPr>
        <w:pStyle w:val="2"/>
        <w:rPr>
          <w:rFonts w:hint="eastAsia" w:ascii="仿宋_GB2312" w:hAnsi="Calibri" w:eastAsia="仿宋_GB2312" w:cs="仿宋"/>
          <w:color w:val="auto"/>
          <w:kern w:val="0"/>
          <w:sz w:val="32"/>
          <w:szCs w:val="32"/>
          <w:highlight w:val="none"/>
          <w:lang w:val="en-US" w:eastAsia="zh-CN" w:bidi="ar-SA"/>
        </w:rPr>
      </w:pPr>
    </w:p>
    <w:p w14:paraId="1B9A1E67">
      <w:pPr>
        <w:pStyle w:val="2"/>
        <w:rPr>
          <w:rFonts w:hint="eastAsia" w:ascii="仿宋_GB2312" w:hAnsi="Calibri" w:eastAsia="仿宋_GB2312" w:cs="仿宋"/>
          <w:color w:val="auto"/>
          <w:kern w:val="0"/>
          <w:sz w:val="32"/>
          <w:szCs w:val="32"/>
          <w:highlight w:val="none"/>
          <w:lang w:val="en-US" w:eastAsia="zh-CN" w:bidi="ar-SA"/>
        </w:rPr>
      </w:pPr>
    </w:p>
    <w:p w14:paraId="4F3B58FB">
      <w:pPr>
        <w:pStyle w:val="2"/>
        <w:rPr>
          <w:rFonts w:hint="eastAsia" w:ascii="仿宋_GB2312" w:hAnsi="Calibri" w:eastAsia="仿宋_GB2312" w:cs="仿宋"/>
          <w:color w:val="auto"/>
          <w:kern w:val="0"/>
          <w:sz w:val="32"/>
          <w:szCs w:val="32"/>
          <w:highlight w:val="none"/>
          <w:lang w:val="en-US" w:eastAsia="zh-CN" w:bidi="ar-SA"/>
        </w:rPr>
      </w:pPr>
    </w:p>
    <w:p w14:paraId="0BB30FE7">
      <w:pPr>
        <w:pStyle w:val="2"/>
        <w:rPr>
          <w:rFonts w:hint="eastAsia" w:ascii="仿宋_GB2312" w:hAnsi="Calibri" w:eastAsia="仿宋_GB2312" w:cs="仿宋"/>
          <w:color w:val="auto"/>
          <w:kern w:val="0"/>
          <w:sz w:val="32"/>
          <w:szCs w:val="32"/>
          <w:highlight w:val="none"/>
          <w:lang w:val="en-US" w:eastAsia="zh-CN" w:bidi="ar-SA"/>
        </w:rPr>
      </w:pPr>
    </w:p>
    <w:p w14:paraId="6BC1758A">
      <w:pPr>
        <w:pStyle w:val="2"/>
        <w:rPr>
          <w:rFonts w:hint="eastAsia" w:ascii="仿宋_GB2312" w:hAnsi="Calibri" w:eastAsia="仿宋_GB2312" w:cs="仿宋"/>
          <w:color w:val="auto"/>
          <w:kern w:val="0"/>
          <w:sz w:val="32"/>
          <w:szCs w:val="32"/>
          <w:highlight w:val="none"/>
          <w:lang w:val="en-US" w:eastAsia="zh-CN" w:bidi="ar-SA"/>
        </w:rPr>
      </w:pPr>
    </w:p>
    <w:p w14:paraId="73DE86E1">
      <w:pPr>
        <w:pStyle w:val="2"/>
        <w:rPr>
          <w:rFonts w:hint="eastAsia" w:ascii="仿宋_GB2312" w:hAnsi="Calibri" w:eastAsia="仿宋_GB2312" w:cs="仿宋"/>
          <w:color w:val="auto"/>
          <w:kern w:val="0"/>
          <w:sz w:val="32"/>
          <w:szCs w:val="32"/>
          <w:highlight w:val="none"/>
          <w:lang w:val="en-US" w:eastAsia="zh-CN" w:bidi="ar-SA"/>
        </w:rPr>
      </w:pPr>
    </w:p>
    <w:p w14:paraId="7145A713">
      <w:pPr>
        <w:pStyle w:val="2"/>
        <w:rPr>
          <w:rFonts w:hint="eastAsia" w:ascii="仿宋_GB2312" w:hAnsi="Calibri" w:eastAsia="仿宋_GB2312" w:cs="仿宋"/>
          <w:color w:val="auto"/>
          <w:kern w:val="0"/>
          <w:sz w:val="32"/>
          <w:szCs w:val="32"/>
          <w:highlight w:val="none"/>
          <w:lang w:val="en-US" w:eastAsia="zh-CN" w:bidi="ar-SA"/>
        </w:rPr>
      </w:pPr>
    </w:p>
    <w:p w14:paraId="5440AA97">
      <w:pPr>
        <w:pStyle w:val="2"/>
        <w:rPr>
          <w:rFonts w:hint="eastAsia" w:ascii="仿宋_GB2312" w:hAnsi="Calibri" w:eastAsia="仿宋_GB2312" w:cs="仿宋"/>
          <w:color w:val="auto"/>
          <w:kern w:val="0"/>
          <w:sz w:val="32"/>
          <w:szCs w:val="32"/>
          <w:highlight w:val="none"/>
          <w:lang w:val="en-US" w:eastAsia="zh-CN" w:bidi="ar-SA"/>
        </w:rPr>
      </w:pPr>
    </w:p>
    <w:p w14:paraId="6217DDB1">
      <w:pPr>
        <w:pStyle w:val="2"/>
        <w:rPr>
          <w:rFonts w:hint="eastAsia" w:ascii="仿宋_GB2312" w:hAnsi="Calibri" w:eastAsia="仿宋_GB2312" w:cs="仿宋"/>
          <w:color w:val="auto"/>
          <w:kern w:val="0"/>
          <w:sz w:val="32"/>
          <w:szCs w:val="32"/>
          <w:highlight w:val="none"/>
          <w:lang w:val="en-US" w:eastAsia="zh-CN" w:bidi="ar-SA"/>
        </w:rPr>
      </w:pPr>
    </w:p>
    <w:p w14:paraId="73D2E1ED">
      <w:pPr>
        <w:pStyle w:val="2"/>
        <w:rPr>
          <w:rFonts w:hint="eastAsia" w:ascii="仿宋_GB2312" w:hAnsi="Calibri" w:eastAsia="仿宋_GB2312" w:cs="仿宋"/>
          <w:color w:val="auto"/>
          <w:kern w:val="0"/>
          <w:sz w:val="32"/>
          <w:szCs w:val="32"/>
          <w:highlight w:val="none"/>
          <w:lang w:val="en-US" w:eastAsia="zh-CN" w:bidi="ar-SA"/>
        </w:rPr>
      </w:pPr>
    </w:p>
    <w:p w14:paraId="53814E38">
      <w:pPr>
        <w:pStyle w:val="2"/>
        <w:rPr>
          <w:rFonts w:hint="eastAsia" w:ascii="仿宋_GB2312" w:hAnsi="Calibri" w:eastAsia="仿宋_GB2312" w:cs="仿宋"/>
          <w:color w:val="auto"/>
          <w:kern w:val="0"/>
          <w:sz w:val="32"/>
          <w:szCs w:val="32"/>
          <w:highlight w:val="none"/>
          <w:lang w:val="en-US" w:eastAsia="zh-CN" w:bidi="ar-SA"/>
        </w:rPr>
      </w:pPr>
    </w:p>
    <w:p w14:paraId="72DE2991">
      <w:pPr>
        <w:pStyle w:val="2"/>
        <w:rPr>
          <w:rFonts w:hint="eastAsia" w:ascii="仿宋_GB2312" w:hAnsi="Calibri" w:eastAsia="仿宋_GB2312" w:cs="仿宋"/>
          <w:color w:val="auto"/>
          <w:kern w:val="0"/>
          <w:sz w:val="32"/>
          <w:szCs w:val="32"/>
          <w:highlight w:val="none"/>
          <w:lang w:val="en-US" w:eastAsia="zh-CN" w:bidi="ar-SA"/>
        </w:rPr>
      </w:pPr>
    </w:p>
    <w:p w14:paraId="1A932B9B">
      <w:pPr>
        <w:spacing w:line="600" w:lineRule="exact"/>
        <w:jc w:val="center"/>
        <w:outlineLvl w:val="0"/>
        <w:rPr>
          <w:rFonts w:hint="eastAsia" w:ascii="仿宋" w:hAnsi="仿宋" w:eastAsia="仿宋"/>
          <w:b w:val="0"/>
          <w:color w:val="auto"/>
          <w:highlight w:val="none"/>
        </w:rPr>
      </w:pPr>
      <w:bookmarkStart w:id="89" w:name="_Toc17008"/>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84"/>
      <w:bookmarkEnd w:id="88"/>
      <w:bookmarkEnd w:id="89"/>
      <w:bookmarkStart w:id="90" w:name="_Toc15396619"/>
    </w:p>
    <w:p w14:paraId="6BB0A34F">
      <w:pPr>
        <w:pStyle w:val="4"/>
        <w:rPr>
          <w:rFonts w:ascii="仿宋" w:hAnsi="仿宋" w:eastAsia="仿宋"/>
          <w:color w:val="auto"/>
          <w:highlight w:val="none"/>
        </w:rPr>
      </w:pPr>
      <w:bookmarkStart w:id="91" w:name="_Toc12899"/>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90"/>
      <w:bookmarkEnd w:id="91"/>
    </w:p>
    <w:p w14:paraId="46456AE0">
      <w:pPr>
        <w:pStyle w:val="4"/>
        <w:rPr>
          <w:rFonts w:ascii="仿宋" w:hAnsi="仿宋" w:eastAsia="仿宋"/>
          <w:color w:val="auto"/>
          <w:highlight w:val="none"/>
        </w:rPr>
      </w:pPr>
      <w:bookmarkStart w:id="92" w:name="_Toc15188"/>
      <w:bookmarkStart w:id="93"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92"/>
      <w:bookmarkEnd w:id="93"/>
    </w:p>
    <w:p w14:paraId="7DAD96DC">
      <w:pPr>
        <w:pStyle w:val="4"/>
        <w:rPr>
          <w:rFonts w:ascii="仿宋" w:hAnsi="仿宋" w:eastAsia="仿宋"/>
          <w:color w:val="auto"/>
          <w:highlight w:val="none"/>
        </w:rPr>
      </w:pPr>
      <w:bookmarkStart w:id="94" w:name="_Toc15894"/>
      <w:bookmarkStart w:id="95" w:name="_Toc153966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94"/>
      <w:bookmarkEnd w:id="95"/>
    </w:p>
    <w:p w14:paraId="5D0FC498">
      <w:pPr>
        <w:pStyle w:val="4"/>
        <w:rPr>
          <w:rFonts w:ascii="仿宋" w:hAnsi="仿宋" w:eastAsia="仿宋"/>
          <w:b w:val="0"/>
          <w:color w:val="auto"/>
          <w:highlight w:val="none"/>
        </w:rPr>
      </w:pPr>
      <w:bookmarkStart w:id="96" w:name="_Toc15396622"/>
      <w:bookmarkStart w:id="97" w:name="_Toc9540"/>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96"/>
      <w:bookmarkEnd w:id="97"/>
    </w:p>
    <w:p w14:paraId="2809B83D">
      <w:pPr>
        <w:pStyle w:val="4"/>
        <w:rPr>
          <w:rStyle w:val="26"/>
          <w:rFonts w:ascii="仿宋" w:hAnsi="仿宋" w:eastAsia="仿宋"/>
          <w:b w:val="0"/>
          <w:bCs w:val="0"/>
          <w:color w:val="auto"/>
          <w:highlight w:val="none"/>
        </w:rPr>
      </w:pPr>
      <w:bookmarkStart w:id="98" w:name="_Toc15396623"/>
      <w:bookmarkStart w:id="99" w:name="_Toc2256"/>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98"/>
      <w:bookmarkEnd w:id="99"/>
      <w:bookmarkStart w:id="100" w:name="_Toc15396624"/>
    </w:p>
    <w:p w14:paraId="25BD71B1">
      <w:pPr>
        <w:pStyle w:val="4"/>
        <w:rPr>
          <w:rFonts w:ascii="仿宋" w:hAnsi="仿宋" w:eastAsia="仿宋"/>
          <w:color w:val="auto"/>
          <w:highlight w:val="none"/>
        </w:rPr>
      </w:pPr>
      <w:bookmarkStart w:id="101" w:name="_Toc7319"/>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100"/>
      <w:bookmarkEnd w:id="101"/>
    </w:p>
    <w:p w14:paraId="4A94E869">
      <w:pPr>
        <w:pStyle w:val="4"/>
        <w:rPr>
          <w:rFonts w:ascii="仿宋" w:hAnsi="仿宋" w:eastAsia="仿宋"/>
          <w:color w:val="auto"/>
          <w:highlight w:val="none"/>
        </w:rPr>
      </w:pPr>
      <w:bookmarkStart w:id="102" w:name="_Toc15396625"/>
      <w:bookmarkStart w:id="103" w:name="_Toc18670"/>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102"/>
      <w:bookmarkEnd w:id="103"/>
    </w:p>
    <w:p w14:paraId="6043777F">
      <w:pPr>
        <w:pStyle w:val="4"/>
        <w:rPr>
          <w:rFonts w:ascii="仿宋" w:hAnsi="仿宋" w:eastAsia="仿宋"/>
          <w:color w:val="auto"/>
          <w:highlight w:val="none"/>
        </w:rPr>
      </w:pPr>
      <w:bookmarkStart w:id="104" w:name="_Toc15396626"/>
      <w:bookmarkStart w:id="105" w:name="_Toc25621"/>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104"/>
      <w:bookmarkEnd w:id="105"/>
    </w:p>
    <w:p w14:paraId="1DF00117">
      <w:pPr>
        <w:pStyle w:val="4"/>
        <w:rPr>
          <w:rFonts w:ascii="仿宋" w:hAnsi="仿宋" w:eastAsia="仿宋"/>
          <w:color w:val="auto"/>
          <w:highlight w:val="none"/>
        </w:rPr>
      </w:pPr>
      <w:bookmarkStart w:id="106" w:name="_Toc27789"/>
      <w:bookmarkStart w:id="107"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106"/>
      <w:bookmarkEnd w:id="107"/>
    </w:p>
    <w:p w14:paraId="7F2BD52A">
      <w:pPr>
        <w:pStyle w:val="4"/>
        <w:rPr>
          <w:rFonts w:ascii="仿宋" w:hAnsi="仿宋" w:eastAsia="仿宋"/>
          <w:color w:val="auto"/>
          <w:highlight w:val="none"/>
        </w:rPr>
      </w:pPr>
      <w:bookmarkStart w:id="108" w:name="_Toc15396628"/>
      <w:bookmarkStart w:id="109" w:name="_Toc22032"/>
      <w:r>
        <w:rPr>
          <w:rStyle w:val="26"/>
          <w:rFonts w:hint="eastAsia" w:ascii="仿宋" w:hAnsi="仿宋" w:eastAsia="仿宋"/>
          <w:b w:val="0"/>
          <w:bCs w:val="0"/>
          <w:color w:val="auto"/>
          <w:highlight w:val="none"/>
        </w:rPr>
        <w:t>十、</w:t>
      </w:r>
      <w:bookmarkEnd w:id="108"/>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109"/>
    </w:p>
    <w:p w14:paraId="47C30205">
      <w:pPr>
        <w:pStyle w:val="4"/>
        <w:rPr>
          <w:rFonts w:ascii="仿宋" w:hAnsi="仿宋" w:eastAsia="仿宋"/>
          <w:color w:val="auto"/>
          <w:highlight w:val="none"/>
        </w:rPr>
      </w:pPr>
      <w:bookmarkStart w:id="110" w:name="_Toc15396629"/>
      <w:bookmarkStart w:id="111" w:name="_Toc7862"/>
      <w:r>
        <w:rPr>
          <w:rStyle w:val="26"/>
          <w:rFonts w:hint="eastAsia" w:ascii="仿宋" w:hAnsi="仿宋" w:eastAsia="仿宋"/>
          <w:b w:val="0"/>
          <w:bCs w:val="0"/>
          <w:color w:val="auto"/>
          <w:highlight w:val="none"/>
        </w:rPr>
        <w:t>十一、</w:t>
      </w:r>
      <w:bookmarkEnd w:id="110"/>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111"/>
    </w:p>
    <w:p w14:paraId="04C334CE">
      <w:pPr>
        <w:pStyle w:val="4"/>
        <w:rPr>
          <w:rFonts w:ascii="仿宋" w:hAnsi="仿宋" w:eastAsia="仿宋"/>
          <w:color w:val="auto"/>
          <w:highlight w:val="none"/>
        </w:rPr>
      </w:pPr>
      <w:bookmarkStart w:id="112" w:name="_Toc15396630"/>
      <w:bookmarkStart w:id="113" w:name="_Toc19299"/>
      <w:r>
        <w:rPr>
          <w:rStyle w:val="26"/>
          <w:rFonts w:hint="eastAsia" w:ascii="仿宋" w:hAnsi="仿宋" w:eastAsia="仿宋"/>
          <w:b w:val="0"/>
          <w:bCs w:val="0"/>
          <w:color w:val="auto"/>
          <w:highlight w:val="none"/>
        </w:rPr>
        <w:t>十二、</w:t>
      </w:r>
      <w:bookmarkEnd w:id="112"/>
      <w:r>
        <w:rPr>
          <w:rStyle w:val="26"/>
          <w:rFonts w:hint="eastAsia" w:ascii="仿宋" w:hAnsi="仿宋" w:eastAsia="仿宋"/>
          <w:b w:val="0"/>
          <w:bCs w:val="0"/>
          <w:color w:val="auto"/>
          <w:highlight w:val="none"/>
          <w:lang w:eastAsia="zh-CN"/>
        </w:rPr>
        <w:t>国有资本经营预算财政拨款支出决算表</w:t>
      </w:r>
      <w:bookmarkEnd w:id="113"/>
    </w:p>
    <w:p w14:paraId="04D8FCED">
      <w:pPr>
        <w:pStyle w:val="4"/>
        <w:rPr>
          <w:rFonts w:hint="eastAsia" w:eastAsia="仿宋"/>
          <w:color w:val="auto"/>
          <w:highlight w:val="none"/>
          <w:lang w:eastAsia="zh-CN"/>
        </w:rPr>
      </w:pPr>
      <w:bookmarkStart w:id="114" w:name="_Toc15396631"/>
      <w:bookmarkStart w:id="115" w:name="_Toc12011"/>
      <w:r>
        <w:rPr>
          <w:rStyle w:val="26"/>
          <w:rFonts w:hint="eastAsia" w:ascii="仿宋" w:hAnsi="仿宋" w:eastAsia="仿宋"/>
          <w:b w:val="0"/>
          <w:bCs w:val="0"/>
          <w:color w:val="auto"/>
          <w:highlight w:val="none"/>
        </w:rPr>
        <w:t>十三、</w:t>
      </w:r>
      <w:bookmarkEnd w:id="114"/>
      <w:r>
        <w:rPr>
          <w:rStyle w:val="26"/>
          <w:rFonts w:hint="eastAsia" w:ascii="仿宋" w:hAnsi="仿宋" w:eastAsia="仿宋"/>
          <w:b w:val="0"/>
          <w:bCs w:val="0"/>
          <w:color w:val="auto"/>
          <w:highlight w:val="none"/>
          <w:lang w:eastAsia="zh-CN"/>
        </w:rPr>
        <w:t>财政拨款“三公”经费支出决算表</w:t>
      </w:r>
      <w:bookmarkEnd w:id="11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26AFE19">
        <w:pPr>
          <w:pStyle w:val="9"/>
          <w:jc w:val="center"/>
        </w:pPr>
        <w:r>
          <w:fldChar w:fldCharType="begin"/>
        </w:r>
        <w:r>
          <w:instrText xml:space="preserve">PAGE   \* MERGEFORMAT</w:instrText>
        </w:r>
        <w:r>
          <w:fldChar w:fldCharType="separate"/>
        </w:r>
        <w:r>
          <w:rPr>
            <w:lang w:val="zh-CN"/>
          </w:rPr>
          <w:t>8</w:t>
        </w:r>
        <w:r>
          <w:fldChar w:fldCharType="end"/>
        </w:r>
      </w:p>
    </w:sdtContent>
  </w:sdt>
  <w:p w14:paraId="5897AED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FA880">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E9E4C"/>
    <w:multiLevelType w:val="singleLevel"/>
    <w:tmpl w:val="B94E9E4C"/>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iY2UwMjVlYzJkOTYwNjY3ZDU0OWJiODJjYmRlMT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0E98"/>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C7B27"/>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A73D87"/>
    <w:rsid w:val="03AD58A1"/>
    <w:rsid w:val="053A62B5"/>
    <w:rsid w:val="0A2032A3"/>
    <w:rsid w:val="0A367389"/>
    <w:rsid w:val="0B8A37D8"/>
    <w:rsid w:val="0CBA114F"/>
    <w:rsid w:val="10C055FF"/>
    <w:rsid w:val="11305E06"/>
    <w:rsid w:val="118107EC"/>
    <w:rsid w:val="11DD6519"/>
    <w:rsid w:val="127522D9"/>
    <w:rsid w:val="1312743B"/>
    <w:rsid w:val="136A056A"/>
    <w:rsid w:val="16BB723D"/>
    <w:rsid w:val="18015F3F"/>
    <w:rsid w:val="183D6C61"/>
    <w:rsid w:val="18C9508D"/>
    <w:rsid w:val="19BD63F9"/>
    <w:rsid w:val="1BE8440E"/>
    <w:rsid w:val="1D155CEE"/>
    <w:rsid w:val="1E986E9B"/>
    <w:rsid w:val="20AE4CDA"/>
    <w:rsid w:val="20F57F95"/>
    <w:rsid w:val="2164628B"/>
    <w:rsid w:val="21B856E5"/>
    <w:rsid w:val="22F90E46"/>
    <w:rsid w:val="232E5C5F"/>
    <w:rsid w:val="23B23169"/>
    <w:rsid w:val="240371BF"/>
    <w:rsid w:val="25711CC6"/>
    <w:rsid w:val="25C741E6"/>
    <w:rsid w:val="274D4B60"/>
    <w:rsid w:val="27516D91"/>
    <w:rsid w:val="27842671"/>
    <w:rsid w:val="28E91FB3"/>
    <w:rsid w:val="29FD04D3"/>
    <w:rsid w:val="2ABE7A3E"/>
    <w:rsid w:val="2B5B5A5F"/>
    <w:rsid w:val="2B66701A"/>
    <w:rsid w:val="2CA234A8"/>
    <w:rsid w:val="2DFC1E35"/>
    <w:rsid w:val="2EB860B8"/>
    <w:rsid w:val="2EFA178C"/>
    <w:rsid w:val="30AD6EAD"/>
    <w:rsid w:val="30B46D73"/>
    <w:rsid w:val="30C47C02"/>
    <w:rsid w:val="30D55861"/>
    <w:rsid w:val="319F7F4E"/>
    <w:rsid w:val="31C82DF8"/>
    <w:rsid w:val="3211501E"/>
    <w:rsid w:val="346E3C2C"/>
    <w:rsid w:val="36BC750B"/>
    <w:rsid w:val="375872F6"/>
    <w:rsid w:val="37F87E3D"/>
    <w:rsid w:val="383D272C"/>
    <w:rsid w:val="38983CF2"/>
    <w:rsid w:val="396401D4"/>
    <w:rsid w:val="3996340C"/>
    <w:rsid w:val="39AE70AB"/>
    <w:rsid w:val="3AA410CF"/>
    <w:rsid w:val="3C0C0783"/>
    <w:rsid w:val="3C2861FC"/>
    <w:rsid w:val="3CAB413A"/>
    <w:rsid w:val="3CC20A35"/>
    <w:rsid w:val="3D87623F"/>
    <w:rsid w:val="3EFE69D5"/>
    <w:rsid w:val="3F9F3A96"/>
    <w:rsid w:val="40262E9D"/>
    <w:rsid w:val="406F36DC"/>
    <w:rsid w:val="44432503"/>
    <w:rsid w:val="446B7CEC"/>
    <w:rsid w:val="47330F7B"/>
    <w:rsid w:val="487D5702"/>
    <w:rsid w:val="48BF60AB"/>
    <w:rsid w:val="493C27E9"/>
    <w:rsid w:val="496F39ED"/>
    <w:rsid w:val="49C24A08"/>
    <w:rsid w:val="49FF41D3"/>
    <w:rsid w:val="4A480D8E"/>
    <w:rsid w:val="4A9D52F4"/>
    <w:rsid w:val="4B8D34D4"/>
    <w:rsid w:val="4BE068DB"/>
    <w:rsid w:val="4BF6002B"/>
    <w:rsid w:val="4D724A5F"/>
    <w:rsid w:val="4DCA43E4"/>
    <w:rsid w:val="4E1C6E78"/>
    <w:rsid w:val="4E3F17F9"/>
    <w:rsid w:val="4ECE2238"/>
    <w:rsid w:val="50C221A5"/>
    <w:rsid w:val="51DB4B86"/>
    <w:rsid w:val="52154A76"/>
    <w:rsid w:val="52997459"/>
    <w:rsid w:val="539774E2"/>
    <w:rsid w:val="5508638F"/>
    <w:rsid w:val="5527575F"/>
    <w:rsid w:val="55333C3E"/>
    <w:rsid w:val="55B46BA7"/>
    <w:rsid w:val="56693217"/>
    <w:rsid w:val="568B4B9B"/>
    <w:rsid w:val="57A75A04"/>
    <w:rsid w:val="58562C61"/>
    <w:rsid w:val="5CB05C91"/>
    <w:rsid w:val="5E721B2A"/>
    <w:rsid w:val="64CA39A1"/>
    <w:rsid w:val="68C321CF"/>
    <w:rsid w:val="69630ADE"/>
    <w:rsid w:val="697C44D9"/>
    <w:rsid w:val="6ACF6E78"/>
    <w:rsid w:val="6BEE00C4"/>
    <w:rsid w:val="6C4A05C8"/>
    <w:rsid w:val="6C825F73"/>
    <w:rsid w:val="6CFC710B"/>
    <w:rsid w:val="6D3B1A89"/>
    <w:rsid w:val="70710506"/>
    <w:rsid w:val="71BF4EC2"/>
    <w:rsid w:val="72734D90"/>
    <w:rsid w:val="7412278C"/>
    <w:rsid w:val="74307123"/>
    <w:rsid w:val="77F47BEE"/>
    <w:rsid w:val="785138B5"/>
    <w:rsid w:val="78E129F0"/>
    <w:rsid w:val="79E7B28D"/>
    <w:rsid w:val="7A810576"/>
    <w:rsid w:val="7B295149"/>
    <w:rsid w:val="7D7471B6"/>
    <w:rsid w:val="7E6D1FF1"/>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Salutation"/>
    <w:basedOn w:val="1"/>
    <w:next w:val="1"/>
    <w:qFormat/>
    <w:uiPriority w:val="0"/>
    <w:rPr>
      <w:szCs w:val="21"/>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NormalCharacter"/>
    <w:qFormat/>
    <w:uiPriority w:val="99"/>
    <w:rPr>
      <w:rFonts w:eastAsia="仿宋_GB2312"/>
      <w:kern w:val="2"/>
      <w:sz w:val="32"/>
      <w:szCs w:val="24"/>
      <w:lang w:val="en-US" w:eastAsia="zh-CN" w:bidi="ar-SA"/>
    </w:rPr>
  </w:style>
  <w:style w:type="character" w:customStyle="1" w:styleId="32">
    <w:name w:val="font01"/>
    <w:basedOn w:val="14"/>
    <w:qFormat/>
    <w:uiPriority w:val="0"/>
    <w:rPr>
      <w:rFonts w:ascii="Arial" w:hAnsi="Arial" w:cs="Arial"/>
      <w:color w:val="000000"/>
      <w:sz w:val="20"/>
      <w:szCs w:val="20"/>
      <w:u w:val="none"/>
    </w:rPr>
  </w:style>
  <w:style w:type="character" w:customStyle="1" w:styleId="33">
    <w:name w:val="font11"/>
    <w:basedOn w:val="14"/>
    <w:qFormat/>
    <w:uiPriority w:val="0"/>
    <w:rPr>
      <w:rFonts w:hint="eastAsia" w:ascii="宋体" w:hAnsi="宋体" w:eastAsia="宋体" w:cs="宋体"/>
      <w:color w:val="000000"/>
      <w:sz w:val="20"/>
      <w:szCs w:val="20"/>
      <w:u w:val="none"/>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收、支决算总计变动情况图（单位：万元）</a:t>
            </a:r>
          </a:p>
        </c:rich>
      </c:tx>
      <c:layout>
        <c:manualLayout>
          <c:xMode val="edge"/>
          <c:yMode val="edge"/>
          <c:x val="0.127083333333333"/>
          <c:y val="0.00657318141980719"/>
        </c:manualLayout>
      </c:layout>
      <c:overlay val="0"/>
      <c:spPr>
        <a:noFill/>
        <a:ln>
          <a:noFill/>
        </a:ln>
        <a:effectLst/>
      </c:spPr>
    </c:title>
    <c:autoTitleDeleted val="0"/>
    <c:plotArea>
      <c:layout>
        <c:manualLayout>
          <c:layoutTarget val="inner"/>
          <c:xMode val="edge"/>
          <c:yMode val="edge"/>
          <c:x val="0.0874444444444444"/>
          <c:y val="0.173842592592593"/>
          <c:w val="0.882"/>
          <c:h val="0.606111111111111"/>
        </c:manualLayout>
      </c:layout>
      <c:barChart>
        <c:barDir val="col"/>
        <c:grouping val="clustered"/>
        <c:varyColors val="0"/>
        <c:ser>
          <c:idx val="1"/>
          <c:order val="0"/>
          <c:tx>
            <c:strRef>
              <c:f>"收、之总计"</c:f>
              <c:strCache>
                <c:ptCount val="1"/>
                <c:pt idx="0">
                  <c:v>收、之总计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[工作簿1]Sheet1!$A$3:$B$3</c:f>
              <c:strCache>
                <c:ptCount val="2"/>
                <c:pt idx="0">
                  <c:v>2021年</c:v>
                </c:pt>
                <c:pt idx="1">
                  <c:v>2022年</c:v>
                </c:pt>
              </c:strCache>
            </c:strRef>
          </c:cat>
          <c:val>
            <c:numRef>
              <c:f>[工作簿1]Sheet1!$A$4:$B$4</c:f>
              <c:numCache>
                <c:formatCode>General</c:formatCode>
                <c:ptCount val="2"/>
                <c:pt idx="0">
                  <c:v>2852.35</c:v>
                </c:pt>
                <c:pt idx="1">
                  <c:v>2645.39</c:v>
                </c:pt>
              </c:numCache>
            </c:numRef>
          </c:val>
        </c:ser>
        <c:dLbls>
          <c:showLegendKey val="0"/>
          <c:showVal val="1"/>
          <c:showCatName val="0"/>
          <c:showSerName val="0"/>
          <c:showPercent val="0"/>
          <c:showBubbleSize val="0"/>
        </c:dLbls>
        <c:gapWidth val="219"/>
        <c:overlap val="-27"/>
        <c:axId val="418378634"/>
        <c:axId val="189781739"/>
      </c:barChart>
      <c:catAx>
        <c:axId val="41837863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9781739"/>
        <c:crosses val="autoZero"/>
        <c:auto val="1"/>
        <c:lblAlgn val="ctr"/>
        <c:lblOffset val="100"/>
        <c:noMultiLvlLbl val="0"/>
      </c:catAx>
      <c:valAx>
        <c:axId val="1897817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8378634"/>
        <c:crosses val="autoZero"/>
        <c:crossBetween val="between"/>
      </c:valAx>
      <c:spPr>
        <a:noFill/>
        <a:ln>
          <a:noFill/>
        </a:ln>
        <a:effectLst/>
      </c:spPr>
    </c:plotArea>
    <c:legend>
      <c:legendPos val="b"/>
      <c:layout>
        <c:manualLayout>
          <c:xMode val="edge"/>
          <c:yMode val="edge"/>
          <c:x val="0.417083333333333"/>
          <c:y val="0.8951388888888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altLang="en-US"/>
              <a:t>年</a:t>
            </a:r>
            <a:r>
              <a:t>收入决算结构图</a:t>
            </a:r>
          </a:p>
        </c:rich>
      </c:tx>
      <c:layout>
        <c:manualLayout>
          <c:xMode val="edge"/>
          <c:yMode val="edge"/>
          <c:x val="0.281111111111111"/>
          <c:y val="0.0277777777777778"/>
        </c:manualLayout>
      </c:layout>
      <c:overlay val="0"/>
      <c:spPr>
        <a:noFill/>
        <a:ln>
          <a:noFill/>
        </a:ln>
        <a:effectLst/>
      </c:spPr>
    </c:title>
    <c:autoTitleDeleted val="0"/>
    <c:plotArea>
      <c:layout/>
      <c:pieChart>
        <c:varyColors val="1"/>
        <c:ser>
          <c:idx val="1"/>
          <c:order val="0"/>
          <c:tx>
            <c:strRef>
              <c:f>"收入合计"</c:f>
              <c:strCache>
                <c:ptCount val="1"/>
                <c:pt idx="0">
                  <c:v>收入合计</c:v>
                </c:pt>
              </c:strCache>
            </c:strRef>
          </c:tx>
          <c:spPr/>
          <c:explosion val="0"/>
          <c:dPt>
            <c:idx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[工作簿1]Sheet1!$B$3</c:f>
              <c:strCache>
                <c:ptCount val="1"/>
                <c:pt idx="0">
                  <c:v>2022年收入合计（单位：万元）</c:v>
                </c:pt>
              </c:strCache>
            </c:strRef>
          </c:cat>
          <c:val>
            <c:numRef>
              <c:f>[工作簿1]Sheet1!$B$4</c:f>
              <c:numCache>
                <c:formatCode>General</c:formatCode>
                <c:ptCount val="1"/>
                <c:pt idx="0">
                  <c:v>2642.82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altLang="en-US"/>
              <a:t>年支出决算结构图（单位：万元）</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[工作簿1]Sheet1!$A$3:$B$3</c:f>
              <c:strCache>
                <c:ptCount val="2"/>
                <c:pt idx="0">
                  <c:v>基本支出</c:v>
                </c:pt>
                <c:pt idx="1">
                  <c:v>项目支出</c:v>
                </c:pt>
              </c:strCache>
            </c:strRef>
          </c:cat>
          <c:val>
            <c:numRef>
              <c:f>[工作簿1]Sheet1!$A$4:$B$4</c:f>
              <c:numCache>
                <c:formatCode>General</c:formatCode>
                <c:ptCount val="2"/>
                <c:pt idx="0">
                  <c:v>421.32</c:v>
                </c:pt>
                <c:pt idx="1">
                  <c:v>2221.5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财政拨款收、支决算总计变动情况</a:t>
            </a:r>
            <a:endParaRPr altLang="en-US"/>
          </a:p>
        </c:rich>
      </c:tx>
      <c:layout>
        <c:manualLayout>
          <c:xMode val="edge"/>
          <c:yMode val="edge"/>
          <c:x val="0.2025"/>
          <c:y val="0.0275462962962963"/>
        </c:manualLayout>
      </c:layout>
      <c:overlay val="0"/>
      <c:spPr>
        <a:noFill/>
        <a:ln>
          <a:noFill/>
        </a:ln>
        <a:effectLst/>
      </c:spPr>
    </c:title>
    <c:autoTitleDeleted val="0"/>
    <c:plotArea>
      <c:layout/>
      <c:barChart>
        <c:barDir val="col"/>
        <c:grouping val="clustered"/>
        <c:varyColors val="0"/>
        <c:ser>
          <c:idx val="0"/>
          <c:order val="0"/>
          <c:tx>
            <c:strRef>
              <c:f>"财政拨款收、支总计（单位：万元）"</c:f>
              <c:strCache>
                <c:ptCount val="1"/>
                <c:pt idx="0">
                  <c:v>财政拨款收、支总计（单位：万元）</c:v>
                </c:pt>
              </c:strCache>
            </c:strRef>
          </c:tx>
          <c:spPr>
            <a:solidFill>
              <a:schemeClr val="accent1"/>
            </a:solidFill>
            <a:ln w="19050">
              <a:solidFill>
                <a:schemeClr val="l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[工作簿1]Sheet1!$A$3:$B$3</c:f>
              <c:strCache>
                <c:ptCount val="2"/>
                <c:pt idx="0">
                  <c:v>2021年</c:v>
                </c:pt>
                <c:pt idx="1">
                  <c:v>2022年</c:v>
                </c:pt>
              </c:strCache>
            </c:strRef>
          </c:cat>
          <c:val>
            <c:numRef>
              <c:f>[工作簿1]Sheet1!$A$4:$B$4</c:f>
              <c:numCache>
                <c:formatCode>General</c:formatCode>
                <c:ptCount val="2"/>
                <c:pt idx="0">
                  <c:v>2769.85</c:v>
                </c:pt>
                <c:pt idx="1">
                  <c:v>2642.82</c:v>
                </c:pt>
              </c:numCache>
            </c:numRef>
          </c:val>
        </c:ser>
        <c:dLbls>
          <c:showLegendKey val="0"/>
          <c:showVal val="1"/>
          <c:showCatName val="0"/>
          <c:showSerName val="0"/>
          <c:showPercent val="0"/>
          <c:showBubbleSize val="0"/>
        </c:dLbls>
        <c:gapWidth val="150"/>
        <c:overlap val="0"/>
        <c:axId val="432360376"/>
        <c:axId val="758060517"/>
      </c:barChart>
      <c:catAx>
        <c:axId val="4323603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8060517"/>
        <c:crosses val="autoZero"/>
        <c:auto val="1"/>
        <c:lblAlgn val="ctr"/>
        <c:lblOffset val="100"/>
        <c:noMultiLvlLbl val="0"/>
      </c:catAx>
      <c:valAx>
        <c:axId val="75806051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23603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31388888888889"/>
          <c:y val="0.007660878447395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995277777777777"/>
          <c:y val="0.182715355805243"/>
          <c:w val="0.882"/>
          <c:h val="0.711666666666667"/>
        </c:manualLayout>
      </c:layout>
      <c:barChart>
        <c:barDir val="col"/>
        <c:grouping val="clustered"/>
        <c:varyColors val="0"/>
        <c:ser>
          <c:idx val="0"/>
          <c:order val="0"/>
          <c:tx>
            <c:strRef>
              <c:f>"一般公共预算财政拨款支出决算变动情况（单位：万元）"</c:f>
              <c:strCache>
                <c:ptCount val="1"/>
                <c:pt idx="0">
                  <c:v>一般公共预算财政拨款支出决算变动情况（单位：万元）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[工作簿1]Sheet1!$A$3:$B$3</c:f>
              <c:strCache>
                <c:ptCount val="2"/>
                <c:pt idx="0">
                  <c:v>2021年</c:v>
                </c:pt>
                <c:pt idx="1">
                  <c:v>2022年</c:v>
                </c:pt>
              </c:strCache>
            </c:strRef>
          </c:cat>
          <c:val>
            <c:numRef>
              <c:f>[工作簿1]Sheet1!$A$4:$B$4</c:f>
              <c:numCache>
                <c:formatCode>General</c:formatCode>
                <c:ptCount val="2"/>
                <c:pt idx="0">
                  <c:v>1713.52</c:v>
                </c:pt>
                <c:pt idx="1">
                  <c:v>2642.82</c:v>
                </c:pt>
              </c:numCache>
            </c:numRef>
          </c:val>
        </c:ser>
        <c:dLbls>
          <c:showLegendKey val="0"/>
          <c:showVal val="1"/>
          <c:showCatName val="0"/>
          <c:showSerName val="0"/>
          <c:showPercent val="0"/>
          <c:showBubbleSize val="0"/>
        </c:dLbls>
        <c:gapWidth val="219"/>
        <c:overlap val="-27"/>
        <c:axId val="206585602"/>
        <c:axId val="682719772"/>
      </c:barChart>
      <c:catAx>
        <c:axId val="206585602"/>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2719772"/>
        <c:crosses val="autoZero"/>
        <c:auto val="1"/>
        <c:lblAlgn val="ctr"/>
        <c:lblOffset val="100"/>
        <c:noMultiLvlLbl val="0"/>
      </c:catAx>
      <c:valAx>
        <c:axId val="6827197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58560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一般公共预算财政拨款支出决算结构（单位：万元）</a:t>
            </a:r>
          </a:p>
        </c:rich>
      </c:tx>
      <c:layout>
        <c:manualLayout>
          <c:xMode val="edge"/>
          <c:yMode val="edge"/>
          <c:x val="0.125416666666667"/>
          <c:y val="0.00694444444444444"/>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629254644998698"/>
                  <c:y val="-0.0402010484280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30006602128102"/>
                  <c:y val="-0.05418109440659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41385653397135"/>
                  <c:y val="0.10199999009481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26309618862124"/>
                  <c:y val="0.008417700358379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[工作簿1]Sheet1!$A$3:$D$3</c:f>
              <c:strCache>
                <c:ptCount val="4"/>
                <c:pt idx="0">
                  <c:v>社会保障和就业支出</c:v>
                </c:pt>
                <c:pt idx="1">
                  <c:v>卫生健康支出</c:v>
                </c:pt>
                <c:pt idx="2">
                  <c:v>农林水支出</c:v>
                </c:pt>
                <c:pt idx="3">
                  <c:v>住房保障支出</c:v>
                </c:pt>
              </c:strCache>
            </c:strRef>
          </c:cat>
          <c:val>
            <c:numRef>
              <c:f>[工作簿1]Sheet1!$A$4:$D$4</c:f>
              <c:numCache>
                <c:formatCode>General</c:formatCode>
                <c:ptCount val="4"/>
                <c:pt idx="0">
                  <c:v>71.74</c:v>
                </c:pt>
                <c:pt idx="1">
                  <c:v>2291.47</c:v>
                </c:pt>
                <c:pt idx="2" c:formatCode="0.00_ ">
                  <c:v>250</c:v>
                </c:pt>
                <c:pt idx="3">
                  <c:v>29.62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经费财政拨款支出结构（单位：万元）</a:t>
            </a:r>
            <a:endParaRPr altLang="en-US"/>
          </a:p>
        </c:rich>
      </c:tx>
      <c:layout>
        <c:manualLayout>
          <c:xMode val="edge"/>
          <c:yMode val="edge"/>
          <c:x val="0.11875"/>
          <c:y val="0.01736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[工作簿1]Sheet1!$A$3:$C$3</c:f>
              <c:strCache>
                <c:ptCount val="3"/>
                <c:pt idx="0">
                  <c:v>因公出国（境）支出</c:v>
                </c:pt>
                <c:pt idx="1">
                  <c:v>公务用车购置及运行维护费支出</c:v>
                </c:pt>
                <c:pt idx="2">
                  <c:v>公务接待费支出</c:v>
                </c:pt>
              </c:strCache>
            </c:strRef>
          </c:cat>
          <c:val>
            <c:numRef>
              <c:f>[工作簿1]Sheet1!$A$4:$C$4</c:f>
              <c:numCache>
                <c:formatCode>General</c:formatCode>
                <c:ptCount val="3"/>
                <c:pt idx="0">
                  <c:v>0</c:v>
                </c:pt>
                <c:pt idx="1">
                  <c:v>0</c:v>
                </c:pt>
                <c:pt idx="2" c:formatCode="0.00_ ">
                  <c:v>1.97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7847</Words>
  <Characters>8603</Characters>
  <Lines>61</Lines>
  <Paragraphs>17</Paragraphs>
  <TotalTime>14</TotalTime>
  <ScaleCrop>false</ScaleCrop>
  <LinksUpToDate>false</LinksUpToDate>
  <CharactersWithSpaces>8688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马文富</cp:lastModifiedBy>
  <cp:lastPrinted>2023-08-15T08:03:00Z</cp:lastPrinted>
  <dcterms:modified xsi:type="dcterms:W3CDTF">2024-10-14T08:39:30Z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867B49459B3D4C93AD6939EAE2081753</vt:lpwstr>
  </property>
</Properties>
</file>