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360" w:firstLineChars="100"/>
        <w:rPr>
          <w:rFonts w:hint="default" w:ascii="Times New Roman" w:hAnsi="Times New Roman" w:eastAsia="宋体"/>
          <w:bCs/>
          <w:sz w:val="36"/>
          <w:lang w:val="en-US" w:eastAsia="zh-CN"/>
        </w:rPr>
      </w:pPr>
      <w:r>
        <w:rPr>
          <w:rFonts w:ascii="Times New Roman" w:hAnsi="Times New Roman"/>
          <w:bCs/>
          <w:sz w:val="36"/>
        </w:rPr>
        <w:t>20</w:t>
      </w:r>
      <w:r>
        <w:rPr>
          <w:rFonts w:hint="eastAsia" w:ascii="Times New Roman" w:hAnsi="Times New Roman"/>
          <w:bCs/>
          <w:sz w:val="36"/>
        </w:rPr>
        <w:t>2</w:t>
      </w:r>
      <w:r>
        <w:rPr>
          <w:rFonts w:hint="eastAsia" w:ascii="Times New Roman" w:hAnsi="Times New Roman"/>
          <w:bCs/>
          <w:sz w:val="36"/>
          <w:lang w:val="en-US" w:eastAsia="zh-CN"/>
        </w:rPr>
        <w:t>4</w:t>
      </w:r>
    </w:p>
    <w:p>
      <w:pPr>
        <w:ind w:right="210" w:rightChars="100"/>
        <w:jc w:val="right"/>
        <w:rPr>
          <w:rFonts w:ascii="Times New Roman" w:hAnsi="Times New Roman"/>
          <w:szCs w:val="21"/>
        </w:rPr>
      </w:pPr>
      <w:r>
        <w:rPr>
          <w:rFonts w:ascii="Times New Roman" w:hAnsi="Times New Roman"/>
          <w:szCs w:val="21"/>
        </w:rPr>
        <w:t>内部资料</w:t>
      </w:r>
    </w:p>
    <w:p>
      <w:pPr>
        <w:ind w:right="210" w:rightChars="100" w:firstLine="315" w:firstLineChars="150"/>
        <w:jc w:val="right"/>
        <w:rPr>
          <w:rFonts w:ascii="Times New Roman" w:hAnsi="Times New Roman"/>
          <w:szCs w:val="21"/>
        </w:rPr>
      </w:pPr>
      <w:r>
        <w:rPr>
          <w:rFonts w:ascii="Times New Roman" w:hAnsi="Times New Roman"/>
          <w:szCs w:val="21"/>
        </w:rPr>
        <w:t>注意保存</w:t>
      </w:r>
    </w:p>
    <w:p>
      <w:pPr>
        <w:spacing w:line="240" w:lineRule="atLeast"/>
        <w:rPr>
          <w:rFonts w:ascii="Times New Roman" w:hAnsi="Times New Roman" w:eastAsia="楷体_GB2312"/>
        </w:rPr>
      </w:pPr>
    </w:p>
    <w:p>
      <w:pPr>
        <w:spacing w:line="240" w:lineRule="atLeast"/>
        <w:jc w:val="center"/>
        <w:rPr>
          <w:rFonts w:ascii="方正隶书_GBK" w:hAnsi="Times New Roman" w:eastAsia="方正隶书_GBK"/>
          <w:b/>
          <w:bCs/>
          <w:w w:val="90"/>
          <w:sz w:val="52"/>
        </w:rPr>
      </w:pPr>
      <w:r>
        <w:rPr>
          <w:rFonts w:hint="eastAsia" w:ascii="方正隶书_GBK" w:hAnsi="Times New Roman" w:eastAsia="方正隶书_GBK"/>
          <w:b/>
          <w:bCs/>
          <w:w w:val="90"/>
          <w:sz w:val="52"/>
        </w:rPr>
        <w:t>米易统计月报</w:t>
      </w:r>
    </w:p>
    <w:p>
      <w:pPr>
        <w:spacing w:line="240" w:lineRule="atLeast"/>
        <w:jc w:val="center"/>
        <w:rPr>
          <w:rFonts w:ascii="Times New Roman" w:hAnsi="Times New Roman" w:eastAsia="楷体_GB2312"/>
          <w:bCs/>
          <w:sz w:val="44"/>
        </w:rPr>
      </w:pPr>
    </w:p>
    <w:p>
      <w:pPr>
        <w:spacing w:line="240" w:lineRule="atLeast"/>
        <w:jc w:val="center"/>
        <w:rPr>
          <w:rFonts w:ascii="Times New Roman" w:hAnsi="Times New Roman" w:eastAsia="楷体_GB2312"/>
        </w:rPr>
      </w:pPr>
      <w:r>
        <w:rPr>
          <w:rFonts w:hint="eastAsia" w:ascii="Times New Roman" w:hAnsi="Times New Roman" w:eastAsia="楷体_GB2312"/>
          <w:bCs/>
          <w:sz w:val="44"/>
          <w:lang w:val="en-US" w:eastAsia="zh-CN"/>
        </w:rPr>
        <w:t>4</w:t>
      </w:r>
      <w:r>
        <w:rPr>
          <w:rFonts w:hint="eastAsia" w:ascii="Times New Roman" w:hAnsi="Times New Roman" w:eastAsia="楷体_GB2312"/>
          <w:bCs/>
          <w:sz w:val="44"/>
        </w:rPr>
        <w:t>月</w:t>
      </w:r>
    </w:p>
    <w:p>
      <w:pPr>
        <w:spacing w:line="240" w:lineRule="atLeast"/>
        <w:jc w:val="center"/>
        <w:rPr>
          <w:rFonts w:ascii="Times New Roman" w:hAnsi="Times New Roman"/>
        </w:rPr>
      </w:pPr>
    </w:p>
    <w:p>
      <w:pPr>
        <w:spacing w:line="240" w:lineRule="atLeast"/>
        <w:jc w:val="center"/>
        <w:rPr>
          <w:rFonts w:ascii="Times New Roman" w:hAnsi="Times New Roman"/>
        </w:rPr>
      </w:pPr>
    </w:p>
    <w:p>
      <w:pPr>
        <w:spacing w:line="240" w:lineRule="atLeast"/>
        <w:jc w:val="center"/>
        <w:rPr>
          <w:rFonts w:ascii="Times New Roman" w:hAnsi="Times New Roman"/>
        </w:rPr>
      </w:pPr>
    </w:p>
    <w:p>
      <w:pPr>
        <w:spacing w:line="240" w:lineRule="atLeast"/>
        <w:jc w:val="center"/>
        <w:rPr>
          <w:rFonts w:ascii="Times New Roman" w:hAnsi="Times New Roman"/>
        </w:rPr>
      </w:pPr>
    </w:p>
    <w:p>
      <w:pPr>
        <w:spacing w:line="240" w:lineRule="atLeast"/>
        <w:jc w:val="center"/>
        <w:rPr>
          <w:rFonts w:ascii="Times New Roman" w:hAnsi="Times New Roman"/>
        </w:rPr>
      </w:pPr>
      <w:r>
        <w:rPr>
          <w:rFonts w:ascii="Times New Roman" w:hAnsi="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pPr>
        <w:spacing w:line="240" w:lineRule="atLeast"/>
        <w:jc w:val="center"/>
        <w:rPr>
          <w:rFonts w:ascii="Times New Roman" w:hAnsi="Times New Roman"/>
        </w:rPr>
      </w:pPr>
    </w:p>
    <w:p>
      <w:pPr>
        <w:spacing w:line="240" w:lineRule="atLeast"/>
        <w:rPr>
          <w:rFonts w:ascii="Times New Roman" w:hAnsi="Times New Roman"/>
        </w:rPr>
      </w:pPr>
    </w:p>
    <w:p>
      <w:pPr>
        <w:spacing w:line="240" w:lineRule="atLeast"/>
        <w:rPr>
          <w:rFonts w:ascii="Times New Roman" w:hAnsi="Times New Roman"/>
        </w:rPr>
      </w:pPr>
    </w:p>
    <w:p>
      <w:pPr>
        <w:spacing w:line="240" w:lineRule="atLeast"/>
        <w:rPr>
          <w:rFonts w:ascii="Times New Roman" w:hAnsi="Times New Roman"/>
        </w:rPr>
      </w:pPr>
    </w:p>
    <w:p>
      <w:pPr>
        <w:spacing w:line="240" w:lineRule="atLeast"/>
        <w:rPr>
          <w:rFonts w:ascii="Times New Roman" w:hAnsi="Times New Roman"/>
        </w:rPr>
      </w:pPr>
    </w:p>
    <w:p>
      <w:pPr>
        <w:spacing w:line="240" w:lineRule="atLeast"/>
        <w:jc w:val="center"/>
        <w:rPr>
          <w:rFonts w:ascii="Times New Roman" w:hAnsi="Times New Roman" w:eastAsia="方正黑体简体"/>
          <w:sz w:val="30"/>
        </w:rPr>
      </w:pPr>
      <w:r>
        <w:rPr>
          <w:rFonts w:ascii="Times New Roman" w:hAnsi="Times New Roman" w:eastAsia="方正黑体简体"/>
          <w:sz w:val="30"/>
        </w:rPr>
        <w:t>米易县统计局</w:t>
      </w:r>
    </w:p>
    <w:p>
      <w:pPr>
        <w:spacing w:line="300" w:lineRule="exact"/>
        <w:jc w:val="center"/>
        <w:rPr>
          <w:rFonts w:ascii="Times New Roman" w:hAnsi="Times New Roman" w:eastAsia="方正黑体简体"/>
          <w:sz w:val="30"/>
        </w:rPr>
      </w:pPr>
      <w:r>
        <w:rPr>
          <w:rFonts w:ascii="Times New Roman" w:hAnsi="Times New Roman" w:eastAsia="方正黑体简体"/>
          <w:sz w:val="30"/>
        </w:rPr>
        <w:t>二</w:t>
      </w:r>
      <w:r>
        <w:rPr>
          <w:rFonts w:ascii="Times New Roman" w:hAnsi="Times New Roman"/>
          <w:sz w:val="30"/>
        </w:rPr>
        <w:t>〇</w:t>
      </w:r>
      <w:r>
        <w:rPr>
          <w:rFonts w:hint="eastAsia" w:ascii="Times New Roman" w:hAnsi="Times New Roman" w:eastAsia="方正黑体简体"/>
          <w:sz w:val="30"/>
        </w:rPr>
        <w:t>二</w:t>
      </w:r>
      <w:r>
        <w:rPr>
          <w:rFonts w:hint="eastAsia" w:ascii="Times New Roman" w:hAnsi="Times New Roman" w:eastAsia="方正黑体简体"/>
          <w:sz w:val="30"/>
          <w:lang w:val="en-US" w:eastAsia="zh-CN"/>
        </w:rPr>
        <w:t>四</w:t>
      </w:r>
      <w:r>
        <w:rPr>
          <w:rFonts w:ascii="Times New Roman" w:hAnsi="Times New Roman" w:eastAsia="方正黑体简体"/>
          <w:sz w:val="30"/>
        </w:rPr>
        <w:t>年</w:t>
      </w:r>
    </w:p>
    <w:p>
      <w:pPr>
        <w:spacing w:line="240" w:lineRule="atLeast"/>
        <w:rPr>
          <w:rFonts w:ascii="Times New Roman" w:hAnsi="Times New Roman"/>
          <w:bCs/>
          <w:sz w:val="36"/>
        </w:rPr>
      </w:pPr>
      <w:r>
        <w:rPr>
          <w:rFonts w:ascii="Times New Roman" w:hAnsi="Times New Roman" w:eastAsia="黑体"/>
          <w:sz w:val="30"/>
        </w:rPr>
        <w:br w:type="page"/>
      </w:r>
    </w:p>
    <w:p>
      <w:pPr>
        <w:jc w:val="center"/>
        <w:rPr>
          <w:rFonts w:ascii="Times New Roman" w:hAnsi="Times New Roman"/>
          <w:b/>
          <w:sz w:val="28"/>
          <w:szCs w:val="28"/>
        </w:rPr>
      </w:pPr>
      <w:r>
        <w:rPr>
          <w:rFonts w:ascii="Times New Roman" w:hAnsi="Times New Roman"/>
          <w:b/>
          <w:sz w:val="28"/>
          <w:szCs w:val="28"/>
        </w:rPr>
        <w:t>说   明</w:t>
      </w:r>
    </w:p>
    <w:p>
      <w:pPr>
        <w:jc w:val="center"/>
        <w:rPr>
          <w:rFonts w:ascii="Times New Roman" w:hAnsi="Times New Roman"/>
        </w:rPr>
      </w:pPr>
    </w:p>
    <w:p>
      <w:pPr>
        <w:jc w:val="center"/>
        <w:rPr>
          <w:rFonts w:ascii="Times New Roman" w:hAnsi="Times New Roman"/>
        </w:rPr>
      </w:pPr>
    </w:p>
    <w:p>
      <w:pPr>
        <w:spacing w:line="440" w:lineRule="exact"/>
        <w:ind w:right="315" w:rightChars="150" w:firstLine="420" w:firstLineChars="200"/>
        <w:rPr>
          <w:rFonts w:ascii="Times New Roman" w:hAnsi="Times New Roman"/>
          <w:szCs w:val="21"/>
        </w:rPr>
      </w:pPr>
      <w:r>
        <w:rPr>
          <w:rFonts w:ascii="Times New Roman" w:hAnsi="Times New Roman"/>
          <w:szCs w:val="21"/>
        </w:rPr>
        <w:t>本册资料仅供内部参考，未经同意，请不要对外公开引用。</w:t>
      </w:r>
    </w:p>
    <w:p>
      <w:pPr>
        <w:spacing w:line="440" w:lineRule="exact"/>
        <w:ind w:right="315" w:rightChars="150" w:firstLine="420" w:firstLineChars="200"/>
        <w:rPr>
          <w:rFonts w:ascii="Times New Roman" w:hAnsi="Times New Roman"/>
          <w:szCs w:val="21"/>
        </w:rPr>
      </w:pPr>
      <w:r>
        <w:rPr>
          <w:rFonts w:ascii="Times New Roman" w:hAnsi="Times New Roman"/>
          <w:szCs w:val="21"/>
        </w:rPr>
        <w:t>标有“#”为其中数，部分指标分组数相加不等于总计数。</w:t>
      </w:r>
    </w:p>
    <w:p>
      <w:pPr>
        <w:spacing w:line="440" w:lineRule="exact"/>
        <w:ind w:right="315" w:rightChars="150" w:firstLine="420" w:firstLineChars="200"/>
        <w:rPr>
          <w:rFonts w:ascii="Times New Roman" w:hAnsi="Times New Roman"/>
          <w:szCs w:val="21"/>
        </w:rPr>
      </w:pPr>
      <w:r>
        <w:rPr>
          <w:rFonts w:ascii="Times New Roman" w:hAnsi="Times New Roman"/>
          <w:szCs w:val="21"/>
        </w:rPr>
        <w:t>季度指标按季公布。版权所有，任何单位、个人未经允许不得翻印、转载，违者必究。</w:t>
      </w:r>
    </w:p>
    <w:p>
      <w:pPr>
        <w:spacing w:line="440" w:lineRule="exact"/>
        <w:ind w:firstLine="420" w:firstLineChars="200"/>
        <w:rPr>
          <w:rFonts w:ascii="Times New Roman" w:hAnsi="Times New Roman"/>
          <w:szCs w:val="21"/>
        </w:rPr>
      </w:pPr>
      <w:r>
        <w:rPr>
          <w:rFonts w:ascii="Times New Roman" w:hAnsi="Times New Roman"/>
          <w:szCs w:val="21"/>
        </w:rPr>
        <w:t>由于资料整理时间仓促，错误与不妥之处，恳请批评指正！</w:t>
      </w: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ind w:firstLine="420" w:firstLineChars="200"/>
        <w:rPr>
          <w:rFonts w:ascii="Times New Roman" w:hAnsi="Times New Roman"/>
          <w:szCs w:val="21"/>
        </w:rPr>
      </w:pPr>
      <w:r>
        <w:rPr>
          <w:rFonts w:ascii="Times New Roman" w:hAnsi="Times New Roman"/>
          <w:szCs w:val="21"/>
        </w:rPr>
        <w:t>米易县统计局</w:t>
      </w:r>
    </w:p>
    <w:p>
      <w:pPr>
        <w:spacing w:line="440" w:lineRule="exact"/>
        <w:ind w:firstLine="420" w:firstLineChars="200"/>
        <w:rPr>
          <w:rFonts w:ascii="Times New Roman" w:hAnsi="Times New Roman"/>
          <w:szCs w:val="21"/>
        </w:rPr>
      </w:pPr>
      <w:r>
        <w:rPr>
          <w:rFonts w:ascii="Times New Roman" w:hAnsi="Times New Roman"/>
          <w:szCs w:val="21"/>
        </w:rPr>
        <w:t>地址：米易县攀莲镇同和路2号</w:t>
      </w:r>
    </w:p>
    <w:p>
      <w:pPr>
        <w:spacing w:line="440" w:lineRule="exact"/>
        <w:ind w:firstLine="420" w:firstLineChars="200"/>
        <w:rPr>
          <w:rFonts w:ascii="Times New Roman" w:hAnsi="Times New Roman"/>
          <w:szCs w:val="21"/>
        </w:rPr>
      </w:pPr>
      <w:r>
        <w:rPr>
          <w:rFonts w:ascii="Times New Roman" w:hAnsi="Times New Roman"/>
          <w:szCs w:val="21"/>
        </w:rPr>
        <w:t>电话：（0812）8172373</w:t>
      </w:r>
    </w:p>
    <w:p>
      <w:pPr>
        <w:spacing w:line="440" w:lineRule="exact"/>
        <w:ind w:firstLine="420" w:firstLineChars="200"/>
        <w:rPr>
          <w:rFonts w:ascii="Times New Roman" w:hAnsi="Times New Roman"/>
          <w:szCs w:val="21"/>
        </w:rPr>
      </w:pPr>
    </w:p>
    <w:p>
      <w:pPr>
        <w:spacing w:line="440" w:lineRule="exact"/>
        <w:ind w:firstLine="420" w:firstLineChars="200"/>
        <w:rPr>
          <w:rFonts w:ascii="Times New Roman" w:hAnsi="Times New Roman"/>
          <w:szCs w:val="21"/>
        </w:rPr>
        <w:sectPr>
          <w:headerReference r:id="rId3" w:type="default"/>
          <w:headerReference r:id="rId4" w:type="even"/>
          <w:pgSz w:w="6803" w:h="11905"/>
          <w:pgMar w:top="992" w:right="1021" w:bottom="850" w:left="1021" w:header="851" w:footer="992" w:gutter="0"/>
          <w:cols w:space="0" w:num="1"/>
          <w:rtlGutter w:val="0"/>
          <w:docGrid w:type="lines" w:linePitch="312" w:charSpace="0"/>
        </w:sectPr>
      </w:pPr>
    </w:p>
    <w:p>
      <w:pPr>
        <w:jc w:val="center"/>
        <w:rPr>
          <w:rFonts w:hint="eastAsia" w:ascii="Times New Roman" w:hAnsi="Times New Roman"/>
          <w:b/>
          <w:sz w:val="28"/>
          <w:szCs w:val="28"/>
          <w:lang w:eastAsia="zh-CN"/>
        </w:rPr>
      </w:pPr>
      <w:r>
        <w:rPr>
          <w:rFonts w:hint="eastAsia" w:ascii="Times New Roman" w:hAnsi="Times New Roman"/>
          <w:b/>
          <w:sz w:val="28"/>
          <w:szCs w:val="28"/>
          <w:lang w:eastAsia="zh-CN"/>
        </w:rPr>
        <w:t>目</w:t>
      </w:r>
      <w:r>
        <w:rPr>
          <w:rFonts w:hint="eastAsia" w:ascii="Times New Roman" w:hAnsi="Times New Roman"/>
          <w:b/>
          <w:sz w:val="28"/>
          <w:szCs w:val="28"/>
          <w:lang w:val="en-US" w:eastAsia="zh-CN"/>
        </w:rPr>
        <w:t xml:space="preserve">  </w:t>
      </w:r>
      <w:r>
        <w:rPr>
          <w:rFonts w:hint="eastAsia" w:ascii="Times New Roman" w:hAnsi="Times New Roman"/>
          <w:b/>
          <w:sz w:val="28"/>
          <w:szCs w:val="28"/>
          <w:lang w:eastAsia="zh-CN"/>
        </w:rPr>
        <w:t>录</w:t>
      </w:r>
    </w:p>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lang w:eastAsia="zh-CN"/>
        </w:rPr>
        <w:t>一、</w:t>
      </w:r>
      <w:r>
        <w:rPr>
          <w:rFonts w:hint="eastAsia" w:ascii="方正楷体_GBK" w:hAnsi="方正楷体_GBK" w:eastAsia="方正楷体_GBK" w:cs="方正楷体_GBK"/>
          <w:b w:val="0"/>
          <w:bCs w:val="0"/>
          <w:sz w:val="24"/>
          <w:szCs w:val="24"/>
        </w:rPr>
        <w:t>米易县主要经济指标目标完成情况</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rPr>
        <w:t>1</w:t>
      </w:r>
    </w:p>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lang w:eastAsia="zh-CN"/>
        </w:rPr>
        <w:t>二、</w:t>
      </w:r>
      <w:r>
        <w:rPr>
          <w:rFonts w:hint="eastAsia" w:ascii="方正楷体_GBK" w:hAnsi="方正楷体_GBK" w:eastAsia="方正楷体_GBK" w:cs="方正楷体_GBK"/>
          <w:b w:val="0"/>
          <w:bCs w:val="0"/>
          <w:sz w:val="24"/>
          <w:szCs w:val="24"/>
        </w:rPr>
        <w:t>米易县主要指标与全国、全省、全市对比</w:t>
      </w:r>
    </w:p>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2三、</w:t>
      </w:r>
      <w:r>
        <w:rPr>
          <w:rFonts w:hint="eastAsia" w:ascii="方正楷体_GBK" w:hAnsi="方正楷体_GBK" w:eastAsia="方正楷体_GBK" w:cs="方正楷体_GBK"/>
          <w:b w:val="0"/>
          <w:bCs w:val="0"/>
          <w:sz w:val="24"/>
          <w:szCs w:val="24"/>
        </w:rPr>
        <w:t>米易县主要经济指标</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3</w:t>
      </w:r>
    </w:p>
    <w:p>
      <w:pPr>
        <w:pStyle w:val="3"/>
        <w:keepNext w:val="0"/>
        <w:keepLines w:val="0"/>
        <w:pageBreakBefore w:val="0"/>
        <w:widowControl w:val="0"/>
        <w:kinsoku/>
        <w:wordWrap/>
        <w:overflowPunct/>
        <w:topLinePunct w:val="0"/>
        <w:autoSpaceDE/>
        <w:autoSpaceDN/>
        <w:bidi w:val="0"/>
        <w:adjustRightInd/>
        <w:snapToGrid/>
        <w:spacing w:line="500" w:lineRule="exact"/>
        <w:ind w:firstLine="240" w:firstLineChars="100"/>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rPr>
        <w:t>（一）规模以上工业</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3</w:t>
      </w:r>
    </w:p>
    <w:p>
      <w:pPr>
        <w:pStyle w:val="3"/>
        <w:keepNext w:val="0"/>
        <w:keepLines w:val="0"/>
        <w:pageBreakBefore w:val="0"/>
        <w:widowControl w:val="0"/>
        <w:kinsoku/>
        <w:wordWrap/>
        <w:overflowPunct/>
        <w:topLinePunct w:val="0"/>
        <w:autoSpaceDE/>
        <w:autoSpaceDN/>
        <w:bidi w:val="0"/>
        <w:adjustRightInd/>
        <w:snapToGrid/>
        <w:spacing w:line="500" w:lineRule="exact"/>
        <w:ind w:firstLine="240" w:firstLineChars="100"/>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rPr>
        <w:t>（二）能源</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5</w:t>
      </w:r>
    </w:p>
    <w:p>
      <w:pPr>
        <w:pStyle w:val="3"/>
        <w:keepNext w:val="0"/>
        <w:keepLines w:val="0"/>
        <w:pageBreakBefore w:val="0"/>
        <w:widowControl w:val="0"/>
        <w:kinsoku/>
        <w:wordWrap/>
        <w:overflowPunct/>
        <w:topLinePunct w:val="0"/>
        <w:autoSpaceDE/>
        <w:autoSpaceDN/>
        <w:bidi w:val="0"/>
        <w:adjustRightInd/>
        <w:snapToGrid/>
        <w:spacing w:line="500" w:lineRule="exact"/>
        <w:ind w:left="239" w:leftChars="114" w:firstLine="0" w:firstLineChars="0"/>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rPr>
        <w:t>（三）固定资产投资</w:t>
      </w:r>
      <w:r>
        <w:rPr>
          <w:rFonts w:hint="eastAsia" w:ascii="方正楷体_GBK" w:hAnsi="方正楷体_GBK" w:eastAsia="方正楷体_GBK" w:cs="方正楷体_GBK"/>
          <w:b w:val="0"/>
          <w:bCs w:val="0"/>
          <w:sz w:val="24"/>
          <w:szCs w:val="24"/>
          <w:lang w:eastAsia="zh-CN"/>
        </w:rPr>
        <w:t>完成情况……………………</w:t>
      </w:r>
      <w:r>
        <w:rPr>
          <w:rFonts w:hint="eastAsia" w:ascii="方正楷体_GBK" w:hAnsi="方正楷体_GBK" w:eastAsia="方正楷体_GBK" w:cs="方正楷体_GBK"/>
          <w:b w:val="0"/>
          <w:bCs w:val="0"/>
          <w:sz w:val="24"/>
          <w:szCs w:val="24"/>
          <w:lang w:val="en-US" w:eastAsia="zh-CN"/>
        </w:rPr>
        <w:t>6</w:t>
      </w:r>
      <w:r>
        <w:rPr>
          <w:rFonts w:hint="eastAsia" w:ascii="方正楷体_GBK" w:hAnsi="方正楷体_GBK" w:eastAsia="方正楷体_GBK" w:cs="方正楷体_GBK"/>
          <w:b w:val="0"/>
          <w:bCs w:val="0"/>
          <w:sz w:val="24"/>
          <w:szCs w:val="24"/>
        </w:rPr>
        <w:t>（四）社会消费品零售总额</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7</w:t>
      </w:r>
      <w:r>
        <w:rPr>
          <w:rFonts w:hint="eastAsia" w:ascii="方正楷体_GBK" w:hAnsi="方正楷体_GBK" w:eastAsia="方正楷体_GBK" w:cs="方正楷体_GBK"/>
          <w:b w:val="0"/>
          <w:bCs w:val="0"/>
          <w:sz w:val="24"/>
          <w:szCs w:val="24"/>
        </w:rPr>
        <w:t>（五）财政、税收、金融</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8</w:t>
      </w:r>
    </w:p>
    <w:p>
      <w:pPr>
        <w:pStyle w:val="3"/>
        <w:keepNext w:val="0"/>
        <w:keepLines w:val="0"/>
        <w:pageBreakBefore w:val="0"/>
        <w:widowControl w:val="0"/>
        <w:kinsoku/>
        <w:wordWrap/>
        <w:overflowPunct/>
        <w:topLinePunct w:val="0"/>
        <w:autoSpaceDE/>
        <w:autoSpaceDN/>
        <w:bidi w:val="0"/>
        <w:adjustRightInd/>
        <w:snapToGrid/>
        <w:spacing w:line="500" w:lineRule="exact"/>
        <w:ind w:left="239" w:leftChars="114" w:firstLine="0" w:firstLineChars="0"/>
        <w:jc w:val="distribute"/>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（六）招商引资</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9</w:t>
      </w:r>
    </w:p>
    <w:p>
      <w:pPr>
        <w:pStyle w:val="3"/>
        <w:keepNext w:val="0"/>
        <w:keepLines w:val="0"/>
        <w:pageBreakBefore w:val="0"/>
        <w:widowControl w:val="0"/>
        <w:kinsoku/>
        <w:wordWrap/>
        <w:overflowPunct/>
        <w:topLinePunct w:val="0"/>
        <w:autoSpaceDE/>
        <w:autoSpaceDN/>
        <w:bidi w:val="0"/>
        <w:adjustRightInd/>
        <w:snapToGrid/>
        <w:spacing w:line="500" w:lineRule="exact"/>
        <w:ind w:left="239" w:leftChars="114" w:firstLine="0" w:firstLineChars="0"/>
        <w:jc w:val="distribute"/>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rPr>
        <w:t>（</w:t>
      </w:r>
      <w:r>
        <w:rPr>
          <w:rFonts w:hint="eastAsia" w:ascii="方正楷体_GBK" w:hAnsi="方正楷体_GBK" w:eastAsia="方正楷体_GBK" w:cs="方正楷体_GBK"/>
          <w:b w:val="0"/>
          <w:bCs w:val="0"/>
          <w:sz w:val="24"/>
          <w:szCs w:val="24"/>
          <w:lang w:val="en-US" w:eastAsia="zh-CN"/>
        </w:rPr>
        <w:t>七</w:t>
      </w:r>
      <w:r>
        <w:rPr>
          <w:rFonts w:hint="eastAsia" w:ascii="方正楷体_GBK" w:hAnsi="方正楷体_GBK" w:eastAsia="方正楷体_GBK" w:cs="方正楷体_GBK"/>
          <w:b w:val="0"/>
          <w:bCs w:val="0"/>
          <w:sz w:val="24"/>
          <w:szCs w:val="24"/>
        </w:rPr>
        <w:t>）绿色发展指标</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10</w:t>
      </w:r>
    </w:p>
    <w:p>
      <w:pPr>
        <w:pStyle w:val="3"/>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eastAsia="zh-CN"/>
        </w:rPr>
        <w:t>四、</w:t>
      </w:r>
      <w:r>
        <w:rPr>
          <w:rFonts w:hint="eastAsia" w:ascii="方正楷体_GBK" w:hAnsi="方正楷体_GBK" w:eastAsia="方正楷体_GBK" w:cs="方正楷体_GBK"/>
          <w:b w:val="0"/>
          <w:bCs w:val="0"/>
          <w:sz w:val="24"/>
          <w:szCs w:val="24"/>
        </w:rPr>
        <w:t>市域内圈各县（区）主要经济指标</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11</w:t>
      </w:r>
    </w:p>
    <w:p>
      <w:pPr>
        <w:pStyle w:val="3"/>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lang w:eastAsia="zh-CN"/>
        </w:rPr>
        <w:t>五、</w:t>
      </w:r>
      <w:r>
        <w:rPr>
          <w:rFonts w:hint="eastAsia" w:ascii="方正楷体_GBK" w:hAnsi="方正楷体_GBK" w:eastAsia="方正楷体_GBK" w:cs="方正楷体_GBK"/>
          <w:b w:val="0"/>
          <w:bCs w:val="0"/>
          <w:sz w:val="24"/>
          <w:szCs w:val="24"/>
        </w:rPr>
        <w:t>市域内圈各县（区）“四上”企业入库情况</w:t>
      </w:r>
    </w:p>
    <w:p>
      <w:pPr>
        <w:pStyle w:val="3"/>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rPr>
      </w:pP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13</w:t>
      </w:r>
    </w:p>
    <w:p>
      <w:pPr>
        <w:pStyle w:val="3"/>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eastAsia="zh-CN"/>
        </w:rPr>
        <w:t>六、</w:t>
      </w:r>
      <w:r>
        <w:rPr>
          <w:rFonts w:hint="eastAsia" w:ascii="方正楷体_GBK" w:hAnsi="方正楷体_GBK" w:eastAsia="方正楷体_GBK" w:cs="方正楷体_GBK"/>
          <w:b w:val="0"/>
          <w:bCs w:val="0"/>
          <w:sz w:val="24"/>
          <w:szCs w:val="24"/>
          <w:lang w:val="en-US" w:eastAsia="zh-CN"/>
        </w:rPr>
        <w:t>米易县“规上”企业及批零住餐业个体户增减变动情况表………………………………</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15</w:t>
      </w:r>
    </w:p>
    <w:p>
      <w:pPr>
        <w:pStyle w:val="3"/>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rPr>
        <w:t>攀枝花市域内圈各县区主要指标图示</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16</w:t>
      </w:r>
    </w:p>
    <w:p>
      <w:pPr>
        <w:pStyle w:val="3"/>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hint="default"/>
          <w:lang w:val="en-US" w:eastAsia="zh-CN"/>
        </w:rPr>
      </w:pPr>
      <w:r>
        <w:rPr>
          <w:rFonts w:hint="eastAsia" w:ascii="方正楷体_GBK" w:hAnsi="方正楷体_GBK" w:eastAsia="方正楷体_GBK" w:cs="方正楷体_GBK"/>
          <w:b w:val="0"/>
          <w:bCs w:val="0"/>
          <w:sz w:val="24"/>
          <w:szCs w:val="24"/>
        </w:rPr>
        <w:t>中华人民共和国统计法实施条例总则</w:t>
      </w:r>
      <w:r>
        <w:rPr>
          <w:rFonts w:hint="eastAsia" w:ascii="方正楷体_GBK" w:hAnsi="方正楷体_GBK" w:eastAsia="方正楷体_GBK" w:cs="方正楷体_GBK"/>
          <w:b w:val="0"/>
          <w:bCs w:val="0"/>
          <w:sz w:val="24"/>
          <w:szCs w:val="24"/>
          <w:lang w:eastAsia="zh-CN"/>
        </w:rPr>
        <w:t>……………</w:t>
      </w:r>
      <w:r>
        <w:rPr>
          <w:rFonts w:hint="eastAsia" w:ascii="方正楷体_GBK" w:hAnsi="方正楷体_GBK" w:eastAsia="方正楷体_GBK" w:cs="方正楷体_GBK"/>
          <w:b w:val="0"/>
          <w:bCs w:val="0"/>
          <w:sz w:val="24"/>
          <w:szCs w:val="24"/>
          <w:lang w:val="en-US" w:eastAsia="zh-CN"/>
        </w:rPr>
        <w:t>19</w:t>
      </w:r>
    </w:p>
    <w:p>
      <w:pPr>
        <w:rPr>
          <w:rFonts w:hint="default"/>
          <w:lang w:val="en-US" w:eastAsia="zh-CN"/>
        </w:rPr>
      </w:pPr>
    </w:p>
    <w:p>
      <w:pPr>
        <w:rPr>
          <w:rFonts w:hint="eastAsia"/>
          <w:lang w:val="en-US" w:eastAsia="zh-CN"/>
        </w:rPr>
      </w:pPr>
    </w:p>
    <w:p>
      <w:pPr>
        <w:spacing w:line="300" w:lineRule="exact"/>
        <w:jc w:val="both"/>
        <w:rPr>
          <w:rFonts w:hint="eastAsia" w:ascii="黑体" w:hAnsi="黑体" w:eastAsia="黑体" w:cs="黑体"/>
          <w:bCs/>
          <w:sz w:val="24"/>
          <w:szCs w:val="24"/>
        </w:rPr>
      </w:pPr>
    </w:p>
    <w:p>
      <w:pPr>
        <w:spacing w:line="300" w:lineRule="exact"/>
        <w:jc w:val="both"/>
        <w:rPr>
          <w:rFonts w:hint="eastAsia" w:ascii="黑体" w:hAnsi="黑体" w:eastAsia="黑体" w:cs="黑体"/>
          <w:bCs/>
          <w:sz w:val="24"/>
          <w:szCs w:val="24"/>
        </w:rPr>
        <w:sectPr>
          <w:footerReference r:id="rId5" w:type="default"/>
          <w:pgSz w:w="6803" w:h="11905"/>
          <w:pgMar w:top="850" w:right="737" w:bottom="850" w:left="737" w:header="567" w:footer="567" w:gutter="0"/>
          <w:pgNumType w:fmt="numberInDash" w:start="1"/>
          <w:cols w:space="0" w:num="1"/>
          <w:rtlGutter w:val="0"/>
          <w:docGrid w:type="lines" w:linePitch="312" w:charSpace="0"/>
        </w:sectPr>
      </w:pPr>
    </w:p>
    <w:p>
      <w:pPr>
        <w:spacing w:line="300" w:lineRule="exact"/>
        <w:jc w:val="center"/>
        <w:rPr>
          <w:rFonts w:hint="eastAsia" w:ascii="黑体" w:hAnsi="黑体" w:eastAsia="黑体" w:cs="黑体"/>
          <w:bCs/>
          <w:spacing w:val="-6"/>
          <w:sz w:val="30"/>
          <w:szCs w:val="30"/>
        </w:rPr>
      </w:pPr>
      <w:r>
        <w:rPr>
          <w:rFonts w:hint="eastAsia" w:ascii="黑体" w:hAnsi="黑体" w:eastAsia="黑体" w:cs="黑体"/>
          <w:bCs/>
          <w:spacing w:val="-6"/>
          <w:sz w:val="30"/>
          <w:szCs w:val="30"/>
        </w:rPr>
        <w:t>一、米易县主要经济指标目标完成情况</w:t>
      </w:r>
    </w:p>
    <w:p>
      <w:pPr>
        <w:spacing w:line="300" w:lineRule="exact"/>
        <w:jc w:val="center"/>
        <w:rPr>
          <w:rFonts w:hint="eastAsia" w:ascii="黑体" w:hAnsi="黑体" w:eastAsia="黑体" w:cs="黑体"/>
          <w:bCs/>
          <w:sz w:val="30"/>
          <w:szCs w:val="30"/>
        </w:rPr>
      </w:pPr>
    </w:p>
    <w:tbl>
      <w:tblPr>
        <w:tblStyle w:val="7"/>
        <w:tblW w:w="5478" w:type="dxa"/>
        <w:jc w:val="center"/>
        <w:tblLayout w:type="autofit"/>
        <w:tblCellMar>
          <w:top w:w="0" w:type="dxa"/>
          <w:left w:w="108" w:type="dxa"/>
          <w:bottom w:w="0" w:type="dxa"/>
          <w:right w:w="108" w:type="dxa"/>
        </w:tblCellMar>
      </w:tblPr>
      <w:tblGrid>
        <w:gridCol w:w="2845"/>
        <w:gridCol w:w="1451"/>
        <w:gridCol w:w="1182"/>
      </w:tblGrid>
      <w:tr>
        <w:tblPrEx>
          <w:tblCellMar>
            <w:top w:w="0" w:type="dxa"/>
            <w:left w:w="108" w:type="dxa"/>
            <w:bottom w:w="0" w:type="dxa"/>
            <w:right w:w="108" w:type="dxa"/>
          </w:tblCellMar>
        </w:tblPrEx>
        <w:trPr>
          <w:trHeight w:val="1071" w:hRule="atLeast"/>
          <w:jc w:val="center"/>
        </w:trPr>
        <w:tc>
          <w:tcPr>
            <w:tcW w:w="2845"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指标名称</w:t>
            </w:r>
          </w:p>
        </w:tc>
        <w:tc>
          <w:tcPr>
            <w:tcW w:w="1451"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县级目标任务</w:t>
            </w:r>
          </w:p>
        </w:tc>
        <w:tc>
          <w:tcPr>
            <w:tcW w:w="1182" w:type="dxa"/>
            <w:tcBorders>
              <w:top w:val="single" w:color="auto" w:sz="12" w:space="0"/>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Times New Roman" w:hAnsi="Times New Roman" w:cs="宋体"/>
                <w:sz w:val="20"/>
                <w:szCs w:val="20"/>
              </w:rPr>
              <w:t>1</w:t>
            </w:r>
            <w:r>
              <w:rPr>
                <w:rFonts w:hint="eastAsia" w:ascii="Times New Roman" w:hAnsi="Times New Roman" w:cs="宋体"/>
                <w:sz w:val="20"/>
                <w:szCs w:val="20"/>
                <w:lang w:eastAsia="zh-CN"/>
              </w:rPr>
              <w:t>—</w:t>
            </w:r>
            <w:r>
              <w:rPr>
                <w:rFonts w:hint="eastAsia" w:ascii="Times New Roman" w:hAnsi="Times New Roman" w:cs="宋体"/>
                <w:sz w:val="20"/>
                <w:szCs w:val="20"/>
                <w:lang w:val="en-US" w:eastAsia="zh-CN"/>
              </w:rPr>
              <w:t>4</w:t>
            </w:r>
            <w:r>
              <w:rPr>
                <w:rFonts w:hint="eastAsia" w:ascii="宋体" w:hAnsi="宋体" w:cs="宋体"/>
                <w:sz w:val="20"/>
                <w:szCs w:val="20"/>
              </w:rPr>
              <w:t>月</w:t>
            </w:r>
            <w:r>
              <w:rPr>
                <w:rFonts w:hint="eastAsia" w:ascii="宋体" w:hAnsi="宋体" w:cs="宋体"/>
                <w:kern w:val="0"/>
                <w:sz w:val="20"/>
                <w:szCs w:val="20"/>
              </w:rPr>
              <w:t>实际完成</w:t>
            </w:r>
          </w:p>
        </w:tc>
      </w:tr>
      <w:tr>
        <w:tblPrEx>
          <w:tblCellMar>
            <w:top w:w="0" w:type="dxa"/>
            <w:left w:w="108" w:type="dxa"/>
            <w:bottom w:w="0" w:type="dxa"/>
            <w:right w:w="108" w:type="dxa"/>
          </w:tblCellMar>
        </w:tblPrEx>
        <w:trPr>
          <w:trHeight w:val="1030" w:hRule="atLeast"/>
          <w:jc w:val="center"/>
        </w:trPr>
        <w:tc>
          <w:tcPr>
            <w:tcW w:w="2845" w:type="dxa"/>
            <w:tcBorders>
              <w:top w:val="single" w:color="auto" w:sz="12"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地区生产总值增长</w:t>
            </w:r>
          </w:p>
        </w:tc>
        <w:tc>
          <w:tcPr>
            <w:tcW w:w="1451" w:type="dxa"/>
            <w:tcBorders>
              <w:top w:val="single" w:color="auto" w:sz="12" w:space="0"/>
              <w:left w:val="nil"/>
              <w:bottom w:val="nil"/>
              <w:right w:val="single" w:color="auto" w:sz="4" w:space="0"/>
            </w:tcBorders>
            <w:vAlign w:val="center"/>
          </w:tcPr>
          <w:p>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5"/>
                <w:sz w:val="20"/>
                <w:szCs w:val="20"/>
                <w:lang w:val="en-US" w:eastAsia="zh-CN"/>
              </w:rPr>
              <w:t>6.5</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182" w:type="dxa"/>
            <w:tcBorders>
              <w:top w:val="single" w:color="auto" w:sz="12" w:space="0"/>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r>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规上工业增加值增长</w:t>
            </w:r>
          </w:p>
        </w:tc>
        <w:tc>
          <w:tcPr>
            <w:tcW w:w="1451" w:type="dxa"/>
            <w:tcBorders>
              <w:top w:val="nil"/>
              <w:left w:val="nil"/>
              <w:bottom w:val="nil"/>
              <w:right w:val="single" w:color="auto" w:sz="4" w:space="0"/>
            </w:tcBorders>
            <w:vAlign w:val="center"/>
          </w:tcPr>
          <w:p>
            <w:pPr>
              <w:keepNext w:val="0"/>
              <w:keepLines w:val="0"/>
              <w:suppressLineNumbers w:val="0"/>
              <w:spacing w:before="61"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1"/>
                <w:sz w:val="20"/>
                <w:szCs w:val="20"/>
                <w:lang w:val="en-US" w:eastAsia="zh-CN"/>
              </w:rPr>
              <w:t>7.5</w:t>
            </w:r>
            <w:r>
              <w:rPr>
                <w:rFonts w:hint="default" w:ascii="Times New Roman" w:hAnsi="Times New Roman" w:eastAsia="Times New Roman" w:cs="Times New Roman"/>
                <w:spacing w:val="1"/>
                <w:sz w:val="20"/>
                <w:szCs w:val="20"/>
              </w:rPr>
              <w:t>%</w:t>
            </w:r>
            <w:r>
              <w:rPr>
                <w:rFonts w:hint="default" w:ascii="Times New Roman" w:hAnsi="Times New Roman" w:eastAsia="宋体" w:cs="Times New Roman"/>
                <w:spacing w:val="1"/>
                <w:sz w:val="20"/>
                <w:szCs w:val="20"/>
              </w:rPr>
              <w:t>以上</w:t>
            </w:r>
          </w:p>
        </w:tc>
        <w:tc>
          <w:tcPr>
            <w:tcW w:w="11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9.3</w:t>
            </w:r>
          </w:p>
        </w:tc>
      </w:tr>
      <w:tr>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城镇居民人均可支配收入增长</w:t>
            </w:r>
          </w:p>
        </w:tc>
        <w:tc>
          <w:tcPr>
            <w:tcW w:w="1451" w:type="dxa"/>
            <w:tcBorders>
              <w:top w:val="nil"/>
              <w:left w:val="nil"/>
              <w:bottom w:val="nil"/>
              <w:right w:val="single" w:color="auto" w:sz="4" w:space="0"/>
            </w:tcBorders>
            <w:vAlign w:val="center"/>
          </w:tcPr>
          <w:p>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5"/>
                <w:sz w:val="20"/>
                <w:szCs w:val="20"/>
                <w:lang w:val="en-US" w:eastAsia="zh-CN"/>
              </w:rPr>
              <w:t>5.5</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182"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r>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农村居民人均可支配收入增长</w:t>
            </w:r>
          </w:p>
        </w:tc>
        <w:tc>
          <w:tcPr>
            <w:tcW w:w="1451" w:type="dxa"/>
            <w:tcBorders>
              <w:top w:val="nil"/>
              <w:left w:val="nil"/>
              <w:bottom w:val="nil"/>
              <w:right w:val="single" w:color="auto" w:sz="4" w:space="0"/>
            </w:tcBorders>
            <w:vAlign w:val="center"/>
          </w:tcPr>
          <w:p>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4"/>
                <w:sz w:val="20"/>
                <w:szCs w:val="20"/>
                <w:lang w:val="en-US" w:eastAsia="zh-CN"/>
              </w:rPr>
              <w:t>7</w:t>
            </w:r>
            <w:r>
              <w:rPr>
                <w:rFonts w:hint="default" w:ascii="Times New Roman" w:hAnsi="Times New Roman" w:eastAsia="Times New Roman" w:cs="Times New Roman"/>
                <w:spacing w:val="4"/>
                <w:sz w:val="20"/>
                <w:szCs w:val="20"/>
              </w:rPr>
              <w:t>%</w:t>
            </w:r>
            <w:r>
              <w:rPr>
                <w:rFonts w:hint="default" w:ascii="Times New Roman" w:hAnsi="Times New Roman" w:eastAsia="宋体" w:cs="Times New Roman"/>
                <w:spacing w:val="4"/>
                <w:sz w:val="20"/>
                <w:szCs w:val="20"/>
              </w:rPr>
              <w:t>以上</w:t>
            </w:r>
          </w:p>
        </w:tc>
        <w:tc>
          <w:tcPr>
            <w:tcW w:w="1182"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r>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一般公共预算收入增长</w:t>
            </w:r>
          </w:p>
        </w:tc>
        <w:tc>
          <w:tcPr>
            <w:tcW w:w="1451" w:type="dxa"/>
            <w:tcBorders>
              <w:top w:val="nil"/>
              <w:left w:val="nil"/>
              <w:bottom w:val="nil"/>
              <w:right w:val="single" w:color="auto" w:sz="4" w:space="0"/>
            </w:tcBorders>
            <w:vAlign w:val="center"/>
          </w:tcPr>
          <w:p>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5"/>
                <w:sz w:val="20"/>
                <w:szCs w:val="20"/>
                <w:lang w:val="en-US" w:eastAsia="zh-CN"/>
              </w:rPr>
              <w:t>6</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1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-7.1</w:t>
            </w:r>
          </w:p>
        </w:tc>
      </w:tr>
      <w:tr>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社会消费品零售总额增长</w:t>
            </w:r>
          </w:p>
        </w:tc>
        <w:tc>
          <w:tcPr>
            <w:tcW w:w="1451" w:type="dxa"/>
            <w:tcBorders>
              <w:top w:val="nil"/>
              <w:left w:val="nil"/>
              <w:bottom w:val="nil"/>
              <w:right w:val="single" w:color="auto" w:sz="4" w:space="0"/>
            </w:tcBorders>
            <w:vAlign w:val="center"/>
          </w:tcPr>
          <w:p>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2"/>
                <w:sz w:val="20"/>
                <w:szCs w:val="20"/>
                <w:lang w:val="en-US" w:eastAsia="zh-CN"/>
              </w:rPr>
              <w:t>9</w:t>
            </w:r>
            <w:r>
              <w:rPr>
                <w:rFonts w:hint="default" w:ascii="Times New Roman" w:hAnsi="Times New Roman" w:eastAsia="Times New Roman" w:cs="Times New Roman"/>
                <w:spacing w:val="2"/>
                <w:sz w:val="20"/>
                <w:szCs w:val="20"/>
              </w:rPr>
              <w:t>%</w:t>
            </w:r>
            <w:r>
              <w:rPr>
                <w:rFonts w:hint="default" w:ascii="Times New Roman" w:hAnsi="Times New Roman" w:eastAsia="宋体" w:cs="Times New Roman"/>
                <w:spacing w:val="2"/>
                <w:sz w:val="20"/>
                <w:szCs w:val="20"/>
              </w:rPr>
              <w:t>以上</w:t>
            </w:r>
          </w:p>
        </w:tc>
        <w:tc>
          <w:tcPr>
            <w:tcW w:w="11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8.5</w:t>
            </w:r>
          </w:p>
        </w:tc>
      </w:tr>
      <w:tr>
        <w:tblPrEx>
          <w:tblCellMar>
            <w:top w:w="0" w:type="dxa"/>
            <w:left w:w="108" w:type="dxa"/>
            <w:bottom w:w="0" w:type="dxa"/>
            <w:right w:w="108" w:type="dxa"/>
          </w:tblCellMar>
        </w:tblPrEx>
        <w:trPr>
          <w:trHeight w:val="1030" w:hRule="atLeast"/>
          <w:jc w:val="center"/>
        </w:trPr>
        <w:tc>
          <w:tcPr>
            <w:tcW w:w="2845" w:type="dxa"/>
            <w:tcBorders>
              <w:top w:val="nil"/>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固定资产</w:t>
            </w:r>
            <w:r>
              <w:rPr>
                <w:rFonts w:hint="eastAsia" w:ascii="宋体" w:hAnsi="宋体" w:cs="宋体"/>
                <w:kern w:val="0"/>
                <w:sz w:val="20"/>
                <w:szCs w:val="20"/>
                <w:lang w:val="en-US" w:eastAsia="zh-CN"/>
              </w:rPr>
              <w:t>投资</w:t>
            </w:r>
            <w:r>
              <w:rPr>
                <w:rFonts w:hint="eastAsia" w:ascii="宋体" w:hAnsi="宋体" w:cs="宋体"/>
                <w:kern w:val="0"/>
                <w:sz w:val="20"/>
                <w:szCs w:val="20"/>
              </w:rPr>
              <w:t>增长</w:t>
            </w:r>
          </w:p>
        </w:tc>
        <w:tc>
          <w:tcPr>
            <w:tcW w:w="1451" w:type="dxa"/>
            <w:tcBorders>
              <w:top w:val="nil"/>
              <w:left w:val="nil"/>
              <w:bottom w:val="single" w:color="auto" w:sz="12" w:space="0"/>
              <w:right w:val="single" w:color="auto" w:sz="4" w:space="0"/>
            </w:tcBorders>
            <w:vAlign w:val="center"/>
          </w:tcPr>
          <w:p>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2"/>
                <w:sz w:val="20"/>
                <w:szCs w:val="20"/>
                <w:lang w:val="en-US" w:eastAsia="zh-CN"/>
              </w:rPr>
              <w:t>6</w:t>
            </w:r>
            <w:r>
              <w:rPr>
                <w:rFonts w:hint="default" w:ascii="Times New Roman" w:hAnsi="Times New Roman" w:eastAsia="Times New Roman" w:cs="Times New Roman"/>
                <w:spacing w:val="2"/>
                <w:sz w:val="20"/>
                <w:szCs w:val="20"/>
              </w:rPr>
              <w:t>%</w:t>
            </w:r>
            <w:r>
              <w:rPr>
                <w:rFonts w:hint="default" w:ascii="Times New Roman" w:hAnsi="Times New Roman" w:eastAsia="宋体" w:cs="Times New Roman"/>
                <w:spacing w:val="2"/>
                <w:sz w:val="20"/>
                <w:szCs w:val="20"/>
              </w:rPr>
              <w:t>以上</w:t>
            </w:r>
          </w:p>
        </w:tc>
        <w:tc>
          <w:tcPr>
            <w:tcW w:w="1182" w:type="dxa"/>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-22.9</w:t>
            </w:r>
          </w:p>
        </w:tc>
      </w:tr>
    </w:tbl>
    <w:p>
      <w:pPr>
        <w:spacing w:line="200" w:lineRule="exact"/>
        <w:jc w:val="left"/>
        <w:rPr>
          <w:rFonts w:ascii="Times New Roman" w:hAnsi="Times New Roman"/>
        </w:rPr>
      </w:pPr>
      <w:r>
        <w:rPr>
          <w:rFonts w:hint="eastAsia" w:ascii="Times New Roman" w:hAnsi="Times New Roman"/>
          <w:sz w:val="16"/>
          <w:szCs w:val="16"/>
        </w:rPr>
        <w:t>备注：县级目标任务取自政府工作报告</w:t>
      </w:r>
      <w:r>
        <w:rPr>
          <w:rFonts w:hint="eastAsia" w:ascii="Times New Roman" w:hAnsi="Times New Roman"/>
          <w:sz w:val="16"/>
          <w:szCs w:val="16"/>
          <w:lang w:eastAsia="zh-CN"/>
        </w:rPr>
        <w:t>，</w:t>
      </w:r>
      <w:r>
        <w:rPr>
          <w:rFonts w:hint="eastAsia" w:ascii="Times New Roman" w:hAnsi="Times New Roman"/>
          <w:sz w:val="16"/>
          <w:szCs w:val="16"/>
          <w:lang w:val="en-US" w:eastAsia="zh-CN"/>
        </w:rPr>
        <w:t>其中一般公共预算收入增速目标为同口径目标</w:t>
      </w:r>
      <w:r>
        <w:rPr>
          <w:rFonts w:hint="eastAsia" w:ascii="Times New Roman" w:hAnsi="Times New Roman"/>
          <w:sz w:val="16"/>
          <w:szCs w:val="16"/>
        </w:rPr>
        <w:t>。一般公共预算收入</w:t>
      </w:r>
      <w:r>
        <w:rPr>
          <w:rFonts w:hint="eastAsia" w:ascii="Times New Roman" w:hAnsi="Times New Roman"/>
          <w:sz w:val="16"/>
          <w:szCs w:val="16"/>
          <w:lang w:val="en-US" w:eastAsia="zh-CN"/>
        </w:rPr>
        <w:t>增速实际完成</w:t>
      </w:r>
      <w:r>
        <w:rPr>
          <w:rFonts w:hint="eastAsia" w:ascii="Times New Roman" w:hAnsi="Times New Roman"/>
          <w:sz w:val="16"/>
          <w:szCs w:val="16"/>
        </w:rPr>
        <w:t>数据</w:t>
      </w:r>
      <w:r>
        <w:rPr>
          <w:rFonts w:hint="eastAsia" w:ascii="Times New Roman" w:hAnsi="Times New Roman"/>
          <w:sz w:val="16"/>
          <w:szCs w:val="16"/>
          <w:lang w:val="en-US" w:eastAsia="zh-CN"/>
        </w:rPr>
        <w:t>为同比数据</w:t>
      </w:r>
      <w:r>
        <w:rPr>
          <w:rFonts w:hint="eastAsia" w:ascii="Times New Roman" w:hAnsi="Times New Roman"/>
          <w:sz w:val="16"/>
          <w:szCs w:val="16"/>
        </w:rPr>
        <w:t>。</w:t>
      </w:r>
      <w:r>
        <w:rPr>
          <w:rFonts w:ascii="Times New Roman" w:hAnsi="Times New Roman"/>
        </w:rPr>
        <w:br w:type="page"/>
      </w:r>
    </w:p>
    <w:p>
      <w:pPr>
        <w:spacing w:line="300" w:lineRule="exact"/>
        <w:jc w:val="center"/>
        <w:rPr>
          <w:rFonts w:hint="eastAsia" w:ascii="黑体" w:hAnsi="黑体" w:eastAsia="黑体" w:cs="黑体"/>
          <w:bCs/>
          <w:sz w:val="30"/>
          <w:szCs w:val="30"/>
        </w:rPr>
      </w:pPr>
      <w:r>
        <w:rPr>
          <w:rFonts w:hint="eastAsia" w:ascii="黑体" w:hAnsi="黑体" w:eastAsia="黑体" w:cs="黑体"/>
          <w:bCs/>
          <w:sz w:val="30"/>
          <w:szCs w:val="30"/>
        </w:rPr>
        <w:t>二、米易县主要指标</w:t>
      </w:r>
    </w:p>
    <w:p>
      <w:pPr>
        <w:spacing w:line="300" w:lineRule="exact"/>
        <w:jc w:val="center"/>
        <w:rPr>
          <w:sz w:val="16"/>
          <w:szCs w:val="16"/>
        </w:rPr>
      </w:pPr>
      <w:r>
        <w:rPr>
          <w:rFonts w:hint="eastAsia" w:ascii="黑体" w:hAnsi="黑体" w:eastAsia="黑体" w:cs="黑体"/>
          <w:bCs/>
          <w:sz w:val="30"/>
          <w:szCs w:val="30"/>
        </w:rPr>
        <w:t>与全国、全省、全市对比</w:t>
      </w: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p>
      <w:pPr>
        <w:spacing w:line="40" w:lineRule="exact"/>
        <w:rPr>
          <w:sz w:val="16"/>
          <w:szCs w:val="16"/>
        </w:rPr>
      </w:pPr>
    </w:p>
    <w:tbl>
      <w:tblPr>
        <w:tblStyle w:val="7"/>
        <w:tblW w:w="5273" w:type="dxa"/>
        <w:jc w:val="center"/>
        <w:tblLayout w:type="fixed"/>
        <w:tblCellMar>
          <w:top w:w="0" w:type="dxa"/>
          <w:left w:w="108" w:type="dxa"/>
          <w:bottom w:w="0" w:type="dxa"/>
          <w:right w:w="108" w:type="dxa"/>
        </w:tblCellMar>
      </w:tblPr>
      <w:tblGrid>
        <w:gridCol w:w="1240"/>
        <w:gridCol w:w="730"/>
        <w:gridCol w:w="850"/>
        <w:gridCol w:w="850"/>
        <w:gridCol w:w="823"/>
        <w:gridCol w:w="780"/>
      </w:tblGrid>
      <w:tr>
        <w:tblPrEx>
          <w:tblCellMar>
            <w:top w:w="0" w:type="dxa"/>
            <w:left w:w="108" w:type="dxa"/>
            <w:bottom w:w="0" w:type="dxa"/>
            <w:right w:w="108" w:type="dxa"/>
          </w:tblCellMar>
        </w:tblPrEx>
        <w:trPr>
          <w:trHeight w:val="376" w:hRule="exact"/>
          <w:jc w:val="center"/>
        </w:trPr>
        <w:tc>
          <w:tcPr>
            <w:tcW w:w="1240" w:type="dxa"/>
            <w:vMerge w:val="restart"/>
            <w:tcBorders>
              <w:top w:val="single" w:color="auto" w:sz="12" w:space="0"/>
              <w:left w:val="nil"/>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主要指标</w:t>
            </w:r>
          </w:p>
        </w:tc>
        <w:tc>
          <w:tcPr>
            <w:tcW w:w="730" w:type="dxa"/>
            <w:tcBorders>
              <w:top w:val="single" w:color="auto" w:sz="12"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全国</w:t>
            </w:r>
          </w:p>
        </w:tc>
        <w:tc>
          <w:tcPr>
            <w:tcW w:w="850" w:type="dxa"/>
            <w:tcBorders>
              <w:top w:val="single" w:color="auto" w:sz="12"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121" w:right="0"/>
              <w:jc w:val="center"/>
              <w:rPr>
                <w:rFonts w:hint="default" w:ascii="Times New Roman" w:hAnsi="Times New Roman"/>
                <w:kern w:val="0"/>
                <w:sz w:val="20"/>
                <w:szCs w:val="20"/>
              </w:rPr>
            </w:pPr>
            <w:r>
              <w:rPr>
                <w:rFonts w:hint="default" w:ascii="Times New Roman" w:hAnsi="Times New Roman"/>
                <w:kern w:val="0"/>
                <w:sz w:val="20"/>
                <w:szCs w:val="20"/>
              </w:rPr>
              <w:t>全</w:t>
            </w:r>
            <w:r>
              <w:rPr>
                <w:rFonts w:hint="eastAsia" w:ascii="Times New Roman" w:hAnsi="Times New Roman"/>
                <w:kern w:val="0"/>
                <w:sz w:val="20"/>
                <w:szCs w:val="20"/>
              </w:rPr>
              <w:t>省</w:t>
            </w:r>
          </w:p>
        </w:tc>
        <w:tc>
          <w:tcPr>
            <w:tcW w:w="850" w:type="dxa"/>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eastAsia" w:ascii="Times New Roman" w:hAnsi="Times New Roman"/>
                <w:kern w:val="0"/>
                <w:sz w:val="20"/>
                <w:szCs w:val="20"/>
              </w:rPr>
              <w:t>全市</w:t>
            </w:r>
          </w:p>
        </w:tc>
        <w:tc>
          <w:tcPr>
            <w:tcW w:w="1603" w:type="dxa"/>
            <w:gridSpan w:val="2"/>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米易县</w:t>
            </w:r>
          </w:p>
        </w:tc>
      </w:tr>
      <w:tr>
        <w:tblPrEx>
          <w:tblCellMar>
            <w:top w:w="0" w:type="dxa"/>
            <w:left w:w="108" w:type="dxa"/>
            <w:bottom w:w="0" w:type="dxa"/>
            <w:right w:w="108" w:type="dxa"/>
          </w:tblCellMar>
        </w:tblPrEx>
        <w:trPr>
          <w:trHeight w:val="459" w:hRule="exact"/>
          <w:jc w:val="center"/>
        </w:trPr>
        <w:tc>
          <w:tcPr>
            <w:tcW w:w="1240" w:type="dxa"/>
            <w:vMerge w:val="continue"/>
            <w:tcBorders>
              <w:top w:val="nil"/>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kern w:val="0"/>
                <w:sz w:val="20"/>
                <w:szCs w:val="20"/>
              </w:rPr>
            </w:pPr>
          </w:p>
        </w:tc>
        <w:tc>
          <w:tcPr>
            <w:tcW w:w="730" w:type="dxa"/>
            <w:tcBorders>
              <w:top w:val="nil"/>
              <w:left w:val="nil"/>
              <w:bottom w:val="single" w:color="auto" w:sz="12"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50" w:type="dxa"/>
            <w:tcBorders>
              <w:top w:val="nil"/>
              <w:left w:val="nil"/>
              <w:bottom w:val="single" w:color="auto" w:sz="12"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50" w:type="dxa"/>
            <w:tcBorders>
              <w:top w:val="nil"/>
              <w:left w:val="nil"/>
              <w:bottom w:val="single" w:color="auto" w:sz="12"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23" w:type="dxa"/>
            <w:tcBorders>
              <w:top w:val="nil"/>
              <w:left w:val="nil"/>
              <w:bottom w:val="single" w:color="auto" w:sz="12"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增长（%）</w:t>
            </w:r>
          </w:p>
        </w:tc>
        <w:tc>
          <w:tcPr>
            <w:tcW w:w="780" w:type="dxa"/>
            <w:tcBorders>
              <w:top w:val="nil"/>
              <w:left w:val="single" w:color="auto" w:sz="4" w:space="0"/>
              <w:bottom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eastAsia" w:ascii="Times New Roman" w:hAnsi="Times New Roman"/>
                <w:kern w:val="0"/>
                <w:sz w:val="18"/>
                <w:szCs w:val="18"/>
              </w:rPr>
              <w:t>在全市排</w:t>
            </w:r>
            <w:r>
              <w:rPr>
                <w:rFonts w:hint="eastAsia" w:ascii="Times New Roman" w:hAnsi="Times New Roman"/>
                <w:kern w:val="0"/>
                <w:sz w:val="20"/>
                <w:szCs w:val="20"/>
              </w:rPr>
              <w:t>位</w:t>
            </w:r>
          </w:p>
        </w:tc>
      </w:tr>
      <w:tr>
        <w:tblPrEx>
          <w:tblCellMar>
            <w:top w:w="0" w:type="dxa"/>
            <w:left w:w="108" w:type="dxa"/>
            <w:bottom w:w="0" w:type="dxa"/>
            <w:right w:w="108" w:type="dxa"/>
          </w:tblCellMar>
        </w:tblPrEx>
        <w:trPr>
          <w:trHeight w:val="1120" w:hRule="atLeast"/>
          <w:jc w:val="center"/>
        </w:trPr>
        <w:tc>
          <w:tcPr>
            <w:tcW w:w="1240" w:type="dxa"/>
            <w:tcBorders>
              <w:top w:val="single" w:color="auto" w:sz="12" w:space="0"/>
              <w:left w:val="nil"/>
              <w:bottom w:val="nil"/>
              <w:right w:val="single" w:color="auto" w:sz="4" w:space="0"/>
            </w:tcBorders>
            <w:noWrap/>
            <w:vAlign w:val="center"/>
          </w:tcPr>
          <w:p>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地区生产总值（GDP）</w:t>
            </w:r>
          </w:p>
        </w:tc>
        <w:tc>
          <w:tcPr>
            <w:tcW w:w="730" w:type="dxa"/>
            <w:tcBorders>
              <w:top w:val="single" w:color="auto" w:sz="12" w:space="0"/>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50" w:type="dxa"/>
            <w:tcBorders>
              <w:top w:val="single" w:color="auto" w:sz="12" w:space="0"/>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50" w:type="dxa"/>
            <w:tcBorders>
              <w:top w:val="single" w:color="auto" w:sz="12" w:space="0"/>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23" w:type="dxa"/>
            <w:tcBorders>
              <w:top w:val="single" w:color="auto" w:sz="12" w:space="0"/>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780" w:type="dxa"/>
            <w:tcBorders>
              <w:top w:val="single" w:color="auto" w:sz="12" w:space="0"/>
              <w:left w:val="single" w:color="auto" w:sz="4" w:space="0"/>
              <w:bottom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tblPrEx>
          <w:tblCellMar>
            <w:top w:w="0" w:type="dxa"/>
            <w:left w:w="108" w:type="dxa"/>
            <w:bottom w:w="0" w:type="dxa"/>
            <w:right w:w="108" w:type="dxa"/>
          </w:tblCellMar>
        </w:tblPrEx>
        <w:trPr>
          <w:trHeight w:val="964" w:hRule="atLeast"/>
          <w:jc w:val="center"/>
        </w:trPr>
        <w:tc>
          <w:tcPr>
            <w:tcW w:w="1240" w:type="dxa"/>
            <w:tcBorders>
              <w:top w:val="nil"/>
              <w:left w:val="nil"/>
              <w:bottom w:val="nil"/>
              <w:right w:val="single" w:color="auto" w:sz="4" w:space="0"/>
            </w:tcBorders>
            <w:noWrap/>
            <w:vAlign w:val="center"/>
          </w:tcPr>
          <w:p>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规模以上工业增加值</w:t>
            </w:r>
          </w:p>
        </w:tc>
        <w:tc>
          <w:tcPr>
            <w:tcW w:w="73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6.3</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6.8</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8.2</w:t>
            </w:r>
          </w:p>
        </w:tc>
        <w:tc>
          <w:tcPr>
            <w:tcW w:w="823"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9.3</w:t>
            </w:r>
          </w:p>
        </w:tc>
        <w:tc>
          <w:tcPr>
            <w:tcW w:w="780" w:type="dxa"/>
            <w:tcBorders>
              <w:top w:val="nil"/>
              <w:left w:val="single" w:color="auto" w:sz="4" w:space="0"/>
              <w:bottom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2</w:t>
            </w:r>
          </w:p>
        </w:tc>
      </w:tr>
      <w:tr>
        <w:tblPrEx>
          <w:tblCellMar>
            <w:top w:w="0" w:type="dxa"/>
            <w:left w:w="108" w:type="dxa"/>
            <w:bottom w:w="0" w:type="dxa"/>
            <w:right w:w="108" w:type="dxa"/>
          </w:tblCellMar>
        </w:tblPrEx>
        <w:trPr>
          <w:trHeight w:val="964" w:hRule="atLeast"/>
          <w:jc w:val="center"/>
        </w:trPr>
        <w:tc>
          <w:tcPr>
            <w:tcW w:w="1240"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default" w:ascii="Times New Roman" w:hAnsi="Times New Roman"/>
                <w:sz w:val="20"/>
                <w:szCs w:val="20"/>
              </w:rPr>
              <w:t>全社会固定资产投资</w:t>
            </w:r>
          </w:p>
        </w:tc>
        <w:tc>
          <w:tcPr>
            <w:tcW w:w="73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4.2</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1.6</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-1.4</w:t>
            </w:r>
          </w:p>
        </w:tc>
        <w:tc>
          <w:tcPr>
            <w:tcW w:w="823"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-22.9</w:t>
            </w:r>
          </w:p>
        </w:tc>
        <w:tc>
          <w:tcPr>
            <w:tcW w:w="780" w:type="dxa"/>
            <w:tcBorders>
              <w:top w:val="nil"/>
              <w:left w:val="single" w:color="auto" w:sz="4" w:space="0"/>
              <w:bottom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5</w:t>
            </w:r>
          </w:p>
        </w:tc>
      </w:tr>
      <w:tr>
        <w:tblPrEx>
          <w:tblCellMar>
            <w:top w:w="0" w:type="dxa"/>
            <w:left w:w="108" w:type="dxa"/>
            <w:bottom w:w="0" w:type="dxa"/>
            <w:right w:w="108" w:type="dxa"/>
          </w:tblCellMar>
        </w:tblPrEx>
        <w:trPr>
          <w:trHeight w:val="964" w:hRule="atLeast"/>
          <w:jc w:val="center"/>
        </w:trPr>
        <w:tc>
          <w:tcPr>
            <w:tcW w:w="1240" w:type="dxa"/>
            <w:tcBorders>
              <w:top w:val="nil"/>
              <w:left w:val="nil"/>
              <w:bottom w:val="nil"/>
              <w:right w:val="single" w:color="auto" w:sz="4" w:space="0"/>
            </w:tcBorders>
            <w:noWrap/>
            <w:vAlign w:val="center"/>
          </w:tcPr>
          <w:p>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社会消费品零售总额</w:t>
            </w:r>
          </w:p>
        </w:tc>
        <w:tc>
          <w:tcPr>
            <w:tcW w:w="73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4.1</w:t>
            </w:r>
          </w:p>
        </w:tc>
        <w:tc>
          <w:tcPr>
            <w:tcW w:w="850"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5.4</w:t>
            </w:r>
          </w:p>
        </w:tc>
        <w:tc>
          <w:tcPr>
            <w:tcW w:w="850" w:type="dxa"/>
            <w:tcBorders>
              <w:top w:val="nil"/>
              <w:left w:val="single" w:color="auto" w:sz="4" w:space="0"/>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8.4</w:t>
            </w:r>
          </w:p>
        </w:tc>
        <w:tc>
          <w:tcPr>
            <w:tcW w:w="823"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8.5</w:t>
            </w:r>
          </w:p>
        </w:tc>
        <w:tc>
          <w:tcPr>
            <w:tcW w:w="780" w:type="dxa"/>
            <w:tcBorders>
              <w:top w:val="nil"/>
              <w:left w:val="single" w:color="auto" w:sz="4" w:space="0"/>
              <w:bottom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3</w:t>
            </w:r>
          </w:p>
        </w:tc>
      </w:tr>
      <w:tr>
        <w:tblPrEx>
          <w:tblCellMar>
            <w:top w:w="0" w:type="dxa"/>
            <w:left w:w="108" w:type="dxa"/>
            <w:bottom w:w="0" w:type="dxa"/>
            <w:right w:w="108" w:type="dxa"/>
          </w:tblCellMar>
        </w:tblPrEx>
        <w:trPr>
          <w:trHeight w:val="1060" w:hRule="atLeast"/>
          <w:jc w:val="center"/>
        </w:trPr>
        <w:tc>
          <w:tcPr>
            <w:tcW w:w="1240"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left"/>
              <w:rPr>
                <w:rFonts w:hint="eastAsia" w:ascii="Times New Roman" w:hAnsi="Times New Roman"/>
                <w:sz w:val="20"/>
                <w:szCs w:val="20"/>
              </w:rPr>
            </w:pPr>
            <w:r>
              <w:rPr>
                <w:rFonts w:hint="eastAsia" w:ascii="Times New Roman" w:hAnsi="Times New Roman"/>
                <w:sz w:val="20"/>
                <w:szCs w:val="20"/>
              </w:rPr>
              <w:t>城镇居民人均可支配</w:t>
            </w:r>
          </w:p>
          <w:p>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eastAsia" w:ascii="Times New Roman" w:hAnsi="Times New Roman"/>
                <w:sz w:val="20"/>
                <w:szCs w:val="20"/>
              </w:rPr>
              <w:t>收入</w:t>
            </w:r>
          </w:p>
        </w:tc>
        <w:tc>
          <w:tcPr>
            <w:tcW w:w="73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23"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780" w:type="dxa"/>
            <w:tcBorders>
              <w:top w:val="nil"/>
              <w:left w:val="single" w:color="auto" w:sz="4" w:space="0"/>
              <w:bottom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r>
      <w:tr>
        <w:tblPrEx>
          <w:tblCellMar>
            <w:top w:w="0" w:type="dxa"/>
            <w:left w:w="108" w:type="dxa"/>
            <w:bottom w:w="0" w:type="dxa"/>
            <w:right w:w="108" w:type="dxa"/>
          </w:tblCellMar>
        </w:tblPrEx>
        <w:trPr>
          <w:trHeight w:val="1086" w:hRule="atLeast"/>
          <w:jc w:val="center"/>
        </w:trPr>
        <w:tc>
          <w:tcPr>
            <w:tcW w:w="1240" w:type="dxa"/>
            <w:tcBorders>
              <w:top w:val="nil"/>
              <w:left w:val="nil"/>
              <w:bottom w:val="nil"/>
              <w:right w:val="single" w:color="auto" w:sz="4" w:space="0"/>
            </w:tcBorders>
            <w:noWrap/>
            <w:vAlign w:val="center"/>
          </w:tcPr>
          <w:p>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农村居民人均可支配</w:t>
            </w:r>
          </w:p>
          <w:p>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收入</w:t>
            </w:r>
          </w:p>
        </w:tc>
        <w:tc>
          <w:tcPr>
            <w:tcW w:w="73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50"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23" w:type="dxa"/>
            <w:tcBorders>
              <w:top w:val="nil"/>
              <w:left w:val="nil"/>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780" w:type="dxa"/>
            <w:tcBorders>
              <w:top w:val="nil"/>
              <w:left w:val="single" w:color="auto" w:sz="4" w:space="0"/>
              <w:bottom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r>
      <w:tr>
        <w:tblPrEx>
          <w:tblCellMar>
            <w:top w:w="0" w:type="dxa"/>
            <w:left w:w="108" w:type="dxa"/>
            <w:bottom w:w="0" w:type="dxa"/>
            <w:right w:w="108" w:type="dxa"/>
          </w:tblCellMar>
        </w:tblPrEx>
        <w:trPr>
          <w:trHeight w:val="1061" w:hRule="atLeast"/>
          <w:jc w:val="center"/>
        </w:trPr>
        <w:tc>
          <w:tcPr>
            <w:tcW w:w="1240" w:type="dxa"/>
            <w:tcBorders>
              <w:top w:val="nil"/>
              <w:left w:val="nil"/>
              <w:bottom w:val="single" w:color="auto" w:sz="12" w:space="0"/>
              <w:right w:val="single" w:color="auto" w:sz="4" w:space="0"/>
            </w:tcBorders>
            <w:noWrap/>
            <w:vAlign w:val="center"/>
          </w:tcPr>
          <w:p>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eastAsia" w:ascii="Times New Roman" w:hAnsi="Times New Roman"/>
                <w:kern w:val="0"/>
                <w:sz w:val="20"/>
                <w:szCs w:val="20"/>
              </w:rPr>
              <w:t>一般公共预算收入</w:t>
            </w:r>
          </w:p>
        </w:tc>
        <w:tc>
          <w:tcPr>
            <w:tcW w:w="730" w:type="dxa"/>
            <w:tcBorders>
              <w:top w:val="nil"/>
              <w:left w:val="nil"/>
              <w:bottom w:val="single" w:color="auto" w:sz="12"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50" w:type="dxa"/>
            <w:tcBorders>
              <w:top w:val="nil"/>
              <w:left w:val="nil"/>
              <w:bottom w:val="single" w:color="auto" w:sz="12"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w:t>
            </w:r>
          </w:p>
        </w:tc>
        <w:tc>
          <w:tcPr>
            <w:tcW w:w="850" w:type="dxa"/>
            <w:tcBorders>
              <w:top w:val="nil"/>
              <w:left w:val="nil"/>
              <w:bottom w:val="single" w:color="auto" w:sz="12"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28.0</w:t>
            </w:r>
          </w:p>
        </w:tc>
        <w:tc>
          <w:tcPr>
            <w:tcW w:w="823" w:type="dxa"/>
            <w:tcBorders>
              <w:top w:val="nil"/>
              <w:left w:val="nil"/>
              <w:bottom w:val="single" w:color="auto" w:sz="12"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-7.1</w:t>
            </w:r>
          </w:p>
        </w:tc>
        <w:tc>
          <w:tcPr>
            <w:tcW w:w="780" w:type="dxa"/>
            <w:tcBorders>
              <w:top w:val="nil"/>
              <w:left w:val="single" w:color="auto" w:sz="4" w:space="0"/>
              <w:bottom w:val="single" w:color="auto" w:sz="12"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3</w:t>
            </w:r>
          </w:p>
        </w:tc>
      </w:tr>
    </w:tbl>
    <w:p>
      <w:pPr>
        <w:widowControl/>
        <w:snapToGrid w:val="0"/>
        <w:spacing w:line="300" w:lineRule="exact"/>
        <w:jc w:val="left"/>
        <w:rPr>
          <w:rFonts w:hint="eastAsia" w:asciiTheme="minorEastAsia" w:hAnsiTheme="minorEastAsia" w:eastAsiaTheme="minorEastAsia"/>
          <w:kern w:val="0"/>
          <w:sz w:val="16"/>
          <w:szCs w:val="16"/>
        </w:rPr>
      </w:pPr>
      <w:r>
        <w:rPr>
          <w:rFonts w:asciiTheme="minorEastAsia" w:hAnsiTheme="minorEastAsia" w:eastAsiaTheme="minorEastAsia"/>
          <w:kern w:val="0"/>
          <w:sz w:val="16"/>
          <w:szCs w:val="16"/>
        </w:rPr>
        <w:t>备注</w:t>
      </w:r>
      <w:r>
        <w:rPr>
          <w:rFonts w:hint="eastAsia" w:asciiTheme="minorEastAsia" w:hAnsiTheme="minorEastAsia" w:eastAsiaTheme="minorEastAsia"/>
          <w:kern w:val="0"/>
          <w:sz w:val="16"/>
          <w:szCs w:val="16"/>
        </w:rPr>
        <w:t>：一般公共预算收入</w:t>
      </w:r>
      <w:r>
        <w:rPr>
          <w:rFonts w:hint="eastAsia" w:asciiTheme="minorEastAsia" w:hAnsiTheme="minorEastAsia" w:eastAsiaTheme="minorEastAsia"/>
          <w:kern w:val="0"/>
          <w:sz w:val="16"/>
          <w:szCs w:val="16"/>
          <w:lang w:val="en-US" w:eastAsia="zh-CN"/>
        </w:rPr>
        <w:t>增速实际完成</w:t>
      </w:r>
      <w:r>
        <w:rPr>
          <w:rFonts w:hint="eastAsia" w:asciiTheme="minorEastAsia" w:hAnsiTheme="minorEastAsia" w:eastAsiaTheme="minorEastAsia"/>
          <w:kern w:val="0"/>
          <w:sz w:val="16"/>
          <w:szCs w:val="16"/>
        </w:rPr>
        <w:t>数据</w:t>
      </w:r>
      <w:r>
        <w:rPr>
          <w:rFonts w:hint="eastAsia" w:asciiTheme="minorEastAsia" w:hAnsiTheme="minorEastAsia" w:eastAsiaTheme="minorEastAsia"/>
          <w:kern w:val="0"/>
          <w:sz w:val="16"/>
          <w:szCs w:val="16"/>
          <w:lang w:val="en-US" w:eastAsia="zh-CN"/>
        </w:rPr>
        <w:t>为同比数据</w:t>
      </w:r>
      <w:r>
        <w:rPr>
          <w:rFonts w:hint="eastAsia" w:asciiTheme="minorEastAsia" w:hAnsiTheme="minorEastAsia" w:eastAsiaTheme="minorEastAsia"/>
          <w:kern w:val="0"/>
          <w:sz w:val="16"/>
          <w:szCs w:val="16"/>
        </w:rPr>
        <w:t>。</w:t>
      </w:r>
    </w:p>
    <w:p>
      <w:pPr>
        <w:widowControl/>
        <w:snapToGrid w:val="0"/>
        <w:spacing w:line="300" w:lineRule="exact"/>
        <w:ind w:left="639" w:leftChars="228" w:hanging="160" w:hangingChars="100"/>
        <w:jc w:val="left"/>
        <w:rPr>
          <w:rFonts w:asciiTheme="minorEastAsia" w:hAnsiTheme="minorEastAsia" w:eastAsiaTheme="minorEastAsia"/>
          <w:color w:val="0000FF"/>
          <w:kern w:val="0"/>
          <w:sz w:val="16"/>
          <w:szCs w:val="16"/>
        </w:rPr>
      </w:pPr>
    </w:p>
    <w:p>
      <w:pPr>
        <w:spacing w:line="300" w:lineRule="exact"/>
        <w:jc w:val="center"/>
        <w:rPr>
          <w:rFonts w:hint="eastAsia" w:ascii="黑体" w:hAnsi="黑体" w:eastAsia="黑体" w:cs="黑体"/>
          <w:bCs/>
          <w:sz w:val="30"/>
          <w:szCs w:val="30"/>
        </w:rPr>
      </w:pPr>
    </w:p>
    <w:p>
      <w:pPr>
        <w:spacing w:line="300" w:lineRule="exact"/>
        <w:jc w:val="center"/>
        <w:rPr>
          <w:rFonts w:hint="eastAsia" w:ascii="黑体" w:hAnsi="黑体" w:eastAsia="黑体" w:cs="黑体"/>
          <w:bCs/>
          <w:sz w:val="30"/>
          <w:szCs w:val="30"/>
        </w:rPr>
      </w:pPr>
    </w:p>
    <w:p>
      <w:pPr>
        <w:spacing w:line="300" w:lineRule="exact"/>
        <w:jc w:val="center"/>
        <w:rPr>
          <w:rFonts w:hint="eastAsia" w:ascii="黑体" w:hAnsi="黑体" w:eastAsia="黑体" w:cs="黑体"/>
          <w:bCs/>
          <w:sz w:val="30"/>
          <w:szCs w:val="30"/>
        </w:rPr>
      </w:pPr>
      <w:r>
        <w:rPr>
          <w:rFonts w:hint="eastAsia" w:ascii="黑体" w:hAnsi="黑体" w:eastAsia="黑体" w:cs="黑体"/>
          <w:bCs/>
          <w:sz w:val="30"/>
          <w:szCs w:val="30"/>
        </w:rPr>
        <w:t>三、规模以上工业企业</w:t>
      </w:r>
      <w:r>
        <w:rPr>
          <w:rFonts w:hint="eastAsia" w:ascii="黑体" w:hAnsi="黑体" w:eastAsia="黑体" w:cs="黑体"/>
          <w:bCs/>
          <w:sz w:val="30"/>
          <w:szCs w:val="30"/>
          <w:lang w:val="en-US" w:eastAsia="zh-CN"/>
        </w:rPr>
        <w:t>主要经济指标</w:t>
      </w:r>
    </w:p>
    <w:tbl>
      <w:tblPr>
        <w:tblStyle w:val="7"/>
        <w:tblW w:w="5221" w:type="dxa"/>
        <w:jc w:val="center"/>
        <w:tblLayout w:type="fixed"/>
        <w:tblCellMar>
          <w:top w:w="0" w:type="dxa"/>
          <w:left w:w="108" w:type="dxa"/>
          <w:bottom w:w="0" w:type="dxa"/>
          <w:right w:w="108" w:type="dxa"/>
        </w:tblCellMar>
      </w:tblPr>
      <w:tblGrid>
        <w:gridCol w:w="1735"/>
        <w:gridCol w:w="696"/>
        <w:gridCol w:w="1019"/>
        <w:gridCol w:w="937"/>
        <w:gridCol w:w="834"/>
      </w:tblGrid>
      <w:tr>
        <w:tblPrEx>
          <w:tblCellMar>
            <w:top w:w="0" w:type="dxa"/>
            <w:left w:w="108" w:type="dxa"/>
            <w:bottom w:w="0" w:type="dxa"/>
            <w:right w:w="108" w:type="dxa"/>
          </w:tblCellMar>
        </w:tblPrEx>
        <w:trPr>
          <w:trHeight w:val="907" w:hRule="atLeast"/>
          <w:jc w:val="center"/>
        </w:trPr>
        <w:tc>
          <w:tcPr>
            <w:tcW w:w="1735"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指标名称</w:t>
            </w:r>
          </w:p>
        </w:tc>
        <w:tc>
          <w:tcPr>
            <w:tcW w:w="696"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lang w:val="en-US" w:eastAsia="zh-CN"/>
              </w:rPr>
            </w:pPr>
            <w:r>
              <w:rPr>
                <w:rFonts w:hint="eastAsia" w:ascii="宋体" w:hAnsi="宋体" w:cs="宋体"/>
                <w:sz w:val="18"/>
                <w:szCs w:val="18"/>
                <w:lang w:val="en-US" w:eastAsia="zh-CN"/>
              </w:rPr>
              <w:t>单位</w:t>
            </w:r>
          </w:p>
        </w:tc>
        <w:tc>
          <w:tcPr>
            <w:tcW w:w="1019"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月止</w:t>
            </w:r>
          </w:p>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累计</w:t>
            </w:r>
          </w:p>
        </w:tc>
        <w:tc>
          <w:tcPr>
            <w:tcW w:w="937"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lang w:eastAsia="zh-CN"/>
              </w:rPr>
            </w:pPr>
            <w:r>
              <w:rPr>
                <w:rFonts w:hint="eastAsia" w:ascii="宋体" w:hAnsi="宋体" w:cs="宋体"/>
                <w:sz w:val="18"/>
                <w:szCs w:val="18"/>
              </w:rPr>
              <w:t>同期</w:t>
            </w:r>
            <w:r>
              <w:rPr>
                <w:rFonts w:hint="eastAsia" w:ascii="宋体" w:hAnsi="宋体" w:cs="宋体"/>
                <w:sz w:val="18"/>
                <w:szCs w:val="18"/>
                <w:lang w:val="en-US" w:eastAsia="zh-CN"/>
              </w:rPr>
              <w:t>累计</w:t>
            </w:r>
          </w:p>
        </w:tc>
        <w:tc>
          <w:tcPr>
            <w:tcW w:w="834" w:type="dxa"/>
            <w:tcBorders>
              <w:top w:val="single" w:color="auto" w:sz="12" w:space="0"/>
              <w:left w:val="single" w:color="auto" w:sz="4" w:space="0"/>
              <w:bottom w:val="single" w:color="auto" w:sz="12" w:space="0"/>
              <w:right w:val="nil"/>
            </w:tcBorders>
            <w:vAlign w:val="center"/>
          </w:tcPr>
          <w:p>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比同期</w:t>
            </w:r>
          </w:p>
          <w:p>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累计±%</w:t>
            </w:r>
          </w:p>
        </w:tc>
      </w:tr>
      <w:tr>
        <w:tblPrEx>
          <w:tblCellMar>
            <w:top w:w="0" w:type="dxa"/>
            <w:left w:w="108" w:type="dxa"/>
            <w:bottom w:w="0" w:type="dxa"/>
            <w:right w:w="108" w:type="dxa"/>
          </w:tblCellMar>
        </w:tblPrEx>
        <w:trPr>
          <w:trHeight w:val="864" w:hRule="atLeast"/>
          <w:jc w:val="center"/>
        </w:trPr>
        <w:tc>
          <w:tcPr>
            <w:tcW w:w="1735" w:type="dxa"/>
            <w:tcBorders>
              <w:top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企业单位数</w:t>
            </w:r>
          </w:p>
        </w:tc>
        <w:tc>
          <w:tcPr>
            <w:tcW w:w="696" w:type="dxa"/>
            <w:tcBorders>
              <w:top w:val="single" w:color="auto" w:sz="12" w:space="0"/>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个</w:t>
            </w:r>
          </w:p>
        </w:tc>
        <w:tc>
          <w:tcPr>
            <w:tcW w:w="1019" w:type="dxa"/>
            <w:tcBorders>
              <w:top w:val="single" w:color="auto" w:sz="12"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937" w:type="dxa"/>
            <w:tcBorders>
              <w:top w:val="single" w:color="auto" w:sz="12"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834" w:type="dxa"/>
            <w:tcBorders>
              <w:top w:val="single" w:color="auto" w:sz="12" w:space="0"/>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r>
      <w:tr>
        <w:tblPrEx>
          <w:tblCellMar>
            <w:top w:w="0" w:type="dxa"/>
            <w:left w:w="108" w:type="dxa"/>
            <w:bottom w:w="0" w:type="dxa"/>
            <w:right w:w="108" w:type="dxa"/>
          </w:tblCellMar>
        </w:tblPrEx>
        <w:trPr>
          <w:trHeight w:val="721" w:hRule="atLeast"/>
          <w:jc w:val="center"/>
        </w:trPr>
        <w:tc>
          <w:tcPr>
            <w:tcW w:w="1735" w:type="dxa"/>
            <w:tcBorders>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#亏损企业数</w:t>
            </w:r>
          </w:p>
        </w:tc>
        <w:tc>
          <w:tcPr>
            <w:tcW w:w="696" w:type="dxa"/>
            <w:tcBorders>
              <w:left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个</w:t>
            </w:r>
          </w:p>
        </w:tc>
        <w:tc>
          <w:tcPr>
            <w:tcW w:w="101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937"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83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-26.3</w:t>
            </w:r>
          </w:p>
        </w:tc>
      </w:tr>
      <w:tr>
        <w:tblPrEx>
          <w:tblCellMar>
            <w:top w:w="0" w:type="dxa"/>
            <w:left w:w="108" w:type="dxa"/>
            <w:bottom w:w="0" w:type="dxa"/>
            <w:right w:w="108" w:type="dxa"/>
          </w:tblCellMar>
        </w:tblPrEx>
        <w:trPr>
          <w:trHeight w:val="769" w:hRule="atLeast"/>
          <w:jc w:val="center"/>
        </w:trPr>
        <w:tc>
          <w:tcPr>
            <w:tcW w:w="1735" w:type="dxa"/>
            <w:tcBorders>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亏损面</w:t>
            </w:r>
          </w:p>
        </w:tc>
        <w:tc>
          <w:tcPr>
            <w:tcW w:w="696" w:type="dxa"/>
            <w:tcBorders>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019" w:type="dxa"/>
            <w:tcBorders>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34.1</w:t>
            </w:r>
          </w:p>
        </w:tc>
        <w:tc>
          <w:tcPr>
            <w:tcW w:w="937" w:type="dxa"/>
            <w:tcBorders>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48.7</w:t>
            </w:r>
          </w:p>
        </w:tc>
        <w:tc>
          <w:tcPr>
            <w:tcW w:w="834" w:type="dxa"/>
            <w:tcBorders>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-14.6</w:t>
            </w:r>
          </w:p>
        </w:tc>
      </w:tr>
      <w:tr>
        <w:tblPrEx>
          <w:tblCellMar>
            <w:top w:w="0" w:type="dxa"/>
            <w:left w:w="108" w:type="dxa"/>
            <w:bottom w:w="0" w:type="dxa"/>
            <w:right w:w="108" w:type="dxa"/>
          </w:tblCellMar>
        </w:tblPrEx>
        <w:trPr>
          <w:trHeight w:val="864" w:hRule="atLeast"/>
          <w:jc w:val="center"/>
        </w:trPr>
        <w:tc>
          <w:tcPr>
            <w:tcW w:w="1735"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规上</w:t>
            </w:r>
            <w:r>
              <w:rPr>
                <w:rFonts w:hint="eastAsia" w:ascii="宋体" w:hAnsi="宋体" w:cs="宋体"/>
                <w:sz w:val="18"/>
                <w:szCs w:val="18"/>
              </w:rPr>
              <w:t>工业总产值</w:t>
            </w:r>
          </w:p>
        </w:tc>
        <w:tc>
          <w:tcPr>
            <w:tcW w:w="696"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879641 </w:t>
            </w:r>
          </w:p>
        </w:tc>
        <w:tc>
          <w:tcPr>
            <w:tcW w:w="93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761051 </w:t>
            </w:r>
          </w:p>
        </w:tc>
        <w:tc>
          <w:tcPr>
            <w:tcW w:w="834" w:type="dxa"/>
            <w:tcBorders>
              <w:top w:val="nil"/>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15.6</w:t>
            </w:r>
          </w:p>
        </w:tc>
      </w:tr>
      <w:tr>
        <w:tblPrEx>
          <w:tblCellMar>
            <w:top w:w="0" w:type="dxa"/>
            <w:left w:w="108" w:type="dxa"/>
            <w:bottom w:w="0" w:type="dxa"/>
            <w:right w:w="108" w:type="dxa"/>
          </w:tblCellMar>
        </w:tblPrEx>
        <w:trPr>
          <w:trHeight w:val="925" w:hRule="atLeast"/>
          <w:jc w:val="center"/>
        </w:trPr>
        <w:tc>
          <w:tcPr>
            <w:tcW w:w="1735" w:type="dxa"/>
            <w:tcBorders>
              <w:top w:val="nil"/>
              <w:left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规上</w:t>
            </w:r>
            <w:r>
              <w:rPr>
                <w:rFonts w:hint="eastAsia" w:ascii="宋体" w:hAnsi="宋体" w:cs="宋体"/>
                <w:sz w:val="18"/>
                <w:szCs w:val="18"/>
              </w:rPr>
              <w:t>工业增加值增速</w:t>
            </w:r>
          </w:p>
        </w:tc>
        <w:tc>
          <w:tcPr>
            <w:tcW w:w="696" w:type="dxa"/>
            <w:tcBorders>
              <w:top w:val="nil"/>
              <w:left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019" w:type="dxa"/>
            <w:tcBorders>
              <w:top w:val="nil"/>
              <w:left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37" w:type="dxa"/>
            <w:tcBorders>
              <w:top w:val="nil"/>
              <w:left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34" w:type="dxa"/>
            <w:tcBorders>
              <w:top w:val="nil"/>
              <w:left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9.3</w:t>
            </w:r>
          </w:p>
        </w:tc>
      </w:tr>
      <w:tr>
        <w:tblPrEx>
          <w:tblCellMar>
            <w:top w:w="0" w:type="dxa"/>
            <w:left w:w="108" w:type="dxa"/>
            <w:bottom w:w="0" w:type="dxa"/>
            <w:right w:w="108" w:type="dxa"/>
          </w:tblCellMar>
        </w:tblPrEx>
        <w:trPr>
          <w:trHeight w:val="852" w:hRule="atLeast"/>
          <w:jc w:val="center"/>
        </w:trPr>
        <w:tc>
          <w:tcPr>
            <w:tcW w:w="1735"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营业收入</w:t>
            </w:r>
          </w:p>
        </w:tc>
        <w:tc>
          <w:tcPr>
            <w:tcW w:w="696"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774136</w:t>
            </w:r>
          </w:p>
        </w:tc>
        <w:tc>
          <w:tcPr>
            <w:tcW w:w="93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646854</w:t>
            </w:r>
          </w:p>
        </w:tc>
        <w:tc>
          <w:tcPr>
            <w:tcW w:w="834" w:type="dxa"/>
            <w:tcBorders>
              <w:top w:val="nil"/>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19.7</w:t>
            </w:r>
          </w:p>
        </w:tc>
      </w:tr>
      <w:tr>
        <w:tblPrEx>
          <w:tblCellMar>
            <w:top w:w="0" w:type="dxa"/>
            <w:left w:w="108" w:type="dxa"/>
            <w:bottom w:w="0" w:type="dxa"/>
            <w:right w:w="108" w:type="dxa"/>
          </w:tblCellMar>
        </w:tblPrEx>
        <w:trPr>
          <w:trHeight w:val="814" w:hRule="atLeast"/>
          <w:jc w:val="center"/>
        </w:trPr>
        <w:tc>
          <w:tcPr>
            <w:tcW w:w="1735"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应交增值税</w:t>
            </w:r>
          </w:p>
        </w:tc>
        <w:tc>
          <w:tcPr>
            <w:tcW w:w="696"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27424</w:t>
            </w:r>
          </w:p>
        </w:tc>
        <w:tc>
          <w:tcPr>
            <w:tcW w:w="93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17484</w:t>
            </w:r>
          </w:p>
        </w:tc>
        <w:tc>
          <w:tcPr>
            <w:tcW w:w="834" w:type="dxa"/>
            <w:tcBorders>
              <w:top w:val="nil"/>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56.9</w:t>
            </w:r>
          </w:p>
        </w:tc>
      </w:tr>
      <w:tr>
        <w:tblPrEx>
          <w:tblCellMar>
            <w:top w:w="0" w:type="dxa"/>
            <w:left w:w="108" w:type="dxa"/>
            <w:bottom w:w="0" w:type="dxa"/>
            <w:right w:w="108" w:type="dxa"/>
          </w:tblCellMar>
        </w:tblPrEx>
        <w:trPr>
          <w:trHeight w:val="840" w:hRule="atLeast"/>
          <w:jc w:val="center"/>
        </w:trPr>
        <w:tc>
          <w:tcPr>
            <w:tcW w:w="1735"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营业利润</w:t>
            </w:r>
          </w:p>
        </w:tc>
        <w:tc>
          <w:tcPr>
            <w:tcW w:w="696" w:type="dxa"/>
            <w:tcBorders>
              <w:top w:val="nil"/>
              <w:left w:val="nil"/>
              <w:bottom w:val="nil"/>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108192</w:t>
            </w:r>
          </w:p>
        </w:tc>
        <w:tc>
          <w:tcPr>
            <w:tcW w:w="93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54857</w:t>
            </w:r>
          </w:p>
        </w:tc>
        <w:tc>
          <w:tcPr>
            <w:tcW w:w="834" w:type="dxa"/>
            <w:tcBorders>
              <w:top w:val="nil"/>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97.2</w:t>
            </w:r>
          </w:p>
        </w:tc>
      </w:tr>
      <w:tr>
        <w:tblPrEx>
          <w:tblCellMar>
            <w:top w:w="0" w:type="dxa"/>
            <w:left w:w="108" w:type="dxa"/>
            <w:bottom w:w="0" w:type="dxa"/>
            <w:right w:w="108" w:type="dxa"/>
          </w:tblCellMar>
        </w:tblPrEx>
        <w:trPr>
          <w:trHeight w:val="828" w:hRule="atLeast"/>
          <w:jc w:val="center"/>
        </w:trPr>
        <w:tc>
          <w:tcPr>
            <w:tcW w:w="1735" w:type="dxa"/>
            <w:tcBorders>
              <w:top w:val="nil"/>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资产负债率</w:t>
            </w:r>
          </w:p>
        </w:tc>
        <w:tc>
          <w:tcPr>
            <w:tcW w:w="696" w:type="dxa"/>
            <w:tcBorders>
              <w:top w:val="nil"/>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default" w:ascii="宋体" w:hAnsi="宋体" w:cs="宋体"/>
                <w:sz w:val="18"/>
                <w:szCs w:val="18"/>
                <w:lang w:val="en-US" w:eastAsia="zh-CN"/>
              </w:rPr>
              <w:t>%</w:t>
            </w:r>
          </w:p>
        </w:tc>
        <w:tc>
          <w:tcPr>
            <w:tcW w:w="1019" w:type="dxa"/>
            <w:tcBorders>
              <w:top w:val="nil"/>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937" w:type="dxa"/>
            <w:tcBorders>
              <w:top w:val="nil"/>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49.7</w:t>
            </w:r>
          </w:p>
        </w:tc>
        <w:tc>
          <w:tcPr>
            <w:tcW w:w="834" w:type="dxa"/>
            <w:tcBorders>
              <w:top w:val="nil"/>
              <w:left w:val="single" w:color="auto" w:sz="4" w:space="0"/>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-0.7</w:t>
            </w:r>
          </w:p>
        </w:tc>
      </w:tr>
    </w:tbl>
    <w:p>
      <w:pPr>
        <w:widowControl/>
        <w:snapToGrid w:val="0"/>
        <w:spacing w:line="300" w:lineRule="exact"/>
        <w:jc w:val="left"/>
        <w:rPr>
          <w:rFonts w:hint="default" w:asciiTheme="minorEastAsia" w:hAnsiTheme="minorEastAsia" w:eastAsiaTheme="minorEastAsia"/>
          <w:spacing w:val="-6"/>
          <w:kern w:val="0"/>
          <w:sz w:val="16"/>
          <w:szCs w:val="16"/>
        </w:rPr>
      </w:pPr>
      <w:r>
        <w:rPr>
          <w:rFonts w:hint="default" w:asciiTheme="minorEastAsia" w:hAnsiTheme="minorEastAsia" w:eastAsiaTheme="minorEastAsia"/>
          <w:spacing w:val="-6"/>
          <w:kern w:val="0"/>
          <w:sz w:val="16"/>
          <w:szCs w:val="16"/>
        </w:rPr>
        <w:t>备注：所有指标数据取自联网直报平台数据。</w:t>
      </w:r>
    </w:p>
    <w:tbl>
      <w:tblPr>
        <w:tblStyle w:val="7"/>
        <w:tblW w:w="5388" w:type="dxa"/>
        <w:jc w:val="center"/>
        <w:tblLayout w:type="fixed"/>
        <w:tblCellMar>
          <w:top w:w="0" w:type="dxa"/>
          <w:left w:w="108" w:type="dxa"/>
          <w:bottom w:w="0" w:type="dxa"/>
          <w:right w:w="108" w:type="dxa"/>
        </w:tblCellMar>
      </w:tblPr>
      <w:tblGrid>
        <w:gridCol w:w="78"/>
        <w:gridCol w:w="2123"/>
        <w:gridCol w:w="1087"/>
        <w:gridCol w:w="1228"/>
        <w:gridCol w:w="714"/>
        <w:gridCol w:w="158"/>
      </w:tblGrid>
      <w:tr>
        <w:tblPrEx>
          <w:tblCellMar>
            <w:top w:w="0" w:type="dxa"/>
            <w:left w:w="108" w:type="dxa"/>
            <w:bottom w:w="0" w:type="dxa"/>
            <w:right w:w="108" w:type="dxa"/>
          </w:tblCellMar>
        </w:tblPrEx>
        <w:trPr>
          <w:gridAfter w:val="1"/>
          <w:wAfter w:w="158" w:type="dxa"/>
          <w:trHeight w:val="10602" w:hRule="atLeast"/>
          <w:jc w:val="center"/>
        </w:trPr>
        <w:tc>
          <w:tcPr>
            <w:tcW w:w="5230" w:type="dxa"/>
            <w:gridSpan w:val="5"/>
            <w:tcBorders>
              <w:top w:val="nil"/>
              <w:left w:val="nil"/>
              <w:bottom w:val="nil"/>
              <w:right w:val="nil"/>
            </w:tcBorders>
            <w:vAlign w:val="center"/>
          </w:tcPr>
          <w:p>
            <w:pPr>
              <w:spacing w:line="300" w:lineRule="exact"/>
              <w:jc w:val="center"/>
              <w:rPr>
                <w:rFonts w:hint="default" w:ascii="黑体" w:hAnsi="黑体" w:eastAsia="黑体" w:cs="黑体"/>
                <w:bCs/>
                <w:sz w:val="30"/>
                <w:szCs w:val="30"/>
              </w:rPr>
            </w:pPr>
            <w:r>
              <w:rPr>
                <w:rFonts w:hint="eastAsia" w:ascii="黑体" w:hAnsi="黑体" w:eastAsia="黑体" w:cs="黑体"/>
                <w:bCs/>
                <w:sz w:val="30"/>
                <w:szCs w:val="30"/>
                <w:lang w:val="en-US" w:eastAsia="zh-CN"/>
              </w:rPr>
              <w:t>四、</w:t>
            </w:r>
            <w:r>
              <w:rPr>
                <w:rFonts w:hint="default" w:ascii="黑体" w:hAnsi="黑体" w:eastAsia="黑体" w:cs="黑体"/>
                <w:bCs/>
                <w:sz w:val="30"/>
                <w:szCs w:val="30"/>
              </w:rPr>
              <w:t>固定资产投资完成情况</w:t>
            </w:r>
          </w:p>
          <w:tbl>
            <w:tblPr>
              <w:tblStyle w:val="7"/>
              <w:tblW w:w="5108" w:type="dxa"/>
              <w:jc w:val="center"/>
              <w:tblLayout w:type="fixed"/>
              <w:tblCellMar>
                <w:top w:w="0" w:type="dxa"/>
                <w:left w:w="108" w:type="dxa"/>
                <w:bottom w:w="0" w:type="dxa"/>
                <w:right w:w="108" w:type="dxa"/>
              </w:tblCellMar>
            </w:tblPr>
            <w:tblGrid>
              <w:gridCol w:w="2815"/>
              <w:gridCol w:w="1144"/>
              <w:gridCol w:w="1149"/>
            </w:tblGrid>
            <w:tr>
              <w:tblPrEx>
                <w:tblCellMar>
                  <w:top w:w="0" w:type="dxa"/>
                  <w:left w:w="108" w:type="dxa"/>
                  <w:bottom w:w="0" w:type="dxa"/>
                  <w:right w:w="108" w:type="dxa"/>
                </w:tblCellMar>
              </w:tblPrEx>
              <w:trPr>
                <w:trHeight w:val="420" w:hRule="atLeast"/>
                <w:jc w:val="center"/>
              </w:trPr>
              <w:tc>
                <w:tcPr>
                  <w:tcW w:w="5108" w:type="dxa"/>
                  <w:gridSpan w:val="3"/>
                  <w:tcBorders>
                    <w:top w:val="nil"/>
                    <w:left w:val="nil"/>
                    <w:bottom w:val="single" w:color="auto" w:sz="12" w:space="0"/>
                    <w:right w:val="nil"/>
                  </w:tcBorders>
                  <w:vAlign w:val="bottom"/>
                </w:tcPr>
                <w:p>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单位：万元、平方米</w:t>
                  </w:r>
                </w:p>
              </w:tc>
            </w:tr>
            <w:tr>
              <w:tblPrEx>
                <w:tblCellMar>
                  <w:top w:w="0" w:type="dxa"/>
                  <w:left w:w="108" w:type="dxa"/>
                  <w:bottom w:w="0" w:type="dxa"/>
                  <w:right w:w="108" w:type="dxa"/>
                </w:tblCellMar>
              </w:tblPrEx>
              <w:trPr>
                <w:trHeight w:val="739" w:hRule="atLeast"/>
                <w:jc w:val="center"/>
              </w:trPr>
              <w:tc>
                <w:tcPr>
                  <w:tcW w:w="2815" w:type="dxa"/>
                  <w:tcBorders>
                    <w:top w:val="single" w:color="auto" w:sz="12" w:space="0"/>
                    <w:left w:val="nil"/>
                    <w:bottom w:val="single" w:color="auto" w:sz="12"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144" w:type="dxa"/>
                  <w:tcBorders>
                    <w:top w:val="single" w:color="auto" w:sz="12" w:space="0"/>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4</w:t>
                  </w:r>
                  <w:r>
                    <w:rPr>
                      <w:rFonts w:hint="default" w:ascii="Times New Roman" w:hAnsi="Times New Roman" w:cs="Times New Roman"/>
                      <w:kern w:val="0"/>
                      <w:sz w:val="20"/>
                      <w:szCs w:val="20"/>
                    </w:rPr>
                    <w:t>月止    累计</w:t>
                  </w:r>
                </w:p>
              </w:tc>
              <w:tc>
                <w:tcPr>
                  <w:tcW w:w="1149" w:type="dxa"/>
                  <w:tcBorders>
                    <w:top w:val="single" w:color="auto" w:sz="12" w:space="0"/>
                    <w:left w:val="single" w:color="auto" w:sz="4" w:space="0"/>
                    <w:bottom w:val="single" w:color="auto" w:sz="12" w:space="0"/>
                    <w:right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tblPrEx>
                <w:tblCellMar>
                  <w:top w:w="0" w:type="dxa"/>
                  <w:left w:w="108" w:type="dxa"/>
                  <w:bottom w:w="0" w:type="dxa"/>
                  <w:right w:w="108" w:type="dxa"/>
                </w:tblCellMar>
              </w:tblPrEx>
              <w:trPr>
                <w:trHeight w:val="832" w:hRule="atLeast"/>
                <w:jc w:val="center"/>
              </w:trPr>
              <w:tc>
                <w:tcPr>
                  <w:tcW w:w="2815" w:type="dxa"/>
                  <w:tcBorders>
                    <w:top w:val="single" w:color="auto" w:sz="12" w:space="0"/>
                    <w:left w:val="nil"/>
                    <w:bottom w:val="nil"/>
                    <w:right w:val="single" w:color="000000" w:sz="4" w:space="0"/>
                  </w:tcBorders>
                  <w:vAlign w:val="center"/>
                </w:tcPr>
                <w:p>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
                      <w:sz w:val="20"/>
                      <w:szCs w:val="20"/>
                    </w:rPr>
                    <w:t>一、全社会固定资产投资</w:t>
                  </w:r>
                </w:p>
              </w:tc>
              <w:tc>
                <w:tcPr>
                  <w:tcW w:w="1144" w:type="dxa"/>
                  <w:tcBorders>
                    <w:top w:val="single" w:color="auto" w:sz="12" w:space="0"/>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single" w:color="auto" w:sz="12" w:space="0"/>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2"/>
                      <w:sz w:val="20"/>
                      <w:szCs w:val="20"/>
                      <w:u w:val="none"/>
                      <w:lang w:val="en-US" w:eastAsia="zh-CN" w:bidi="ar-SA"/>
                    </w:rPr>
                    <w:t>-22.9</w:t>
                  </w:r>
                </w:p>
              </w:tc>
            </w:tr>
            <w:tr>
              <w:tblPrEx>
                <w:tblCellMar>
                  <w:top w:w="0" w:type="dxa"/>
                  <w:left w:w="108" w:type="dxa"/>
                  <w:bottom w:w="0" w:type="dxa"/>
                  <w:right w:w="108" w:type="dxa"/>
                </w:tblCellMar>
              </w:tblPrEx>
              <w:trPr>
                <w:trHeight w:val="435" w:hRule="atLeast"/>
                <w:jc w:val="center"/>
              </w:trPr>
              <w:tc>
                <w:tcPr>
                  <w:tcW w:w="2815" w:type="dxa"/>
                  <w:tcBorders>
                    <w:top w:val="nil"/>
                    <w:left w:val="nil"/>
                    <w:bottom w:val="nil"/>
                    <w:right w:val="single" w:color="000000" w:sz="4" w:space="0"/>
                  </w:tcBorders>
                  <w:vAlign w:val="center"/>
                </w:tcPr>
                <w:p>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p>
              </w:tc>
              <w:tc>
                <w:tcPr>
                  <w:tcW w:w="1144"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r>
            <w:tr>
              <w:trPr>
                <w:trHeight w:val="849" w:hRule="atLeast"/>
                <w:jc w:val="center"/>
              </w:trPr>
              <w:tc>
                <w:tcPr>
                  <w:tcW w:w="2815" w:type="dxa"/>
                  <w:tcBorders>
                    <w:top w:val="nil"/>
                    <w:left w:val="nil"/>
                    <w:bottom w:val="nil"/>
                    <w:right w:val="nil"/>
                  </w:tcBorders>
                  <w:vAlign w:val="center"/>
                </w:tcPr>
                <w:p>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Cs/>
                      <w:sz w:val="20"/>
                      <w:szCs w:val="20"/>
                    </w:rPr>
                    <w:t xml:space="preserve">  1、按构成分</w:t>
                  </w:r>
                </w:p>
              </w:tc>
              <w:tc>
                <w:tcPr>
                  <w:tcW w:w="114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r>
            <w:tr>
              <w:tblPrEx>
                <w:tblCellMar>
                  <w:top w:w="0" w:type="dxa"/>
                  <w:left w:w="108" w:type="dxa"/>
                  <w:bottom w:w="0" w:type="dxa"/>
                  <w:right w:w="108" w:type="dxa"/>
                </w:tblCellMar>
              </w:tblPrEx>
              <w:trPr>
                <w:trHeight w:val="769" w:hRule="atLeast"/>
                <w:jc w:val="center"/>
              </w:trPr>
              <w:tc>
                <w:tcPr>
                  <w:tcW w:w="2815" w:type="dxa"/>
                  <w:tcBorders>
                    <w:top w:val="nil"/>
                    <w:left w:val="nil"/>
                    <w:bottom w:val="nil"/>
                    <w:right w:val="single" w:color="000000" w:sz="4" w:space="0"/>
                  </w:tcBorders>
                  <w:vAlign w:val="center"/>
                </w:tcPr>
                <w:p>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sz w:val="20"/>
                      <w:szCs w:val="20"/>
                    </w:rPr>
                  </w:pPr>
                  <w:r>
                    <w:rPr>
                      <w:rFonts w:hint="default" w:ascii="Times New Roman" w:hAnsi="Times New Roman" w:cs="Times New Roman"/>
                      <w:sz w:val="20"/>
                      <w:szCs w:val="20"/>
                    </w:rPr>
                    <w:t xml:space="preserve">     #建安工程</w:t>
                  </w:r>
                </w:p>
              </w:tc>
              <w:tc>
                <w:tcPr>
                  <w:tcW w:w="1144"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-13.1</w:t>
                  </w:r>
                </w:p>
              </w:tc>
            </w:tr>
            <w:tr>
              <w:tblPrEx>
                <w:tblCellMar>
                  <w:top w:w="0" w:type="dxa"/>
                  <w:left w:w="108" w:type="dxa"/>
                  <w:bottom w:w="0" w:type="dxa"/>
                  <w:right w:w="108" w:type="dxa"/>
                </w:tblCellMar>
              </w:tblPrEx>
              <w:trPr>
                <w:trHeight w:val="956" w:hRule="atLeast"/>
                <w:jc w:val="center"/>
              </w:trPr>
              <w:tc>
                <w:tcPr>
                  <w:tcW w:w="2815" w:type="dxa"/>
                  <w:tcBorders>
                    <w:top w:val="nil"/>
                    <w:left w:val="nil"/>
                    <w:bottom w:val="nil"/>
                    <w:right w:val="single" w:color="000000" w:sz="4" w:space="0"/>
                  </w:tcBorders>
                  <w:vAlign w:val="center"/>
                </w:tcPr>
                <w:p>
                  <w:pPr>
                    <w:keepNext w:val="0"/>
                    <w:keepLines w:val="0"/>
                    <w:suppressLineNumbers w:val="0"/>
                    <w:snapToGrid w:val="0"/>
                    <w:spacing w:before="0" w:beforeAutospacing="0" w:after="0" w:afterAutospacing="0" w:line="240" w:lineRule="exact"/>
                    <w:ind w:left="0" w:right="0"/>
                    <w:jc w:val="left"/>
                    <w:rPr>
                      <w:rFonts w:hint="default" w:ascii="Times New Roman" w:hAnsi="Times New Roman" w:cs="Times New Roman"/>
                      <w:sz w:val="20"/>
                      <w:szCs w:val="20"/>
                    </w:rPr>
                  </w:pPr>
                  <w:r>
                    <w:rPr>
                      <w:rFonts w:hint="default" w:ascii="Times New Roman" w:hAnsi="Times New Roman" w:cs="Times New Roman"/>
                      <w:b/>
                      <w:bCs/>
                      <w:kern w:val="0"/>
                      <w:sz w:val="20"/>
                      <w:szCs w:val="20"/>
                    </w:rPr>
                    <w:t>二、工业投资情况</w:t>
                  </w:r>
                </w:p>
              </w:tc>
              <w:tc>
                <w:tcPr>
                  <w:tcW w:w="1144"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2"/>
                      <w:sz w:val="20"/>
                      <w:szCs w:val="20"/>
                      <w:u w:val="none"/>
                      <w:lang w:val="en-US" w:eastAsia="zh-CN" w:bidi="ar-SA"/>
                    </w:rPr>
                    <w:t>7.3</w:t>
                  </w:r>
                </w:p>
              </w:tc>
            </w:tr>
            <w:tr>
              <w:tblPrEx>
                <w:tblCellMar>
                  <w:top w:w="0" w:type="dxa"/>
                  <w:left w:w="108" w:type="dxa"/>
                  <w:bottom w:w="0" w:type="dxa"/>
                  <w:right w:w="108" w:type="dxa"/>
                </w:tblCellMar>
              </w:tblPrEx>
              <w:trPr>
                <w:trHeight w:val="1182" w:hRule="atLeast"/>
                <w:jc w:val="center"/>
              </w:trPr>
              <w:tc>
                <w:tcPr>
                  <w:tcW w:w="2815" w:type="dxa"/>
                  <w:tcBorders>
                    <w:top w:val="nil"/>
                    <w:left w:val="nil"/>
                    <w:bottom w:val="nil"/>
                    <w:right w:val="single" w:color="000000" w:sz="4" w:space="0"/>
                  </w:tcBorders>
                  <w:vAlign w:val="center"/>
                </w:tcPr>
                <w:p>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三、技改投资情况</w:t>
                  </w:r>
                </w:p>
              </w:tc>
              <w:tc>
                <w:tcPr>
                  <w:tcW w:w="1144"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2"/>
                      <w:sz w:val="20"/>
                      <w:szCs w:val="20"/>
                      <w:u w:val="none"/>
                      <w:lang w:val="en-US" w:eastAsia="zh-CN" w:bidi="ar-SA"/>
                    </w:rPr>
                    <w:t>-2.5</w:t>
                  </w:r>
                </w:p>
              </w:tc>
            </w:tr>
            <w:tr>
              <w:tblPrEx>
                <w:tblCellMar>
                  <w:top w:w="0" w:type="dxa"/>
                  <w:left w:w="108" w:type="dxa"/>
                  <w:bottom w:w="0" w:type="dxa"/>
                  <w:right w:w="108" w:type="dxa"/>
                </w:tblCellMar>
              </w:tblPrEx>
              <w:trPr>
                <w:trHeight w:val="1116" w:hRule="atLeast"/>
                <w:jc w:val="center"/>
              </w:trPr>
              <w:tc>
                <w:tcPr>
                  <w:tcW w:w="2815" w:type="dxa"/>
                  <w:tcBorders>
                    <w:top w:val="nil"/>
                    <w:left w:val="nil"/>
                    <w:bottom w:val="nil"/>
                    <w:right w:val="single" w:color="000000" w:sz="4" w:space="0"/>
                  </w:tcBorders>
                  <w:vAlign w:val="center"/>
                </w:tcPr>
                <w:p>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四、民间投资情况</w:t>
                  </w:r>
                </w:p>
              </w:tc>
              <w:tc>
                <w:tcPr>
                  <w:tcW w:w="1144"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2"/>
                      <w:sz w:val="20"/>
                      <w:szCs w:val="20"/>
                      <w:u w:val="none"/>
                      <w:lang w:val="en-US" w:eastAsia="zh-CN" w:bidi="ar-SA"/>
                    </w:rPr>
                    <w:t>-24.1</w:t>
                  </w:r>
                </w:p>
              </w:tc>
            </w:tr>
            <w:tr>
              <w:tblPrEx>
                <w:tblCellMar>
                  <w:top w:w="0" w:type="dxa"/>
                  <w:left w:w="108" w:type="dxa"/>
                  <w:bottom w:w="0" w:type="dxa"/>
                  <w:right w:w="108" w:type="dxa"/>
                </w:tblCellMar>
              </w:tblPrEx>
              <w:trPr>
                <w:trHeight w:val="1049" w:hRule="atLeast"/>
                <w:jc w:val="center"/>
              </w:trPr>
              <w:tc>
                <w:tcPr>
                  <w:tcW w:w="2815" w:type="dxa"/>
                  <w:tcBorders>
                    <w:top w:val="nil"/>
                    <w:left w:val="nil"/>
                    <w:bottom w:val="nil"/>
                    <w:right w:val="single" w:color="000000" w:sz="4" w:space="0"/>
                  </w:tcBorders>
                  <w:vAlign w:val="center"/>
                </w:tcPr>
                <w:p>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五、房地产开发规模与销售</w:t>
                  </w:r>
                </w:p>
              </w:tc>
              <w:tc>
                <w:tcPr>
                  <w:tcW w:w="1144"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r>
            <w:tr>
              <w:tblPrEx>
                <w:tblCellMar>
                  <w:top w:w="0" w:type="dxa"/>
                  <w:left w:w="108" w:type="dxa"/>
                  <w:bottom w:w="0" w:type="dxa"/>
                  <w:right w:w="108" w:type="dxa"/>
                </w:tblCellMar>
              </w:tblPrEx>
              <w:trPr>
                <w:trHeight w:val="893" w:hRule="atLeast"/>
                <w:jc w:val="center"/>
              </w:trPr>
              <w:tc>
                <w:tcPr>
                  <w:tcW w:w="2815" w:type="dxa"/>
                  <w:tcBorders>
                    <w:top w:val="nil"/>
                    <w:left w:val="nil"/>
                    <w:bottom w:val="single" w:color="auto" w:sz="12" w:space="0"/>
                    <w:right w:val="single" w:color="000000" w:sz="4" w:space="0"/>
                  </w:tcBorders>
                  <w:vAlign w:val="center"/>
                </w:tcPr>
                <w:p>
                  <w:pPr>
                    <w:keepNext w:val="0"/>
                    <w:keepLines w:val="0"/>
                    <w:widowControl/>
                    <w:suppressLineNumbers w:val="0"/>
                    <w:snapToGrid w:val="0"/>
                    <w:spacing w:before="0" w:beforeAutospacing="0" w:after="0" w:afterAutospacing="0" w:line="240" w:lineRule="exact"/>
                    <w:ind w:left="0" w:leftChars="0" w:right="0" w:rightChars="0" w:firstLine="200" w:firstLineChars="100"/>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商品房销售面积</w:t>
                  </w:r>
                </w:p>
              </w:tc>
              <w:tc>
                <w:tcPr>
                  <w:tcW w:w="1144" w:type="dxa"/>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0.6</w:t>
                  </w:r>
                </w:p>
              </w:tc>
              <w:tc>
                <w:tcPr>
                  <w:tcW w:w="1149" w:type="dxa"/>
                  <w:tcBorders>
                    <w:top w:val="nil"/>
                    <w:left w:val="single" w:color="auto" w:sz="4" w:space="0"/>
                    <w:bottom w:val="single" w:color="auto" w:sz="12" w:space="0"/>
                    <w:right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-86.2</w:t>
                  </w:r>
                </w:p>
              </w:tc>
            </w:tr>
          </w:tbl>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sz w:val="28"/>
                <w:szCs w:val="28"/>
              </w:rPr>
            </w:pPr>
          </w:p>
        </w:tc>
      </w:tr>
      <w:tr>
        <w:tblPrEx>
          <w:tblCellMar>
            <w:top w:w="0" w:type="dxa"/>
            <w:left w:w="108" w:type="dxa"/>
            <w:bottom w:w="0" w:type="dxa"/>
            <w:right w:w="108" w:type="dxa"/>
          </w:tblCellMar>
        </w:tblPrEx>
        <w:trPr>
          <w:gridAfter w:val="1"/>
          <w:wAfter w:w="158" w:type="dxa"/>
          <w:trHeight w:val="409" w:hRule="atLeast"/>
          <w:jc w:val="center"/>
        </w:trPr>
        <w:tc>
          <w:tcPr>
            <w:tcW w:w="5230" w:type="dxa"/>
            <w:gridSpan w:val="5"/>
            <w:tcBorders>
              <w:top w:val="nil"/>
              <w:left w:val="nil"/>
              <w:bottom w:val="nil"/>
              <w:right w:val="nil"/>
            </w:tcBorders>
            <w:noWrap/>
            <w:vAlign w:val="center"/>
          </w:tcPr>
          <w:p>
            <w:pPr>
              <w:spacing w:line="300" w:lineRule="exact"/>
              <w:jc w:val="center"/>
              <w:rPr>
                <w:rFonts w:hint="default" w:ascii="黑体" w:hAnsi="黑体" w:eastAsia="黑体" w:cs="黑体"/>
                <w:bCs/>
                <w:sz w:val="30"/>
                <w:szCs w:val="30"/>
                <w:lang w:val="en-US" w:eastAsia="zh-CN"/>
              </w:rPr>
            </w:pPr>
            <w:r>
              <w:rPr>
                <w:rFonts w:hint="eastAsia" w:ascii="黑体" w:hAnsi="黑体" w:eastAsia="黑体" w:cs="黑体"/>
                <w:bCs/>
                <w:sz w:val="30"/>
                <w:szCs w:val="30"/>
                <w:lang w:val="en-US" w:eastAsia="zh-CN"/>
              </w:rPr>
              <w:t>五、</w:t>
            </w:r>
            <w:r>
              <w:rPr>
                <w:rFonts w:hint="default" w:ascii="黑体" w:hAnsi="黑体" w:eastAsia="黑体" w:cs="黑体"/>
                <w:bCs/>
                <w:sz w:val="30"/>
                <w:szCs w:val="30"/>
                <w:lang w:val="en-US" w:eastAsia="zh-CN"/>
              </w:rPr>
              <w:t>社会消费品零售总额</w:t>
            </w:r>
          </w:p>
          <w:tbl>
            <w:tblPr>
              <w:tblStyle w:val="7"/>
              <w:tblW w:w="5304" w:type="dxa"/>
              <w:jc w:val="center"/>
              <w:tblLayout w:type="fixed"/>
              <w:tblCellMar>
                <w:top w:w="0" w:type="dxa"/>
                <w:left w:w="108" w:type="dxa"/>
                <w:bottom w:w="0" w:type="dxa"/>
                <w:right w:w="108" w:type="dxa"/>
              </w:tblCellMar>
            </w:tblPr>
            <w:tblGrid>
              <w:gridCol w:w="2015"/>
              <w:gridCol w:w="1039"/>
              <w:gridCol w:w="956"/>
              <w:gridCol w:w="1294"/>
            </w:tblGrid>
            <w:tr>
              <w:tblPrEx>
                <w:tblCellMar>
                  <w:top w:w="0" w:type="dxa"/>
                  <w:left w:w="108" w:type="dxa"/>
                  <w:bottom w:w="0" w:type="dxa"/>
                  <w:right w:w="108" w:type="dxa"/>
                </w:tblCellMar>
              </w:tblPrEx>
              <w:trPr>
                <w:trHeight w:val="462" w:hRule="atLeast"/>
                <w:jc w:val="center"/>
              </w:trPr>
              <w:tc>
                <w:tcPr>
                  <w:tcW w:w="5304" w:type="dxa"/>
                  <w:gridSpan w:val="4"/>
                  <w:tcBorders>
                    <w:bottom w:val="single" w:color="auto" w:sz="12" w:space="0"/>
                  </w:tcBorders>
                  <w:vAlign w:val="bottom"/>
                </w:tcPr>
                <w:p>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tblPrEx>
                <w:tblCellMar>
                  <w:top w:w="0" w:type="dxa"/>
                  <w:left w:w="108" w:type="dxa"/>
                  <w:bottom w:w="0" w:type="dxa"/>
                  <w:right w:w="108" w:type="dxa"/>
                </w:tblCellMar>
              </w:tblPrEx>
              <w:trPr>
                <w:trHeight w:val="739" w:hRule="atLeast"/>
                <w:jc w:val="center"/>
              </w:trPr>
              <w:tc>
                <w:tcPr>
                  <w:tcW w:w="2015" w:type="dxa"/>
                  <w:tcBorders>
                    <w:top w:val="single" w:color="auto" w:sz="12" w:space="0"/>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039" w:type="dxa"/>
                  <w:tcBorders>
                    <w:top w:val="single" w:color="auto" w:sz="12" w:space="0"/>
                    <w:left w:val="single" w:color="auto" w:sz="4" w:space="0"/>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lang w:eastAsia="zh-CN"/>
                    </w:rPr>
                  </w:pPr>
                  <w:r>
                    <w:rPr>
                      <w:rFonts w:hint="eastAsia" w:ascii="Times New Roman" w:hAnsi="Times New Roman" w:cs="Times New Roman"/>
                      <w:kern w:val="0"/>
                      <w:sz w:val="20"/>
                      <w:szCs w:val="20"/>
                      <w:lang w:val="en-US" w:eastAsia="zh-CN"/>
                    </w:rPr>
                    <w:t>4</w:t>
                  </w:r>
                  <w:r>
                    <w:rPr>
                      <w:rFonts w:hint="default" w:ascii="Times New Roman" w:hAnsi="Times New Roman" w:cs="Times New Roman"/>
                      <w:kern w:val="0"/>
                      <w:sz w:val="20"/>
                      <w:szCs w:val="20"/>
                    </w:rPr>
                    <w:t>月止</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c>
                <w:tcPr>
                  <w:tcW w:w="956" w:type="dxa"/>
                  <w:tcBorders>
                    <w:top w:val="single" w:color="auto" w:sz="12" w:space="0"/>
                    <w:left w:val="single" w:color="auto" w:sz="4" w:space="0"/>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比同期增减额</w:t>
                  </w:r>
                </w:p>
              </w:tc>
              <w:tc>
                <w:tcPr>
                  <w:tcW w:w="1294" w:type="dxa"/>
                  <w:tcBorders>
                    <w:top w:val="single" w:color="auto" w:sz="12" w:space="0"/>
                    <w:left w:val="single" w:color="auto" w:sz="4" w:space="0"/>
                    <w:bottom w:val="single" w:color="auto" w:sz="1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lang w:eastAsia="zh-CN"/>
                    </w:rPr>
                  </w:pPr>
                  <w:r>
                    <w:rPr>
                      <w:rFonts w:hint="default" w:ascii="Times New Roman" w:hAnsi="Times New Roman" w:cs="Times New Roman"/>
                      <w:kern w:val="0"/>
                      <w:sz w:val="20"/>
                      <w:szCs w:val="20"/>
                    </w:rPr>
                    <w:t>比同期</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tblPrEx>
                <w:tblCellMar>
                  <w:top w:w="0" w:type="dxa"/>
                  <w:left w:w="108" w:type="dxa"/>
                  <w:bottom w:w="0" w:type="dxa"/>
                  <w:right w:w="108" w:type="dxa"/>
                </w:tblCellMar>
              </w:tblPrEx>
              <w:trPr>
                <w:trHeight w:val="762" w:hRule="atLeast"/>
                <w:jc w:val="center"/>
              </w:trPr>
              <w:tc>
                <w:tcPr>
                  <w:tcW w:w="2015" w:type="dxa"/>
                  <w:tcBorders>
                    <w:top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kern w:val="0"/>
                      <w:sz w:val="20"/>
                      <w:szCs w:val="20"/>
                    </w:rPr>
                  </w:pPr>
                  <w:r>
                    <w:rPr>
                      <w:rFonts w:hint="default" w:ascii="Times New Roman" w:hAnsi="Times New Roman" w:cs="Times New Roman"/>
                      <w:b/>
                      <w:bCs/>
                      <w:kern w:val="0"/>
                      <w:sz w:val="20"/>
                      <w:szCs w:val="20"/>
                    </w:rPr>
                    <w:t>一、社会消费品零售总额</w:t>
                  </w:r>
                </w:p>
              </w:tc>
              <w:tc>
                <w:tcPr>
                  <w:tcW w:w="1039" w:type="dxa"/>
                  <w:tcBorders>
                    <w:top w:val="single" w:color="auto" w:sz="12"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186292</w:t>
                  </w:r>
                </w:p>
              </w:tc>
              <w:tc>
                <w:tcPr>
                  <w:tcW w:w="956" w:type="dxa"/>
                  <w:tcBorders>
                    <w:top w:val="single" w:color="auto" w:sz="12"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14669</w:t>
                  </w:r>
                </w:p>
              </w:tc>
              <w:tc>
                <w:tcPr>
                  <w:tcW w:w="1294" w:type="dxa"/>
                  <w:tcBorders>
                    <w:top w:val="single" w:color="auto" w:sz="12" w:space="0"/>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8.5</w:t>
                  </w:r>
                </w:p>
              </w:tc>
            </w:tr>
            <w:tr>
              <w:tblPrEx>
                <w:tblCellMar>
                  <w:top w:w="0" w:type="dxa"/>
                  <w:left w:w="108" w:type="dxa"/>
                  <w:bottom w:w="0" w:type="dxa"/>
                  <w:right w:w="108" w:type="dxa"/>
                </w:tblCellMar>
              </w:tblPrEx>
              <w:trPr>
                <w:trHeight w:val="718"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sz w:val="20"/>
                      <w:szCs w:val="20"/>
                    </w:rPr>
                    <w:t>其中：</w:t>
                  </w:r>
                  <w:r>
                    <w:rPr>
                      <w:rFonts w:hint="default" w:ascii="Times New Roman" w:hAnsi="Times New Roman" w:cs="Times New Roman"/>
                      <w:kern w:val="0"/>
                      <w:sz w:val="20"/>
                      <w:szCs w:val="20"/>
                    </w:rPr>
                    <w:t>限额以上</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1361</w:t>
                  </w:r>
                  <w:r>
                    <w:rPr>
                      <w:rFonts w:hint="default" w:ascii="Times New Roman" w:hAnsi="Times New Roman" w:cs="Times New Roman"/>
                      <w:i w:val="0"/>
                      <w:iCs w:val="0"/>
                      <w:color w:val="auto"/>
                      <w:kern w:val="0"/>
                      <w:sz w:val="20"/>
                      <w:szCs w:val="20"/>
                      <w:u w:val="none"/>
                      <w:lang w:val="en-US" w:eastAsia="zh-CN" w:bidi="ar"/>
                    </w:rPr>
                    <w:t>9</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eastAsia" w:ascii="Times New Roman" w:hAnsi="Times New Roman" w:cs="Times New Roman"/>
                      <w:i w:val="0"/>
                      <w:iCs w:val="0"/>
                      <w:color w:val="auto"/>
                      <w:kern w:val="0"/>
                      <w:sz w:val="20"/>
                      <w:szCs w:val="20"/>
                      <w:u w:val="none"/>
                      <w:lang w:val="en-US" w:eastAsia="zh-CN" w:bidi="ar"/>
                    </w:rPr>
                    <w:t>4062</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0"/>
                      <w:sz w:val="20"/>
                      <w:szCs w:val="20"/>
                      <w:u w:val="none"/>
                      <w:lang w:val="en-US" w:eastAsia="zh-CN" w:bidi="ar"/>
                    </w:rPr>
                    <w:t>42.5</w:t>
                  </w:r>
                </w:p>
              </w:tc>
            </w:tr>
            <w:tr>
              <w:tblPrEx>
                <w:tblCellMar>
                  <w:top w:w="0" w:type="dxa"/>
                  <w:left w:w="108" w:type="dxa"/>
                  <w:bottom w:w="0" w:type="dxa"/>
                  <w:right w:w="108" w:type="dxa"/>
                </w:tblCellMar>
              </w:tblPrEx>
              <w:trPr>
                <w:trHeight w:val="682"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firstLine="600" w:firstLineChars="3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限额以下</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17267</w:t>
                  </w:r>
                  <w:r>
                    <w:rPr>
                      <w:rFonts w:hint="default" w:ascii="Times New Roman" w:hAnsi="Times New Roman" w:cs="Times New Roman"/>
                      <w:i w:val="0"/>
                      <w:iCs w:val="0"/>
                      <w:color w:val="auto"/>
                      <w:kern w:val="0"/>
                      <w:sz w:val="20"/>
                      <w:szCs w:val="20"/>
                      <w:u w:val="none"/>
                      <w:lang w:val="en-US" w:eastAsia="zh-CN" w:bidi="ar"/>
                    </w:rPr>
                    <w:t>4</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10607</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cs="Times New Roman"/>
                      <w:b w:val="0"/>
                      <w:bCs w:val="0"/>
                      <w:i w:val="0"/>
                      <w:iCs w:val="0"/>
                      <w:color w:val="auto"/>
                      <w:kern w:val="2"/>
                      <w:sz w:val="20"/>
                      <w:szCs w:val="20"/>
                      <w:u w:val="none"/>
                      <w:lang w:val="en-US" w:eastAsia="zh-CN" w:bidi="ar-SA"/>
                    </w:rPr>
                    <w:t>6.5</w:t>
                  </w:r>
                </w:p>
              </w:tc>
            </w:tr>
            <w:tr>
              <w:tblPrEx>
                <w:tblCellMar>
                  <w:top w:w="0" w:type="dxa"/>
                  <w:left w:w="108" w:type="dxa"/>
                  <w:bottom w:w="0" w:type="dxa"/>
                  <w:right w:w="108" w:type="dxa"/>
                </w:tblCellMar>
              </w:tblPrEx>
              <w:trPr>
                <w:trHeight w:val="838" w:hRule="atLeast"/>
                <w:jc w:val="center"/>
              </w:trPr>
              <w:tc>
                <w:tcPr>
                  <w:tcW w:w="201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kern w:val="0"/>
                      <w:sz w:val="18"/>
                      <w:szCs w:val="20"/>
                    </w:rPr>
                    <w:t>（一）按销售所在地分</w:t>
                  </w:r>
                </w:p>
              </w:tc>
              <w:tc>
                <w:tcPr>
                  <w:tcW w:w="1039"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0"/>
                      <w:szCs w:val="20"/>
                      <w:lang w:val="en-US" w:eastAsia="zh-CN"/>
                    </w:rPr>
                  </w:pPr>
                </w:p>
              </w:tc>
              <w:tc>
                <w:tcPr>
                  <w:tcW w:w="956"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0"/>
                      <w:szCs w:val="20"/>
                      <w:lang w:val="en-US" w:eastAsia="zh-CN"/>
                    </w:rPr>
                  </w:pP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0"/>
                      <w:szCs w:val="20"/>
                      <w:lang w:val="en-US" w:eastAsia="zh-CN"/>
                    </w:rPr>
                  </w:pPr>
                </w:p>
              </w:tc>
            </w:tr>
            <w:tr>
              <w:tblPrEx>
                <w:tblCellMar>
                  <w:top w:w="0" w:type="dxa"/>
                  <w:left w:w="108" w:type="dxa"/>
                  <w:bottom w:w="0" w:type="dxa"/>
                  <w:right w:w="108" w:type="dxa"/>
                </w:tblCellMar>
              </w:tblPrEx>
              <w:trPr>
                <w:trHeight w:val="778"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城镇</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169841</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13373</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8.5</w:t>
                  </w:r>
                </w:p>
              </w:tc>
            </w:tr>
            <w:tr>
              <w:tblPrEx>
                <w:tblCellMar>
                  <w:top w:w="0" w:type="dxa"/>
                  <w:left w:w="108" w:type="dxa"/>
                  <w:bottom w:w="0" w:type="dxa"/>
                  <w:right w:w="108" w:type="dxa"/>
                </w:tblCellMar>
              </w:tblPrEx>
              <w:trPr>
                <w:trHeight w:val="646"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乡村</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16451</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1297</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8.6</w:t>
                  </w:r>
                </w:p>
              </w:tc>
            </w:tr>
            <w:tr>
              <w:tblPrEx>
                <w:tblCellMar>
                  <w:top w:w="0" w:type="dxa"/>
                  <w:left w:w="108" w:type="dxa"/>
                  <w:bottom w:w="0" w:type="dxa"/>
                  <w:right w:w="108" w:type="dxa"/>
                </w:tblCellMar>
              </w:tblPrEx>
              <w:trPr>
                <w:trHeight w:val="646" w:hRule="atLeast"/>
                <w:jc w:val="center"/>
              </w:trPr>
              <w:tc>
                <w:tcPr>
                  <w:tcW w:w="2015" w:type="dxa"/>
                  <w:tcBorders>
                    <w:right w:val="single" w:color="auto" w:sz="4" w:space="0"/>
                  </w:tcBorders>
                  <w:vAlign w:val="center"/>
                </w:tcPr>
                <w:p>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kern w:val="0"/>
                      <w:sz w:val="20"/>
                      <w:szCs w:val="20"/>
                    </w:rPr>
                  </w:pPr>
                  <w:r>
                    <w:rPr>
                      <w:rFonts w:hint="default" w:ascii="Times New Roman" w:hAnsi="Times New Roman" w:cs="Times New Roman"/>
                      <w:kern w:val="0"/>
                      <w:sz w:val="18"/>
                      <w:szCs w:val="20"/>
                    </w:rPr>
                    <w:t>(二)按行业分</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0"/>
                      <w:szCs w:val="20"/>
                      <w:lang w:val="en-US" w:eastAsia="zh-CN"/>
                    </w:rPr>
                  </w:pP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0"/>
                      <w:szCs w:val="20"/>
                      <w:lang w:val="en-US" w:eastAsia="zh-CN"/>
                    </w:rPr>
                  </w:pP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0"/>
                      <w:szCs w:val="20"/>
                      <w:lang w:val="en-US" w:eastAsia="zh-CN"/>
                    </w:rPr>
                  </w:pPr>
                </w:p>
              </w:tc>
            </w:tr>
            <w:tr>
              <w:tblPrEx>
                <w:tblCellMar>
                  <w:top w:w="0" w:type="dxa"/>
                  <w:left w:w="108" w:type="dxa"/>
                  <w:bottom w:w="0" w:type="dxa"/>
                  <w:right w:w="108" w:type="dxa"/>
                </w:tblCellMar>
              </w:tblPrEx>
              <w:trPr>
                <w:trHeight w:val="682"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批发业</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7922</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711</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9.9</w:t>
                  </w:r>
                </w:p>
              </w:tc>
            </w:tr>
            <w:tr>
              <w:tblPrEx>
                <w:tblCellMar>
                  <w:top w:w="0" w:type="dxa"/>
                  <w:left w:w="108" w:type="dxa"/>
                  <w:bottom w:w="0" w:type="dxa"/>
                  <w:right w:w="108" w:type="dxa"/>
                </w:tblCellMar>
              </w:tblPrEx>
              <w:trPr>
                <w:trHeight w:val="586"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零售业</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154555</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12093</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8.5</w:t>
                  </w:r>
                </w:p>
              </w:tc>
            </w:tr>
            <w:tr>
              <w:tblPrEx>
                <w:tblCellMar>
                  <w:top w:w="0" w:type="dxa"/>
                  <w:left w:w="108" w:type="dxa"/>
                  <w:bottom w:w="0" w:type="dxa"/>
                  <w:right w:w="108" w:type="dxa"/>
                </w:tblCellMar>
              </w:tblPrEx>
              <w:trPr>
                <w:trHeight w:val="586" w:hRule="atLeast"/>
                <w:jc w:val="center"/>
              </w:trPr>
              <w:tc>
                <w:tcPr>
                  <w:tcW w:w="2015" w:type="dxa"/>
                  <w:tcBorders>
                    <w:right w:val="single" w:color="auto" w:sz="4" w:space="0"/>
                  </w:tcBorders>
                  <w:vAlign w:val="center"/>
                </w:tcPr>
                <w:p>
                  <w:pPr>
                    <w:keepNext w:val="0"/>
                    <w:keepLines w:val="0"/>
                    <w:widowControl/>
                    <w:suppressLineNumbers w:val="0"/>
                    <w:spacing w:before="0" w:beforeAutospacing="0" w:after="0" w:afterAutospacing="0"/>
                    <w:ind w:left="0" w:right="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住宿业</w:t>
                  </w:r>
                </w:p>
              </w:tc>
              <w:tc>
                <w:tcPr>
                  <w:tcW w:w="1039"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2917</w:t>
                  </w:r>
                </w:p>
              </w:tc>
              <w:tc>
                <w:tcPr>
                  <w:tcW w:w="95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276</w:t>
                  </w:r>
                </w:p>
              </w:tc>
              <w:tc>
                <w:tcPr>
                  <w:tcW w:w="1294" w:type="dxa"/>
                  <w:tcBorders>
                    <w:lef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kern w:val="0"/>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10.5</w:t>
                  </w:r>
                </w:p>
              </w:tc>
            </w:tr>
            <w:tr>
              <w:tblPrEx>
                <w:tblCellMar>
                  <w:top w:w="0" w:type="dxa"/>
                  <w:left w:w="108" w:type="dxa"/>
                  <w:bottom w:w="0" w:type="dxa"/>
                  <w:right w:w="108" w:type="dxa"/>
                </w:tblCellMar>
              </w:tblPrEx>
              <w:trPr>
                <w:trHeight w:val="658" w:hRule="atLeast"/>
                <w:jc w:val="center"/>
              </w:trPr>
              <w:tc>
                <w:tcPr>
                  <w:tcW w:w="2015" w:type="dxa"/>
                  <w:tcBorders>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firstLine="400" w:firstLineChars="200"/>
                    <w:jc w:val="center"/>
                    <w:rPr>
                      <w:rFonts w:hint="default" w:ascii="Times New Roman" w:hAnsi="Times New Roman" w:cs="Times New Roman"/>
                      <w:bCs/>
                      <w:sz w:val="18"/>
                      <w:szCs w:val="18"/>
                    </w:rPr>
                  </w:pPr>
                  <w:r>
                    <w:rPr>
                      <w:rFonts w:hint="default" w:ascii="Times New Roman" w:hAnsi="Times New Roman" w:cs="Times New Roman"/>
                      <w:kern w:val="0"/>
                      <w:sz w:val="20"/>
                      <w:szCs w:val="20"/>
                    </w:rPr>
                    <w:t>餐饮业</w:t>
                  </w:r>
                </w:p>
              </w:tc>
              <w:tc>
                <w:tcPr>
                  <w:tcW w:w="1039" w:type="dxa"/>
                  <w:tcBorders>
                    <w:left w:val="single" w:color="auto" w:sz="4" w:space="0"/>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20897</w:t>
                  </w:r>
                </w:p>
              </w:tc>
              <w:tc>
                <w:tcPr>
                  <w:tcW w:w="956" w:type="dxa"/>
                  <w:tcBorders>
                    <w:left w:val="single" w:color="auto" w:sz="4" w:space="0"/>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1589</w:t>
                  </w:r>
                </w:p>
              </w:tc>
              <w:tc>
                <w:tcPr>
                  <w:tcW w:w="1294" w:type="dxa"/>
                  <w:tcBorders>
                    <w:left w:val="single" w:color="auto" w:sz="4" w:space="0"/>
                    <w:bottom w:val="single" w:color="auto" w:sz="12"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8.2</w:t>
                  </w:r>
                </w:p>
              </w:tc>
            </w:tr>
          </w:tbl>
          <w:p>
            <w:pPr>
              <w:keepNext w:val="0"/>
              <w:keepLines w:val="0"/>
              <w:suppressLineNumbers w:val="0"/>
              <w:spacing w:before="0" w:beforeAutospacing="0" w:after="0" w:afterAutospacing="0" w:line="20" w:lineRule="exact"/>
              <w:ind w:left="0" w:right="0"/>
              <w:jc w:val="center"/>
              <w:rPr>
                <w:rFonts w:hint="default" w:ascii="Times New Roman" w:hAnsi="Times New Roman" w:cs="Times New Roman"/>
                <w:sz w:val="24"/>
              </w:rPr>
            </w:pPr>
          </w:p>
          <w:p>
            <w:pPr>
              <w:keepNext w:val="0"/>
              <w:keepLines w:val="0"/>
              <w:widowControl/>
              <w:suppressLineNumbers w:val="0"/>
              <w:spacing w:before="0" w:beforeAutospacing="0" w:after="0" w:afterAutospacing="0" w:line="280" w:lineRule="exact"/>
              <w:ind w:left="0" w:right="0" w:firstLine="480" w:firstLineChars="200"/>
              <w:jc w:val="left"/>
              <w:rPr>
                <w:rFonts w:hint="default" w:ascii="Times New Roman" w:hAnsi="Times New Roman" w:cs="Times New Roman"/>
                <w:sz w:val="24"/>
              </w:rPr>
            </w:pPr>
            <w:r>
              <w:rPr>
                <w:rFonts w:hint="default" w:ascii="Times New Roman" w:hAnsi="Times New Roman" w:cs="Times New Roman"/>
                <w:sz w:val="24"/>
              </w:rPr>
              <w:br w:type="page"/>
            </w:r>
          </w:p>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楷体" w:cs="Times New Roman"/>
                <w:bCs/>
                <w:kern w:val="0"/>
                <w:sz w:val="24"/>
                <w:szCs w:val="24"/>
              </w:rPr>
            </w:pPr>
          </w:p>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楷体" w:cs="Times New Roman"/>
                <w:bCs/>
                <w:kern w:val="0"/>
                <w:sz w:val="24"/>
                <w:szCs w:val="24"/>
              </w:rPr>
            </w:pPr>
          </w:p>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kern w:val="0"/>
                <w:sz w:val="28"/>
                <w:szCs w:val="28"/>
              </w:rPr>
            </w:pPr>
            <w:r>
              <w:rPr>
                <w:rFonts w:hint="eastAsia" w:ascii="黑体" w:hAnsi="黑体" w:eastAsia="黑体" w:cs="黑体"/>
                <w:bCs/>
                <w:sz w:val="30"/>
                <w:szCs w:val="30"/>
                <w:lang w:val="en-US" w:eastAsia="zh-CN"/>
              </w:rPr>
              <w:t>六、</w:t>
            </w:r>
            <w:r>
              <w:rPr>
                <w:rFonts w:hint="default" w:ascii="黑体" w:hAnsi="黑体" w:eastAsia="黑体" w:cs="黑体"/>
                <w:bCs/>
                <w:sz w:val="30"/>
                <w:szCs w:val="30"/>
                <w:lang w:val="en-US" w:eastAsia="zh-CN"/>
              </w:rPr>
              <w:t>财政、税收、金融</w:t>
            </w:r>
          </w:p>
        </w:tc>
      </w:tr>
      <w:tr>
        <w:tblPrEx>
          <w:tblCellMar>
            <w:top w:w="0" w:type="dxa"/>
            <w:left w:w="108" w:type="dxa"/>
            <w:bottom w:w="0" w:type="dxa"/>
            <w:right w:w="108" w:type="dxa"/>
          </w:tblCellMar>
        </w:tblPrEx>
        <w:trPr>
          <w:gridBefore w:val="1"/>
          <w:wBefore w:w="78" w:type="dxa"/>
          <w:trHeight w:val="252" w:hRule="atLeast"/>
          <w:jc w:val="center"/>
        </w:trPr>
        <w:tc>
          <w:tcPr>
            <w:tcW w:w="2123" w:type="dxa"/>
            <w:tcBorders>
              <w:top w:val="nil"/>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rPr>
            </w:pPr>
          </w:p>
        </w:tc>
        <w:tc>
          <w:tcPr>
            <w:tcW w:w="3187" w:type="dxa"/>
            <w:gridSpan w:val="4"/>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tblPrEx>
          <w:tblCellMar>
            <w:top w:w="0" w:type="dxa"/>
            <w:left w:w="108" w:type="dxa"/>
            <w:bottom w:w="0" w:type="dxa"/>
            <w:right w:w="108" w:type="dxa"/>
          </w:tblCellMar>
        </w:tblPrEx>
        <w:trPr>
          <w:gridBefore w:val="1"/>
          <w:wBefore w:w="78" w:type="dxa"/>
          <w:trHeight w:val="752" w:hRule="atLeast"/>
          <w:jc w:val="center"/>
        </w:trPr>
        <w:tc>
          <w:tcPr>
            <w:tcW w:w="2123" w:type="dxa"/>
            <w:tcBorders>
              <w:top w:val="single" w:color="auto" w:sz="12" w:space="0"/>
              <w:left w:val="nil"/>
              <w:bottom w:val="single" w:color="auto" w:sz="12" w:space="0"/>
              <w:right w:val="single" w:color="auto" w:sz="4" w:space="0"/>
            </w:tcBorders>
            <w:noWrap/>
            <w:vAlign w:val="center"/>
          </w:tcPr>
          <w:p>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087"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4</w:t>
            </w:r>
            <w:r>
              <w:rPr>
                <w:rFonts w:hint="default" w:ascii="Times New Roman" w:hAnsi="Times New Roman" w:cs="Times New Roman"/>
                <w:kern w:val="0"/>
                <w:sz w:val="20"/>
                <w:szCs w:val="20"/>
              </w:rPr>
              <w:t>月止累计</w:t>
            </w:r>
          </w:p>
        </w:tc>
        <w:tc>
          <w:tcPr>
            <w:tcW w:w="1228"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比同期增减额</w:t>
            </w:r>
          </w:p>
        </w:tc>
        <w:tc>
          <w:tcPr>
            <w:tcW w:w="872" w:type="dxa"/>
            <w:gridSpan w:val="2"/>
            <w:tcBorders>
              <w:top w:val="single" w:color="auto" w:sz="12" w:space="0"/>
              <w:left w:val="nil"/>
              <w:bottom w:val="single" w:color="auto" w:sz="12" w:space="0"/>
              <w:right w:val="nil"/>
            </w:tcBorders>
            <w:vAlign w:val="center"/>
          </w:tcPr>
          <w:p>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tblPrEx>
          <w:tblCellMar>
            <w:top w:w="0" w:type="dxa"/>
            <w:left w:w="108" w:type="dxa"/>
            <w:bottom w:w="0" w:type="dxa"/>
            <w:right w:w="108" w:type="dxa"/>
          </w:tblCellMar>
        </w:tblPrEx>
        <w:trPr>
          <w:gridBefore w:val="1"/>
          <w:wBefore w:w="78" w:type="dxa"/>
          <w:trHeight w:val="556" w:hRule="atLeast"/>
          <w:jc w:val="center"/>
        </w:trPr>
        <w:tc>
          <w:tcPr>
            <w:tcW w:w="2123" w:type="dxa"/>
            <w:tcBorders>
              <w:top w:val="single" w:color="auto" w:sz="12" w:space="0"/>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一、地方财政收入</w:t>
            </w:r>
          </w:p>
        </w:tc>
        <w:tc>
          <w:tcPr>
            <w:tcW w:w="1087" w:type="dxa"/>
            <w:tcBorders>
              <w:top w:val="single" w:color="auto" w:sz="12" w:space="0"/>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54861</w:t>
            </w:r>
          </w:p>
        </w:tc>
        <w:tc>
          <w:tcPr>
            <w:tcW w:w="1228" w:type="dxa"/>
            <w:tcBorders>
              <w:top w:val="single" w:color="auto" w:sz="12" w:space="0"/>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-11948</w:t>
            </w:r>
          </w:p>
        </w:tc>
        <w:tc>
          <w:tcPr>
            <w:tcW w:w="872" w:type="dxa"/>
            <w:gridSpan w:val="2"/>
            <w:tcBorders>
              <w:top w:val="single" w:color="auto" w:sz="12" w:space="0"/>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-17.9</w:t>
            </w:r>
          </w:p>
        </w:tc>
      </w:tr>
      <w:tr>
        <w:tblPrEx>
          <w:tblCellMar>
            <w:top w:w="0" w:type="dxa"/>
            <w:left w:w="108" w:type="dxa"/>
            <w:bottom w:w="0" w:type="dxa"/>
            <w:right w:w="108" w:type="dxa"/>
          </w:tblCellMar>
        </w:tblPrEx>
        <w:trPr>
          <w:gridBefore w:val="1"/>
          <w:wBefore w:w="78" w:type="dxa"/>
          <w:trHeight w:val="516"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cs="Times New Roman"/>
                <w:sz w:val="20"/>
                <w:szCs w:val="20"/>
              </w:rPr>
              <w:t>1、一般公共预算收入</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53652</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-4128</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-7.1</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税收收入</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49267</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9731</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24.6</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增值税</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17719</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-348</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-1.9</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企业所得税</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11113</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3953</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55.2</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个人所得税</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769</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-96</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-11.1</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#非税收入</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4385</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-13859</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-76</w:t>
            </w:r>
          </w:p>
        </w:tc>
      </w:tr>
      <w:tr>
        <w:tblPrEx>
          <w:tblCellMar>
            <w:top w:w="0" w:type="dxa"/>
            <w:left w:w="108" w:type="dxa"/>
            <w:bottom w:w="0" w:type="dxa"/>
            <w:right w:w="108" w:type="dxa"/>
          </w:tblCellMar>
        </w:tblPrEx>
        <w:trPr>
          <w:gridBefore w:val="1"/>
          <w:wBefore w:w="78" w:type="dxa"/>
          <w:trHeight w:val="436"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2、政府性基金收入</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1209</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-7820</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-86.6</w:t>
            </w:r>
          </w:p>
        </w:tc>
      </w:tr>
      <w:tr>
        <w:tblPrEx>
          <w:tblCellMar>
            <w:top w:w="0" w:type="dxa"/>
            <w:left w:w="108" w:type="dxa"/>
            <w:bottom w:w="0" w:type="dxa"/>
            <w:right w:w="108" w:type="dxa"/>
          </w:tblCellMar>
        </w:tblPrEx>
        <w:trPr>
          <w:gridBefore w:val="1"/>
          <w:wBefore w:w="78" w:type="dxa"/>
          <w:trHeight w:val="622"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二、地方财政支出</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111316</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-21971</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-16.5</w:t>
            </w:r>
          </w:p>
        </w:tc>
      </w:tr>
      <w:tr>
        <w:tblPrEx>
          <w:tblCellMar>
            <w:top w:w="0" w:type="dxa"/>
            <w:left w:w="108" w:type="dxa"/>
            <w:bottom w:w="0" w:type="dxa"/>
            <w:right w:w="108" w:type="dxa"/>
          </w:tblCellMar>
        </w:tblPrEx>
        <w:trPr>
          <w:gridBefore w:val="1"/>
          <w:wBefore w:w="78" w:type="dxa"/>
          <w:trHeight w:val="596"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1、一般公共预算</w:t>
            </w:r>
            <w:r>
              <w:rPr>
                <w:rFonts w:hint="eastAsia" w:ascii="Times New Roman" w:hAnsi="Times New Roman" w:cs="Times New Roman"/>
                <w:sz w:val="20"/>
                <w:szCs w:val="20"/>
                <w:lang w:val="en-US" w:eastAsia="zh-CN"/>
              </w:rPr>
              <w:t>支出</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84464</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567</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0.7</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一般公共服务</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8722</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-400</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-4.4</w:t>
            </w:r>
          </w:p>
        </w:tc>
      </w:tr>
      <w:tr>
        <w:tblPrEx>
          <w:tblCellMar>
            <w:top w:w="0" w:type="dxa"/>
            <w:left w:w="108" w:type="dxa"/>
            <w:bottom w:w="0" w:type="dxa"/>
            <w:right w:w="108" w:type="dxa"/>
          </w:tblCellMar>
        </w:tblPrEx>
        <w:trPr>
          <w:gridBefore w:val="1"/>
          <w:wBefore w:w="78" w:type="dxa"/>
          <w:trHeight w:val="30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教育</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16158</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-562</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-3.4</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社会保障和就业</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12906</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816</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6.8</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10"/>
                <w:sz w:val="18"/>
                <w:szCs w:val="18"/>
              </w:rPr>
            </w:pPr>
            <w:r>
              <w:rPr>
                <w:rFonts w:hint="default" w:ascii="Times New Roman" w:hAnsi="Times New Roman" w:cs="Times New Roman"/>
                <w:sz w:val="20"/>
                <w:szCs w:val="20"/>
              </w:rPr>
              <w:t>卫生健康支出</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9150</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1307</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16.7</w:t>
            </w:r>
          </w:p>
        </w:tc>
      </w:tr>
      <w:tr>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农林水</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15645</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813</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5.5</w:t>
            </w:r>
          </w:p>
        </w:tc>
      </w:tr>
      <w:tr>
        <w:tblPrEx>
          <w:tblCellMar>
            <w:top w:w="0" w:type="dxa"/>
            <w:left w:w="108" w:type="dxa"/>
            <w:bottom w:w="0" w:type="dxa"/>
            <w:right w:w="108" w:type="dxa"/>
          </w:tblCellMar>
        </w:tblPrEx>
        <w:trPr>
          <w:gridBefore w:val="1"/>
          <w:wBefore w:w="78" w:type="dxa"/>
          <w:trHeight w:val="423"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2、政府性基金支出</w:t>
            </w:r>
          </w:p>
        </w:tc>
        <w:tc>
          <w:tcPr>
            <w:tcW w:w="1087" w:type="dxa"/>
            <w:tcBorders>
              <w:top w:val="nil"/>
              <w:left w:val="nil"/>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26852</w:t>
            </w:r>
          </w:p>
        </w:tc>
        <w:tc>
          <w:tcPr>
            <w:tcW w:w="1228"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-22538</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-45.6</w:t>
            </w:r>
          </w:p>
        </w:tc>
      </w:tr>
      <w:tr>
        <w:tblPrEx>
          <w:tblCellMar>
            <w:top w:w="0" w:type="dxa"/>
            <w:left w:w="108" w:type="dxa"/>
            <w:bottom w:w="0" w:type="dxa"/>
            <w:right w:w="108" w:type="dxa"/>
          </w:tblCellMar>
        </w:tblPrEx>
        <w:trPr>
          <w:gridBefore w:val="1"/>
          <w:wBefore w:w="78" w:type="dxa"/>
          <w:trHeight w:val="460" w:hRule="atLeast"/>
          <w:jc w:val="center"/>
        </w:trPr>
        <w:tc>
          <w:tcPr>
            <w:tcW w:w="2123"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三、</w:t>
            </w:r>
            <w:r>
              <w:rPr>
                <w:rFonts w:hint="default" w:ascii="Times New Roman" w:hAnsi="Times New Roman" w:cs="Times New Roman"/>
                <w:b/>
                <w:spacing w:val="-10"/>
                <w:sz w:val="20"/>
                <w:szCs w:val="20"/>
              </w:rPr>
              <w:t>税务局收入合计</w:t>
            </w:r>
          </w:p>
        </w:tc>
        <w:tc>
          <w:tcPr>
            <w:tcW w:w="108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115224</w:t>
            </w:r>
          </w:p>
        </w:tc>
        <w:tc>
          <w:tcPr>
            <w:tcW w:w="1228"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14256</w:t>
            </w:r>
          </w:p>
        </w:tc>
        <w:tc>
          <w:tcPr>
            <w:tcW w:w="872" w:type="dxa"/>
            <w:gridSpan w:val="2"/>
            <w:tcBorders>
              <w:top w:val="nil"/>
              <w:left w:val="single" w:color="auto"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14.1</w:t>
            </w:r>
          </w:p>
        </w:tc>
      </w:tr>
      <w:tr>
        <w:tblPrEx>
          <w:tblCellMar>
            <w:top w:w="0" w:type="dxa"/>
            <w:left w:w="108" w:type="dxa"/>
            <w:bottom w:w="0" w:type="dxa"/>
            <w:right w:w="108" w:type="dxa"/>
          </w:tblCellMar>
        </w:tblPrEx>
        <w:trPr>
          <w:gridBefore w:val="1"/>
          <w:wBefore w:w="78" w:type="dxa"/>
          <w:trHeight w:val="542" w:hRule="atLeast"/>
          <w:jc w:val="center"/>
        </w:trPr>
        <w:tc>
          <w:tcPr>
            <w:tcW w:w="2123" w:type="dxa"/>
            <w:tcBorders>
              <w:top w:val="nil"/>
              <w:left w:val="nil"/>
              <w:bottom w:val="single" w:color="auto" w:sz="12" w:space="0"/>
              <w:right w:val="single" w:color="auto" w:sz="4" w:space="0"/>
            </w:tcBorders>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z w:val="20"/>
                <w:szCs w:val="20"/>
              </w:rPr>
            </w:pPr>
            <w:r>
              <w:rPr>
                <w:rFonts w:hint="default" w:ascii="Times New Roman" w:hAnsi="Times New Roman" w:cs="Times New Roman"/>
                <w:bCs/>
                <w:sz w:val="20"/>
                <w:szCs w:val="20"/>
              </w:rPr>
              <w:t>其中：税收收入合计</w:t>
            </w:r>
          </w:p>
        </w:tc>
        <w:tc>
          <w:tcPr>
            <w:tcW w:w="1087" w:type="dxa"/>
            <w:tcBorders>
              <w:top w:val="nil"/>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86011</w:t>
            </w:r>
          </w:p>
        </w:tc>
        <w:tc>
          <w:tcPr>
            <w:tcW w:w="1228"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14665</w:t>
            </w:r>
          </w:p>
        </w:tc>
        <w:tc>
          <w:tcPr>
            <w:tcW w:w="872" w:type="dxa"/>
            <w:gridSpan w:val="2"/>
            <w:tcBorders>
              <w:top w:val="nil"/>
              <w:left w:val="single" w:color="auto" w:sz="4" w:space="0"/>
              <w:bottom w:val="single" w:color="auto" w:sz="12" w:space="0"/>
              <w:right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20.6</w:t>
            </w:r>
          </w:p>
        </w:tc>
      </w:tr>
    </w:tbl>
    <w:p>
      <w:pPr>
        <w:jc w:val="center"/>
        <w:rPr>
          <w:rFonts w:hint="eastAsia" w:ascii="楷体" w:hAnsi="楷体" w:eastAsia="楷体" w:cs="楷体"/>
          <w:bCs/>
          <w:kern w:val="0"/>
          <w:sz w:val="24"/>
          <w:szCs w:val="24"/>
        </w:rPr>
      </w:pPr>
    </w:p>
    <w:p>
      <w:pPr>
        <w:jc w:val="center"/>
        <w:rPr>
          <w:rFonts w:hint="eastAsia" w:ascii="楷体" w:hAnsi="楷体" w:eastAsia="楷体" w:cs="楷体"/>
          <w:bCs/>
          <w:kern w:val="0"/>
          <w:sz w:val="24"/>
          <w:szCs w:val="24"/>
        </w:rPr>
      </w:pPr>
    </w:p>
    <w:p>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七、绿色发展指标</w:t>
      </w:r>
    </w:p>
    <w:p>
      <w:pPr>
        <w:spacing w:line="40" w:lineRule="exact"/>
        <w:jc w:val="center"/>
        <w:rPr>
          <w:rFonts w:ascii="Times New Roman" w:hAnsi="Times New Roman" w:eastAsia="方正小标宋简体"/>
          <w:bCs/>
          <w:kern w:val="0"/>
          <w:sz w:val="30"/>
          <w:szCs w:val="30"/>
        </w:rPr>
      </w:pPr>
    </w:p>
    <w:p>
      <w:pPr>
        <w:spacing w:line="40" w:lineRule="exact"/>
        <w:jc w:val="center"/>
        <w:rPr>
          <w:rFonts w:ascii="Times New Roman" w:hAnsi="Times New Roman" w:eastAsia="方正小标宋简体"/>
          <w:bCs/>
          <w:kern w:val="0"/>
          <w:sz w:val="30"/>
          <w:szCs w:val="30"/>
        </w:rPr>
      </w:pPr>
    </w:p>
    <w:p>
      <w:pPr>
        <w:spacing w:line="40" w:lineRule="exact"/>
        <w:jc w:val="center"/>
        <w:rPr>
          <w:rFonts w:ascii="Times New Roman" w:hAnsi="Times New Roman" w:eastAsia="方正小标宋简体"/>
          <w:bCs/>
          <w:kern w:val="0"/>
          <w:sz w:val="30"/>
          <w:szCs w:val="30"/>
        </w:rPr>
      </w:pPr>
    </w:p>
    <w:p>
      <w:pPr>
        <w:spacing w:line="40" w:lineRule="exact"/>
        <w:jc w:val="center"/>
        <w:rPr>
          <w:rFonts w:ascii="Times New Roman" w:hAnsi="Times New Roman" w:eastAsia="方正小标宋简体"/>
          <w:bCs/>
          <w:kern w:val="0"/>
          <w:sz w:val="30"/>
          <w:szCs w:val="30"/>
        </w:rPr>
      </w:pPr>
    </w:p>
    <w:p>
      <w:pPr>
        <w:spacing w:line="40" w:lineRule="exact"/>
        <w:jc w:val="center"/>
        <w:rPr>
          <w:rFonts w:ascii="Times New Roman" w:hAnsi="Times New Roman" w:eastAsia="方正小标宋简体"/>
          <w:bCs/>
          <w:kern w:val="0"/>
          <w:sz w:val="30"/>
          <w:szCs w:val="30"/>
        </w:rPr>
      </w:pPr>
    </w:p>
    <w:p>
      <w:pPr>
        <w:spacing w:after="62" w:afterLines="20" w:line="40" w:lineRule="exact"/>
        <w:jc w:val="center"/>
        <w:rPr>
          <w:rFonts w:ascii="Times New Roman" w:hAnsi="Times New Roman" w:eastAsia="方正小标宋简体"/>
          <w:bCs/>
          <w:kern w:val="0"/>
          <w:sz w:val="30"/>
          <w:szCs w:val="30"/>
        </w:rPr>
      </w:pPr>
    </w:p>
    <w:p>
      <w:pPr>
        <w:spacing w:line="40" w:lineRule="exact"/>
        <w:jc w:val="center"/>
        <w:rPr>
          <w:rFonts w:ascii="Times New Roman" w:hAnsi="Times New Roman" w:eastAsia="方正小标宋简体"/>
          <w:bCs/>
          <w:kern w:val="0"/>
          <w:sz w:val="30"/>
          <w:szCs w:val="30"/>
        </w:rPr>
      </w:pPr>
    </w:p>
    <w:tbl>
      <w:tblPr>
        <w:tblStyle w:val="7"/>
        <w:tblW w:w="5235" w:type="dxa"/>
        <w:jc w:val="center"/>
        <w:tblLayout w:type="fixed"/>
        <w:tblCellMar>
          <w:top w:w="0" w:type="dxa"/>
          <w:left w:w="108" w:type="dxa"/>
          <w:bottom w:w="0" w:type="dxa"/>
          <w:right w:w="108" w:type="dxa"/>
        </w:tblCellMar>
      </w:tblPr>
      <w:tblGrid>
        <w:gridCol w:w="2447"/>
        <w:gridCol w:w="993"/>
        <w:gridCol w:w="862"/>
        <w:gridCol w:w="933"/>
      </w:tblGrid>
      <w:tr>
        <w:tblPrEx>
          <w:tblCellMar>
            <w:top w:w="0" w:type="dxa"/>
            <w:left w:w="108" w:type="dxa"/>
            <w:bottom w:w="0" w:type="dxa"/>
            <w:right w:w="108" w:type="dxa"/>
          </w:tblCellMar>
        </w:tblPrEx>
        <w:trPr>
          <w:trHeight w:val="669" w:hRule="atLeast"/>
          <w:jc w:val="center"/>
        </w:trPr>
        <w:tc>
          <w:tcPr>
            <w:tcW w:w="2447" w:type="dxa"/>
            <w:tcBorders>
              <w:top w:val="single" w:color="auto" w:sz="12" w:space="0"/>
              <w:left w:val="nil"/>
              <w:bottom w:val="single" w:color="auto" w:sz="12"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指标名称</w:t>
            </w:r>
          </w:p>
        </w:tc>
        <w:tc>
          <w:tcPr>
            <w:tcW w:w="993" w:type="dxa"/>
            <w:tcBorders>
              <w:top w:val="single" w:color="auto" w:sz="12" w:space="0"/>
              <w:left w:val="nil"/>
              <w:bottom w:val="single" w:color="auto" w:sz="12"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kern w:val="0"/>
                <w:sz w:val="20"/>
                <w:szCs w:val="20"/>
                <w:lang w:eastAsia="zh-CN"/>
              </w:rPr>
            </w:pPr>
            <w:r>
              <w:rPr>
                <w:rFonts w:hint="default" w:ascii="Times New Roman" w:hAnsi="Times New Roman"/>
                <w:kern w:val="0"/>
                <w:sz w:val="20"/>
                <w:szCs w:val="20"/>
              </w:rPr>
              <w:t>计量</w:t>
            </w:r>
          </w:p>
          <w:p>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单位</w:t>
            </w:r>
          </w:p>
        </w:tc>
        <w:tc>
          <w:tcPr>
            <w:tcW w:w="862" w:type="dxa"/>
            <w:tcBorders>
              <w:top w:val="single" w:color="auto" w:sz="12" w:space="0"/>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Times New Roman" w:hAnsi="Times New Roman"/>
                <w:kern w:val="0"/>
                <w:sz w:val="20"/>
                <w:szCs w:val="20"/>
              </w:rPr>
              <w:t>1</w:t>
            </w:r>
            <w:r>
              <w:rPr>
                <w:rFonts w:hint="eastAsia" w:ascii="Times New Roman" w:hAnsi="Times New Roman"/>
                <w:kern w:val="0"/>
                <w:sz w:val="20"/>
                <w:szCs w:val="20"/>
                <w:lang w:eastAsia="zh-CN"/>
              </w:rPr>
              <w:t>—</w:t>
            </w:r>
            <w:r>
              <w:rPr>
                <w:rFonts w:hint="eastAsia" w:ascii="Times New Roman" w:hAnsi="Times New Roman"/>
                <w:kern w:val="0"/>
                <w:sz w:val="20"/>
                <w:szCs w:val="20"/>
                <w:lang w:val="en-US" w:eastAsia="zh-CN"/>
              </w:rPr>
              <w:t>4</w:t>
            </w:r>
            <w:r>
              <w:rPr>
                <w:rFonts w:hint="default" w:ascii="Times New Roman" w:hAnsi="Times New Roman"/>
                <w:kern w:val="0"/>
                <w:sz w:val="20"/>
                <w:szCs w:val="20"/>
              </w:rPr>
              <w:t>月</w:t>
            </w:r>
          </w:p>
        </w:tc>
        <w:tc>
          <w:tcPr>
            <w:tcW w:w="933" w:type="dxa"/>
            <w:tcBorders>
              <w:top w:val="single" w:color="auto" w:sz="12" w:space="0"/>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备注</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能源消费总量</w:t>
            </w:r>
          </w:p>
        </w:tc>
        <w:tc>
          <w:tcPr>
            <w:tcW w:w="993"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pacing w:val="-6"/>
                <w:sz w:val="20"/>
                <w:szCs w:val="20"/>
              </w:rPr>
              <w:t>吨标准煤</w:t>
            </w:r>
          </w:p>
        </w:tc>
        <w:tc>
          <w:tcPr>
            <w:tcW w:w="862" w:type="dxa"/>
            <w:tcBorders>
              <w:top w:val="nil"/>
              <w:left w:val="single" w:color="000000" w:sz="4" w:space="0"/>
              <w:bottom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132.37</w:t>
            </w:r>
          </w:p>
        </w:tc>
        <w:tc>
          <w:tcPr>
            <w:tcW w:w="933" w:type="dxa"/>
            <w:tcBorders>
              <w:top w:val="nil"/>
              <w:left w:val="nil"/>
              <w:bottom w:val="nil"/>
              <w:right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kern w:val="2"/>
                <w:sz w:val="20"/>
                <w:szCs w:val="20"/>
                <w:lang w:val="en-US" w:eastAsia="zh-CN" w:bidi="ar-SA"/>
              </w:rPr>
            </w:pPr>
            <w:r>
              <w:rPr>
                <w:rFonts w:hint="default" w:ascii="Times New Roman" w:hAnsi="Times New Roman" w:cs="Times New Roman"/>
                <w:kern w:val="2"/>
                <w:sz w:val="20"/>
                <w:szCs w:val="20"/>
                <w:lang w:val="en-US" w:eastAsia="zh-CN" w:bidi="ar-SA"/>
              </w:rPr>
              <w:t>2023年</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单位GDP能耗上升或下降</w:t>
            </w:r>
          </w:p>
        </w:tc>
        <w:tc>
          <w:tcPr>
            <w:tcW w:w="993"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single" w:color="auto" w:sz="4" w:space="0"/>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FF"/>
                <w:sz w:val="20"/>
                <w:szCs w:val="20"/>
                <w:lang w:val="en-US" w:eastAsia="zh-CN"/>
              </w:rPr>
            </w:pPr>
            <w:r>
              <w:rPr>
                <w:rFonts w:hint="default" w:ascii="Times New Roman" w:hAnsi="Times New Roman" w:cs="Times New Roman"/>
                <w:color w:val="auto"/>
                <w:sz w:val="20"/>
                <w:szCs w:val="20"/>
                <w:lang w:val="en-US" w:eastAsia="zh-CN"/>
              </w:rPr>
              <w:t>-10.8</w:t>
            </w:r>
          </w:p>
        </w:tc>
        <w:tc>
          <w:tcPr>
            <w:tcW w:w="933" w:type="dxa"/>
            <w:tcBorders>
              <w:top w:val="nil"/>
              <w:left w:val="nil"/>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FF"/>
                <w:sz w:val="20"/>
                <w:szCs w:val="20"/>
                <w:highlight w:val="none"/>
                <w:lang w:val="en-US" w:eastAsia="zh-CN"/>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规模以上工业单位增加值能耗上升或下降</w:t>
            </w:r>
          </w:p>
        </w:tc>
        <w:tc>
          <w:tcPr>
            <w:tcW w:w="993"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FF"/>
                <w:sz w:val="20"/>
                <w:szCs w:val="20"/>
                <w:lang w:val="en-US" w:eastAsia="zh-CN"/>
              </w:rPr>
            </w:pPr>
            <w:r>
              <w:rPr>
                <w:rFonts w:hint="default" w:ascii="Times New Roman" w:hAnsi="Times New Roman" w:cs="Times New Roman"/>
                <w:color w:val="auto"/>
                <w:sz w:val="20"/>
                <w:szCs w:val="20"/>
                <w:lang w:val="en-US" w:eastAsia="zh-CN"/>
              </w:rPr>
              <w:t>-12.7</w:t>
            </w:r>
          </w:p>
        </w:tc>
        <w:tc>
          <w:tcPr>
            <w:tcW w:w="933" w:type="dxa"/>
            <w:tcBorders>
              <w:top w:val="nil"/>
              <w:left w:val="single" w:color="000000" w:sz="4" w:space="0"/>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FF"/>
                <w:sz w:val="20"/>
                <w:szCs w:val="20"/>
                <w:highlight w:val="none"/>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用水总量</w:t>
            </w:r>
          </w:p>
        </w:tc>
        <w:tc>
          <w:tcPr>
            <w:tcW w:w="993" w:type="dxa"/>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sz w:val="20"/>
                <w:szCs w:val="20"/>
                <w:lang w:eastAsia="zh-CN"/>
              </w:rPr>
            </w:pPr>
            <w:r>
              <w:rPr>
                <w:rFonts w:hint="default" w:ascii="Times New Roman" w:hAnsi="Times New Roman"/>
                <w:sz w:val="20"/>
                <w:szCs w:val="20"/>
              </w:rPr>
              <w:t>万立</w:t>
            </w:r>
          </w:p>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方米</w:t>
            </w:r>
          </w:p>
        </w:tc>
        <w:tc>
          <w:tcPr>
            <w:tcW w:w="862" w:type="dxa"/>
            <w:tcBorders>
              <w:top w:val="nil"/>
              <w:left w:val="nil"/>
              <w:bottom w:val="nil"/>
              <w:right w:val="single" w:color="000000" w:sz="4" w:space="0"/>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lang w:val="en-US" w:eastAsia="zh-CN"/>
              </w:rPr>
            </w:pPr>
            <w:r>
              <w:rPr>
                <w:rFonts w:hint="default" w:ascii="Times New Roman" w:hAnsi="Times New Roman" w:cs="Times New Roman"/>
                <w:sz w:val="22"/>
                <w:szCs w:val="22"/>
                <w:lang w:val="en-US" w:eastAsia="zh-CN"/>
              </w:rPr>
              <w:t>18500</w:t>
            </w:r>
          </w:p>
        </w:tc>
        <w:tc>
          <w:tcPr>
            <w:tcW w:w="933" w:type="dxa"/>
            <w:tcBorders>
              <w:top w:val="nil"/>
              <w:left w:val="nil"/>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2023年</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万元GDP用水量</w:t>
            </w:r>
          </w:p>
        </w:tc>
        <w:tc>
          <w:tcPr>
            <w:tcW w:w="993"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eastAsia" w:ascii="Times New Roman" w:hAnsi="Times New Roman"/>
                <w:sz w:val="20"/>
                <w:szCs w:val="20"/>
                <w:lang w:val="en-US" w:eastAsia="zh-CN"/>
              </w:rPr>
              <w:t>立</w:t>
            </w:r>
            <w:r>
              <w:rPr>
                <w:rFonts w:hint="default" w:ascii="Times New Roman" w:hAnsi="Times New Roman"/>
                <w:sz w:val="20"/>
                <w:szCs w:val="20"/>
              </w:rPr>
              <w:t>方米</w:t>
            </w:r>
          </w:p>
        </w:tc>
        <w:tc>
          <w:tcPr>
            <w:tcW w:w="862" w:type="dxa"/>
            <w:tcBorders>
              <w:top w:val="nil"/>
              <w:left w:val="single" w:color="000000" w:sz="4" w:space="0"/>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lang w:val="en-US" w:eastAsia="zh-CN"/>
              </w:rPr>
            </w:pPr>
            <w:r>
              <w:rPr>
                <w:rFonts w:hint="default" w:ascii="Times New Roman" w:hAnsi="Times New Roman" w:cs="Times New Roman"/>
                <w:sz w:val="22"/>
                <w:szCs w:val="22"/>
                <w:lang w:val="en-US" w:eastAsia="zh-CN"/>
              </w:rPr>
              <w:t>100.10</w:t>
            </w:r>
          </w:p>
        </w:tc>
        <w:tc>
          <w:tcPr>
            <w:tcW w:w="933" w:type="dxa"/>
            <w:tcBorders>
              <w:top w:val="nil"/>
              <w:left w:val="single" w:color="000000" w:sz="4" w:space="0"/>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2023年</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万元GDP用水量</w:t>
            </w:r>
          </w:p>
        </w:tc>
        <w:tc>
          <w:tcPr>
            <w:tcW w:w="993"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kern w:val="0"/>
                <w:sz w:val="20"/>
                <w:szCs w:val="20"/>
              </w:rPr>
              <w:t>±%</w:t>
            </w:r>
          </w:p>
        </w:tc>
        <w:tc>
          <w:tcPr>
            <w:tcW w:w="862" w:type="dxa"/>
            <w:tcBorders>
              <w:top w:val="nil"/>
              <w:left w:val="single" w:color="000000" w:sz="4" w:space="0"/>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lang w:val="en-US" w:eastAsia="zh-CN"/>
              </w:rPr>
            </w:pPr>
            <w:r>
              <w:rPr>
                <w:rFonts w:hint="default" w:ascii="Times New Roman" w:hAnsi="Times New Roman" w:cs="Times New Roman"/>
                <w:sz w:val="22"/>
                <w:szCs w:val="22"/>
                <w:lang w:val="en-US" w:eastAsia="zh-CN"/>
              </w:rPr>
              <w:t>6.5</w:t>
            </w:r>
          </w:p>
        </w:tc>
        <w:tc>
          <w:tcPr>
            <w:tcW w:w="933" w:type="dxa"/>
            <w:tcBorders>
              <w:top w:val="nil"/>
              <w:left w:val="single" w:color="000000" w:sz="4" w:space="0"/>
              <w:bottom w:val="nil"/>
              <w:right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2023年较2020年比较</w:t>
            </w:r>
          </w:p>
        </w:tc>
      </w:tr>
      <w:tr>
        <w:tblPrEx>
          <w:tblCellMar>
            <w:top w:w="0" w:type="dxa"/>
            <w:left w:w="108" w:type="dxa"/>
            <w:bottom w:w="0" w:type="dxa"/>
            <w:right w:w="108" w:type="dxa"/>
          </w:tblCellMar>
        </w:tblPrEx>
        <w:trPr>
          <w:trHeight w:val="721" w:hRule="atLeast"/>
          <w:jc w:val="center"/>
        </w:trPr>
        <w:tc>
          <w:tcPr>
            <w:tcW w:w="244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空气质量优良天数比率</w:t>
            </w:r>
          </w:p>
        </w:tc>
        <w:tc>
          <w:tcPr>
            <w:tcW w:w="993"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33"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721" w:hRule="atLeast"/>
          <w:jc w:val="center"/>
        </w:trPr>
        <w:tc>
          <w:tcPr>
            <w:tcW w:w="2447"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细颗粒物（PM2.5）较上月±</w:t>
            </w:r>
          </w:p>
        </w:tc>
        <w:tc>
          <w:tcPr>
            <w:tcW w:w="993"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933" w:type="dxa"/>
            <w:tcBorders>
              <w:top w:val="nil"/>
              <w:left w:val="single" w:color="000000" w:sz="4" w:space="0"/>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721" w:hRule="atLeast"/>
          <w:jc w:val="center"/>
        </w:trPr>
        <w:tc>
          <w:tcPr>
            <w:tcW w:w="2447" w:type="dxa"/>
            <w:tcBorders>
              <w:top w:val="nil"/>
              <w:left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细颗粒物（PM2.5）较同期±</w:t>
            </w:r>
          </w:p>
        </w:tc>
        <w:tc>
          <w:tcPr>
            <w:tcW w:w="993" w:type="dxa"/>
            <w:tcBorders>
              <w:top w:val="nil"/>
              <w:left w:val="single" w:color="000000"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-30.3</w:t>
            </w:r>
          </w:p>
        </w:tc>
        <w:tc>
          <w:tcPr>
            <w:tcW w:w="933" w:type="dxa"/>
            <w:tcBorders>
              <w:top w:val="nil"/>
              <w:left w:val="single" w:color="000000"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651" w:hRule="atLeast"/>
          <w:jc w:val="center"/>
        </w:trPr>
        <w:tc>
          <w:tcPr>
            <w:tcW w:w="2447" w:type="dxa"/>
            <w:tcBorders>
              <w:top w:val="nil"/>
              <w:left w:val="nil"/>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地表水达到或优于Ⅲ类水体比例</w:t>
            </w:r>
          </w:p>
        </w:tc>
        <w:tc>
          <w:tcPr>
            <w:tcW w:w="993" w:type="dxa"/>
            <w:tcBorders>
              <w:top w:val="nil"/>
              <w:left w:val="single" w:color="000000"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33" w:type="dxa"/>
            <w:tcBorders>
              <w:top w:val="nil"/>
              <w:left w:val="single" w:color="000000"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649" w:hRule="atLeast"/>
          <w:jc w:val="center"/>
        </w:trPr>
        <w:tc>
          <w:tcPr>
            <w:tcW w:w="2447" w:type="dxa"/>
            <w:tcBorders>
              <w:top w:val="nil"/>
              <w:left w:val="nil"/>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地表水劣V类水体比例</w:t>
            </w:r>
          </w:p>
        </w:tc>
        <w:tc>
          <w:tcPr>
            <w:tcW w:w="993" w:type="dxa"/>
            <w:tcBorders>
              <w:top w:val="nil"/>
              <w:left w:val="single" w:color="000000"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auto" w:sz="4" w:space="0"/>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w:t>
            </w:r>
          </w:p>
        </w:tc>
        <w:tc>
          <w:tcPr>
            <w:tcW w:w="933" w:type="dxa"/>
            <w:tcBorders>
              <w:top w:val="nil"/>
              <w:left w:val="single" w:color="000000" w:sz="4" w:space="0"/>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bl>
    <w:p>
      <w:pPr>
        <w:rPr>
          <w:rFonts w:ascii="Times New Roman" w:hAnsi="Times New Roman"/>
          <w:bCs/>
          <w:kern w:val="0"/>
          <w:sz w:val="16"/>
          <w:szCs w:val="16"/>
        </w:rPr>
      </w:pPr>
      <w:r>
        <w:rPr>
          <w:rFonts w:ascii="Times New Roman" w:hAnsi="Times New Roman"/>
          <w:sz w:val="16"/>
          <w:szCs w:val="16"/>
        </w:rPr>
        <w:t>备注：</w:t>
      </w:r>
      <w:r>
        <w:rPr>
          <w:rFonts w:hint="default" w:ascii="Times New Roman" w:hAnsi="Times New Roman"/>
          <w:sz w:val="16"/>
          <w:szCs w:val="16"/>
        </w:rPr>
        <w:t>单位GDP能耗</w:t>
      </w:r>
      <w:r>
        <w:rPr>
          <w:rFonts w:hint="default" w:ascii="Times New Roman" w:hAnsi="Times New Roman"/>
          <w:sz w:val="16"/>
          <w:szCs w:val="16"/>
          <w:lang w:eastAsia="zh-CN"/>
        </w:rPr>
        <w:t>、规模以上工业单位增加值能耗</w:t>
      </w:r>
      <w:r>
        <w:rPr>
          <w:rFonts w:hint="default" w:ascii="Times New Roman" w:hAnsi="Times New Roman"/>
          <w:sz w:val="16"/>
          <w:szCs w:val="16"/>
          <w:lang w:val="en-US" w:eastAsia="zh-CN"/>
        </w:rPr>
        <w:t>数据为初步核算数。</w:t>
      </w:r>
    </w:p>
    <w:p>
      <w:pPr>
        <w:widowControl/>
        <w:spacing w:after="156" w:afterLines="50" w:line="320" w:lineRule="exact"/>
        <w:jc w:val="center"/>
        <w:rPr>
          <w:rFonts w:hint="eastAsia" w:ascii="黑体" w:hAnsi="黑体" w:eastAsia="黑体" w:cs="黑体"/>
          <w:sz w:val="30"/>
          <w:szCs w:val="30"/>
        </w:rPr>
      </w:pPr>
    </w:p>
    <w:p>
      <w:pPr>
        <w:jc w:val="center"/>
        <w:rPr>
          <w:rFonts w:ascii="Times New Roman" w:hAnsi="Times New Roman" w:eastAsia="方正小标宋简体"/>
          <w:sz w:val="24"/>
          <w:szCs w:val="28"/>
        </w:rPr>
      </w:pPr>
      <w:bookmarkStart w:id="0" w:name="_GoBack"/>
      <w:bookmarkEnd w:id="0"/>
      <w:r>
        <w:rPr>
          <w:rFonts w:ascii="Times New Roman" w:hAnsi="Times New Roman" w:eastAsia="方正小标宋简体"/>
          <w:sz w:val="24"/>
          <w:szCs w:val="28"/>
        </w:rPr>
        <w:t>中华人民共和国统计法实施条例总则</w:t>
      </w:r>
    </w:p>
    <w:p>
      <w:pPr>
        <w:spacing w:line="280" w:lineRule="exact"/>
        <w:ind w:firstLine="420" w:firstLineChars="200"/>
        <w:jc w:val="left"/>
        <w:rPr>
          <w:rFonts w:ascii="Times New Roman" w:hAnsi="Times New Roman"/>
          <w:szCs w:val="21"/>
        </w:rPr>
      </w:pPr>
    </w:p>
    <w:p>
      <w:pPr>
        <w:spacing w:line="440" w:lineRule="exact"/>
        <w:ind w:firstLine="420" w:firstLineChars="200"/>
        <w:jc w:val="left"/>
        <w:rPr>
          <w:rFonts w:ascii="Times New Roman" w:hAnsi="Times New Roman"/>
          <w:szCs w:val="21"/>
        </w:rPr>
      </w:pPr>
      <w:r>
        <w:rPr>
          <w:rFonts w:ascii="Times New Roman" w:hAnsi="Times New Roman"/>
          <w:szCs w:val="21"/>
        </w:rPr>
        <w:t>第一条</w:t>
      </w:r>
      <w:r>
        <w:rPr>
          <w:rFonts w:hint="eastAsia" w:ascii="Times New Roman" w:hAnsi="Times New Roman"/>
          <w:szCs w:val="21"/>
        </w:rPr>
        <w:t xml:space="preserve">  </w:t>
      </w:r>
      <w:r>
        <w:rPr>
          <w:rFonts w:ascii="Times New Roman" w:hAnsi="Times New Roman"/>
          <w:szCs w:val="21"/>
        </w:rPr>
        <w:t xml:space="preserve">根据《中华人民共和国统计法》（以下简称统计法），制定本条例。 </w:t>
      </w:r>
    </w:p>
    <w:p>
      <w:pPr>
        <w:spacing w:line="440" w:lineRule="exact"/>
        <w:ind w:firstLine="420" w:firstLineChars="200"/>
        <w:jc w:val="left"/>
        <w:rPr>
          <w:rFonts w:ascii="Times New Roman" w:hAnsi="Times New Roman"/>
          <w:szCs w:val="21"/>
        </w:rPr>
      </w:pPr>
      <w:r>
        <w:rPr>
          <w:rFonts w:ascii="Times New Roman" w:hAnsi="Times New Roman"/>
          <w:szCs w:val="21"/>
        </w:rPr>
        <w:t>第二条</w:t>
      </w:r>
      <w:r>
        <w:rPr>
          <w:rFonts w:hint="eastAsia" w:ascii="Times New Roman" w:hAnsi="Times New Roman"/>
          <w:szCs w:val="21"/>
        </w:rPr>
        <w:t xml:space="preserve">  </w:t>
      </w:r>
      <w:r>
        <w:rPr>
          <w:rFonts w:ascii="Times New Roman" w:hAnsi="Times New Roman"/>
          <w:szCs w:val="21"/>
        </w:rPr>
        <w:t xml:space="preserve">统计资料能够通过行政记录取得的，不得组织实施调查。通过抽样调查、重点调查能够满足统计需要的，不得组织实施全面调查。 </w:t>
      </w:r>
    </w:p>
    <w:p>
      <w:pPr>
        <w:spacing w:line="440" w:lineRule="exact"/>
        <w:ind w:firstLine="420" w:firstLineChars="200"/>
        <w:jc w:val="left"/>
        <w:rPr>
          <w:rFonts w:ascii="Times New Roman" w:hAnsi="Times New Roman"/>
          <w:szCs w:val="21"/>
        </w:rPr>
      </w:pPr>
      <w:r>
        <w:rPr>
          <w:rFonts w:ascii="Times New Roman" w:hAnsi="Times New Roman"/>
          <w:szCs w:val="21"/>
        </w:rPr>
        <w:t>第三条</w:t>
      </w:r>
      <w:r>
        <w:rPr>
          <w:rFonts w:hint="eastAsia" w:ascii="Times New Roman" w:hAnsi="Times New Roman"/>
          <w:szCs w:val="21"/>
        </w:rPr>
        <w:t xml:space="preserve">  </w:t>
      </w:r>
      <w:r>
        <w:rPr>
          <w:rFonts w:ascii="Times New Roman" w:hAnsi="Times New Roman"/>
          <w:szCs w:val="21"/>
        </w:rPr>
        <w:t xml:space="preserve">县级以上人民政府统计机构和有关部门应当加强统计规律研究，健全新兴产业等统计，完善经济、社会、科技、资源和环境统计，推进互联网、大数据、云计算等现代信息技术在统计工作中的应用，满足经济社会发展需要。 </w:t>
      </w:r>
    </w:p>
    <w:p>
      <w:pPr>
        <w:spacing w:line="440" w:lineRule="exact"/>
        <w:ind w:firstLine="420" w:firstLineChars="200"/>
        <w:jc w:val="left"/>
        <w:rPr>
          <w:rFonts w:ascii="Times New Roman" w:hAnsi="Times New Roman"/>
          <w:szCs w:val="21"/>
        </w:rPr>
      </w:pPr>
      <w:r>
        <w:rPr>
          <w:rFonts w:ascii="Times New Roman" w:hAnsi="Times New Roman"/>
          <w:szCs w:val="21"/>
        </w:rPr>
        <w:t>第四条</w:t>
      </w:r>
      <w:r>
        <w:rPr>
          <w:rFonts w:hint="eastAsia" w:ascii="Times New Roman" w:hAnsi="Times New Roman"/>
          <w:szCs w:val="21"/>
        </w:rPr>
        <w:t xml:space="preserve">  </w:t>
      </w:r>
      <w:r>
        <w:rPr>
          <w:rFonts w:ascii="Times New Roman" w:hAnsi="Times New Roman"/>
          <w:szCs w:val="21"/>
        </w:rPr>
        <w:t xml:space="preserve">地方人民政府、县级以上人民政府统计机构和有关部门应当根据国家有关规定，明确本单位防范和惩治统计造假、弄虚作假的责任主体，严格执行统计法和本条例的规定。 </w:t>
      </w:r>
    </w:p>
    <w:p>
      <w:pPr>
        <w:spacing w:line="440" w:lineRule="exact"/>
        <w:ind w:firstLine="420" w:firstLineChars="200"/>
        <w:jc w:val="left"/>
        <w:rPr>
          <w:rFonts w:ascii="Times New Roman" w:hAnsi="Times New Roman"/>
          <w:szCs w:val="21"/>
        </w:rPr>
      </w:pPr>
      <w:r>
        <w:rPr>
          <w:rFonts w:ascii="Times New Roman" w:hAnsi="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pPr>
        <w:spacing w:line="440" w:lineRule="exact"/>
        <w:ind w:firstLine="420" w:firstLineChars="200"/>
        <w:jc w:val="left"/>
        <w:rPr>
          <w:rFonts w:ascii="Times New Roman" w:hAnsi="Times New Roman"/>
          <w:szCs w:val="21"/>
        </w:rPr>
      </w:pPr>
      <w:r>
        <w:rPr>
          <w:rFonts w:ascii="Times New Roman" w:hAnsi="Times New Roman"/>
          <w:szCs w:val="21"/>
        </w:rPr>
        <w:t xml:space="preserve">统计调查对象应当依照统计法和国家有关规定，真实、准确、完整、及时地提供统计资料，拒绝、抵制弄虚作假等违法行为。 </w:t>
      </w:r>
    </w:p>
    <w:p>
      <w:pPr>
        <w:spacing w:line="440" w:lineRule="exact"/>
        <w:ind w:firstLine="420" w:firstLineChars="200"/>
        <w:jc w:val="left"/>
        <w:rPr>
          <w:rFonts w:ascii="Times New Roman" w:hAnsi="Times New Roman"/>
          <w:szCs w:val="21"/>
        </w:rPr>
      </w:pPr>
      <w:r>
        <w:rPr>
          <w:rFonts w:ascii="Times New Roman" w:hAnsi="Times New Roman"/>
          <w:szCs w:val="21"/>
        </w:rPr>
        <w:t>第五条</w:t>
      </w:r>
      <w:r>
        <w:rPr>
          <w:rFonts w:hint="eastAsia" w:ascii="Times New Roman" w:hAnsi="Times New Roman"/>
          <w:szCs w:val="21"/>
        </w:rPr>
        <w:t xml:space="preserve">  </w:t>
      </w:r>
      <w:r>
        <w:rPr>
          <w:rFonts w:ascii="Times New Roman" w:hAnsi="Times New Roman"/>
          <w:szCs w:val="21"/>
        </w:rPr>
        <w:t xml:space="preserve">县级以上人民政府统计机构和有关部门不得组织实施营利性统计调查。 </w:t>
      </w:r>
    </w:p>
    <w:p>
      <w:pPr>
        <w:spacing w:line="440" w:lineRule="exact"/>
        <w:ind w:firstLine="420" w:firstLineChars="200"/>
        <w:jc w:val="left"/>
        <w:rPr>
          <w:rFonts w:ascii="Times New Roman" w:hAnsi="Times New Roman"/>
          <w:w w:val="110"/>
          <w:sz w:val="21"/>
          <w:szCs w:val="21"/>
        </w:rPr>
      </w:pPr>
      <w:r>
        <w:rPr>
          <w:rFonts w:ascii="Times New Roman" w:hAnsi="Times New Roman"/>
          <w:szCs w:val="21"/>
        </w:rPr>
        <w:t>国家有计划地推进县级以上人民政府统计机构和有</w:t>
      </w:r>
      <w:r>
        <w:rPr>
          <w:rFonts w:ascii="Times New Roman" w:hAnsi="Times New Roman"/>
          <w:w w:val="110"/>
          <w:sz w:val="21"/>
          <w:szCs w:val="21"/>
        </w:rPr>
        <w:t>关部门通过向社会购买服务组织实施统计调查和资料开发。</w:t>
      </w:r>
    </w:p>
    <w:p>
      <w:pPr>
        <w:spacing w:line="440" w:lineRule="exact"/>
        <w:ind w:firstLine="420" w:firstLineChars="200"/>
        <w:jc w:val="left"/>
        <w:rPr>
          <w:rFonts w:ascii="Times New Roman" w:hAnsi="Times New Roman"/>
          <w:szCs w:val="21"/>
        </w:rPr>
      </w:pPr>
      <w:r>
        <w:rPr>
          <w:rFonts w:ascii="Times New Roman" w:hAnsi="Times New Roman"/>
          <w:szCs w:val="21"/>
        </w:rPr>
        <w:t>本条例自2017年8月1日起施行。1987年1月19日国务院批准、1987年</w:t>
      </w:r>
      <w:r>
        <w:rPr>
          <w:rFonts w:hint="eastAsia" w:ascii="Times New Roman" w:hAnsi="Times New Roman"/>
          <w:szCs w:val="21"/>
        </w:rPr>
        <w:t>2</w:t>
      </w:r>
      <w:r>
        <w:rPr>
          <w:rFonts w:ascii="Times New Roman" w:hAnsi="Times New Roman"/>
          <w:szCs w:val="21"/>
        </w:rPr>
        <w:t>月15日国家统计局公布，2000年6月2日国务院批准修订、2000年6月15日国家统计局公布，2005年1</w:t>
      </w:r>
      <w:r>
        <w:rPr>
          <w:rFonts w:hint="eastAsia" w:ascii="Times New Roman" w:hAnsi="Times New Roman"/>
          <w:szCs w:val="21"/>
        </w:rPr>
        <w:t>2</w:t>
      </w:r>
      <w:r>
        <w:rPr>
          <w:rFonts w:ascii="Times New Roman" w:hAnsi="Times New Roman"/>
          <w:szCs w:val="21"/>
        </w:rPr>
        <w:t>月16日国务院修订的《中华人民共和国统计法实施细则》同时废止。</w:t>
      </w:r>
    </w:p>
    <w:sectPr>
      <w:footerReference r:id="rId6"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lang w:val="zh-CN"/>
      </w:rPr>
      <w:t>-</w:t>
    </w:r>
    <w:r>
      <w:rPr>
        <w:rFonts w:ascii="宋体" w:hAnsi="宋体"/>
      </w:rPr>
      <w:t xml:space="preserve"> 20 -</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2382"/>
    <w:rsid w:val="00012990"/>
    <w:rsid w:val="000130BA"/>
    <w:rsid w:val="00014D95"/>
    <w:rsid w:val="000239D1"/>
    <w:rsid w:val="00030D95"/>
    <w:rsid w:val="00031BF1"/>
    <w:rsid w:val="000346F9"/>
    <w:rsid w:val="00035145"/>
    <w:rsid w:val="0003586E"/>
    <w:rsid w:val="00036759"/>
    <w:rsid w:val="00040A47"/>
    <w:rsid w:val="000426CC"/>
    <w:rsid w:val="00043569"/>
    <w:rsid w:val="00046357"/>
    <w:rsid w:val="0004669C"/>
    <w:rsid w:val="000536F2"/>
    <w:rsid w:val="00053A0A"/>
    <w:rsid w:val="00053DF8"/>
    <w:rsid w:val="00056DEC"/>
    <w:rsid w:val="00057EA1"/>
    <w:rsid w:val="00061BB9"/>
    <w:rsid w:val="00067108"/>
    <w:rsid w:val="00067B3A"/>
    <w:rsid w:val="00070C9B"/>
    <w:rsid w:val="00070F2A"/>
    <w:rsid w:val="0007156E"/>
    <w:rsid w:val="00076C3E"/>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123B"/>
    <w:rsid w:val="000F4A0D"/>
    <w:rsid w:val="000F5645"/>
    <w:rsid w:val="000F67D1"/>
    <w:rsid w:val="000F6F20"/>
    <w:rsid w:val="0010132E"/>
    <w:rsid w:val="001026C3"/>
    <w:rsid w:val="00103A43"/>
    <w:rsid w:val="00105AF6"/>
    <w:rsid w:val="00110C1A"/>
    <w:rsid w:val="001126F2"/>
    <w:rsid w:val="00117BE9"/>
    <w:rsid w:val="001203B8"/>
    <w:rsid w:val="001220EB"/>
    <w:rsid w:val="00131D26"/>
    <w:rsid w:val="0013358A"/>
    <w:rsid w:val="00134AD2"/>
    <w:rsid w:val="00134E46"/>
    <w:rsid w:val="00137B9D"/>
    <w:rsid w:val="00140107"/>
    <w:rsid w:val="00140689"/>
    <w:rsid w:val="00141316"/>
    <w:rsid w:val="00147036"/>
    <w:rsid w:val="0014709F"/>
    <w:rsid w:val="00147C91"/>
    <w:rsid w:val="00154F62"/>
    <w:rsid w:val="00155B26"/>
    <w:rsid w:val="00156078"/>
    <w:rsid w:val="001652BA"/>
    <w:rsid w:val="0016559F"/>
    <w:rsid w:val="00166953"/>
    <w:rsid w:val="0016751C"/>
    <w:rsid w:val="001719C2"/>
    <w:rsid w:val="00173D12"/>
    <w:rsid w:val="001774A2"/>
    <w:rsid w:val="00185440"/>
    <w:rsid w:val="0018717E"/>
    <w:rsid w:val="001879B2"/>
    <w:rsid w:val="001903EC"/>
    <w:rsid w:val="00193EA3"/>
    <w:rsid w:val="00194EDC"/>
    <w:rsid w:val="00197E17"/>
    <w:rsid w:val="001A2915"/>
    <w:rsid w:val="001A4713"/>
    <w:rsid w:val="001A6A82"/>
    <w:rsid w:val="001B0E96"/>
    <w:rsid w:val="001B3E93"/>
    <w:rsid w:val="001B7F90"/>
    <w:rsid w:val="001C0516"/>
    <w:rsid w:val="001C247A"/>
    <w:rsid w:val="001C4FA2"/>
    <w:rsid w:val="001C5F91"/>
    <w:rsid w:val="001C6C37"/>
    <w:rsid w:val="001C6D9C"/>
    <w:rsid w:val="001D1DBE"/>
    <w:rsid w:val="001D22CD"/>
    <w:rsid w:val="001E007A"/>
    <w:rsid w:val="001E69E2"/>
    <w:rsid w:val="001E6A30"/>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8F7"/>
    <w:rsid w:val="00246E03"/>
    <w:rsid w:val="00250C66"/>
    <w:rsid w:val="002530E5"/>
    <w:rsid w:val="0025623E"/>
    <w:rsid w:val="00256D3A"/>
    <w:rsid w:val="00257F3C"/>
    <w:rsid w:val="00260469"/>
    <w:rsid w:val="002606C9"/>
    <w:rsid w:val="00261A61"/>
    <w:rsid w:val="002631E7"/>
    <w:rsid w:val="0026376D"/>
    <w:rsid w:val="00263800"/>
    <w:rsid w:val="002655DC"/>
    <w:rsid w:val="002656D9"/>
    <w:rsid w:val="00265922"/>
    <w:rsid w:val="00266D0E"/>
    <w:rsid w:val="00271D5B"/>
    <w:rsid w:val="00277647"/>
    <w:rsid w:val="00282A2A"/>
    <w:rsid w:val="0028588B"/>
    <w:rsid w:val="00286493"/>
    <w:rsid w:val="00286889"/>
    <w:rsid w:val="00286B6E"/>
    <w:rsid w:val="00290414"/>
    <w:rsid w:val="002958FB"/>
    <w:rsid w:val="00296405"/>
    <w:rsid w:val="00296B53"/>
    <w:rsid w:val="002970F8"/>
    <w:rsid w:val="002972DA"/>
    <w:rsid w:val="002A04AF"/>
    <w:rsid w:val="002A3A0E"/>
    <w:rsid w:val="002A68DE"/>
    <w:rsid w:val="002A69B9"/>
    <w:rsid w:val="002B0300"/>
    <w:rsid w:val="002B25BC"/>
    <w:rsid w:val="002C431A"/>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06F4E"/>
    <w:rsid w:val="00311479"/>
    <w:rsid w:val="003132FE"/>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81D"/>
    <w:rsid w:val="00360294"/>
    <w:rsid w:val="00361D14"/>
    <w:rsid w:val="00362FE3"/>
    <w:rsid w:val="00363439"/>
    <w:rsid w:val="003638F9"/>
    <w:rsid w:val="00363B5B"/>
    <w:rsid w:val="003642E2"/>
    <w:rsid w:val="00365739"/>
    <w:rsid w:val="00370D0E"/>
    <w:rsid w:val="00372E1B"/>
    <w:rsid w:val="00373987"/>
    <w:rsid w:val="003739B3"/>
    <w:rsid w:val="0037672F"/>
    <w:rsid w:val="003768B0"/>
    <w:rsid w:val="0037780C"/>
    <w:rsid w:val="00381D91"/>
    <w:rsid w:val="0038511C"/>
    <w:rsid w:val="00386145"/>
    <w:rsid w:val="00387242"/>
    <w:rsid w:val="00387461"/>
    <w:rsid w:val="00391EA3"/>
    <w:rsid w:val="00392473"/>
    <w:rsid w:val="00392C5B"/>
    <w:rsid w:val="003935B9"/>
    <w:rsid w:val="00393D9A"/>
    <w:rsid w:val="003940F9"/>
    <w:rsid w:val="00395B27"/>
    <w:rsid w:val="00397A00"/>
    <w:rsid w:val="003A36D3"/>
    <w:rsid w:val="003A4C36"/>
    <w:rsid w:val="003A5105"/>
    <w:rsid w:val="003A60EA"/>
    <w:rsid w:val="003A78AA"/>
    <w:rsid w:val="003C026A"/>
    <w:rsid w:val="003C364D"/>
    <w:rsid w:val="003C4D81"/>
    <w:rsid w:val="003C5CE8"/>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682"/>
    <w:rsid w:val="003F4F2F"/>
    <w:rsid w:val="003F7922"/>
    <w:rsid w:val="004015F9"/>
    <w:rsid w:val="00401E60"/>
    <w:rsid w:val="00406503"/>
    <w:rsid w:val="004104B0"/>
    <w:rsid w:val="00412E7C"/>
    <w:rsid w:val="00414456"/>
    <w:rsid w:val="00414AD6"/>
    <w:rsid w:val="00415166"/>
    <w:rsid w:val="004154A0"/>
    <w:rsid w:val="0042010A"/>
    <w:rsid w:val="004203F0"/>
    <w:rsid w:val="004244A5"/>
    <w:rsid w:val="0042466A"/>
    <w:rsid w:val="004253A3"/>
    <w:rsid w:val="00426BF3"/>
    <w:rsid w:val="00430877"/>
    <w:rsid w:val="00430F80"/>
    <w:rsid w:val="00431D32"/>
    <w:rsid w:val="00434FC3"/>
    <w:rsid w:val="00436804"/>
    <w:rsid w:val="0044008F"/>
    <w:rsid w:val="00442F56"/>
    <w:rsid w:val="00443C2B"/>
    <w:rsid w:val="00444368"/>
    <w:rsid w:val="00444E15"/>
    <w:rsid w:val="0044538A"/>
    <w:rsid w:val="004602A8"/>
    <w:rsid w:val="004603B1"/>
    <w:rsid w:val="004603CE"/>
    <w:rsid w:val="00462900"/>
    <w:rsid w:val="0046458C"/>
    <w:rsid w:val="00466F0B"/>
    <w:rsid w:val="0047340C"/>
    <w:rsid w:val="00476A61"/>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1F6B"/>
    <w:rsid w:val="00512DA2"/>
    <w:rsid w:val="00513720"/>
    <w:rsid w:val="00515F78"/>
    <w:rsid w:val="005244EC"/>
    <w:rsid w:val="0052738F"/>
    <w:rsid w:val="0053030B"/>
    <w:rsid w:val="0053103D"/>
    <w:rsid w:val="00531A2D"/>
    <w:rsid w:val="005328F8"/>
    <w:rsid w:val="00535FEB"/>
    <w:rsid w:val="0053639E"/>
    <w:rsid w:val="00536C5F"/>
    <w:rsid w:val="00536CB2"/>
    <w:rsid w:val="005376A8"/>
    <w:rsid w:val="00537F36"/>
    <w:rsid w:val="00542A16"/>
    <w:rsid w:val="00543428"/>
    <w:rsid w:val="00543FBE"/>
    <w:rsid w:val="0054528B"/>
    <w:rsid w:val="005477A8"/>
    <w:rsid w:val="00547B2E"/>
    <w:rsid w:val="00550127"/>
    <w:rsid w:val="00550332"/>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3CA4"/>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2B5B"/>
    <w:rsid w:val="00674BAF"/>
    <w:rsid w:val="00674DA8"/>
    <w:rsid w:val="006755AE"/>
    <w:rsid w:val="00677627"/>
    <w:rsid w:val="006800EE"/>
    <w:rsid w:val="00680D57"/>
    <w:rsid w:val="006814B1"/>
    <w:rsid w:val="006825CF"/>
    <w:rsid w:val="00682735"/>
    <w:rsid w:val="00683824"/>
    <w:rsid w:val="006839AB"/>
    <w:rsid w:val="006944A0"/>
    <w:rsid w:val="00696B9F"/>
    <w:rsid w:val="00696F81"/>
    <w:rsid w:val="006A13F5"/>
    <w:rsid w:val="006A17ED"/>
    <w:rsid w:val="006A330B"/>
    <w:rsid w:val="006A7A2F"/>
    <w:rsid w:val="006B00FB"/>
    <w:rsid w:val="006B12B5"/>
    <w:rsid w:val="006B2474"/>
    <w:rsid w:val="006B3425"/>
    <w:rsid w:val="006B512A"/>
    <w:rsid w:val="006B56D2"/>
    <w:rsid w:val="006C1261"/>
    <w:rsid w:val="006C144F"/>
    <w:rsid w:val="006C1CD8"/>
    <w:rsid w:val="006C3FA5"/>
    <w:rsid w:val="006C5422"/>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7FFC"/>
    <w:rsid w:val="006F517A"/>
    <w:rsid w:val="006F5D40"/>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52961"/>
    <w:rsid w:val="00752CA8"/>
    <w:rsid w:val="00755377"/>
    <w:rsid w:val="00756B3E"/>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362D"/>
    <w:rsid w:val="0079565C"/>
    <w:rsid w:val="00795BB1"/>
    <w:rsid w:val="00797721"/>
    <w:rsid w:val="007A106D"/>
    <w:rsid w:val="007A3A4B"/>
    <w:rsid w:val="007A4299"/>
    <w:rsid w:val="007A6913"/>
    <w:rsid w:val="007B0C48"/>
    <w:rsid w:val="007B1AAF"/>
    <w:rsid w:val="007B3BCD"/>
    <w:rsid w:val="007B430E"/>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A50F5"/>
    <w:rsid w:val="008B1318"/>
    <w:rsid w:val="008B2E5B"/>
    <w:rsid w:val="008B61D9"/>
    <w:rsid w:val="008C2164"/>
    <w:rsid w:val="008C24FC"/>
    <w:rsid w:val="008D18E8"/>
    <w:rsid w:val="008D56B8"/>
    <w:rsid w:val="008D5AC8"/>
    <w:rsid w:val="008D7E46"/>
    <w:rsid w:val="008E06D9"/>
    <w:rsid w:val="008E36B0"/>
    <w:rsid w:val="008E396A"/>
    <w:rsid w:val="008E3C64"/>
    <w:rsid w:val="008E4147"/>
    <w:rsid w:val="008E6F7A"/>
    <w:rsid w:val="008F01A2"/>
    <w:rsid w:val="008F1FCB"/>
    <w:rsid w:val="008F34EB"/>
    <w:rsid w:val="008F6207"/>
    <w:rsid w:val="008F6BC0"/>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3B9"/>
    <w:rsid w:val="00962F86"/>
    <w:rsid w:val="00963B69"/>
    <w:rsid w:val="009666DC"/>
    <w:rsid w:val="009673EC"/>
    <w:rsid w:val="00967930"/>
    <w:rsid w:val="00970074"/>
    <w:rsid w:val="00971042"/>
    <w:rsid w:val="0097361B"/>
    <w:rsid w:val="00974CC8"/>
    <w:rsid w:val="0098169A"/>
    <w:rsid w:val="00983373"/>
    <w:rsid w:val="009838FB"/>
    <w:rsid w:val="00985350"/>
    <w:rsid w:val="00987FD4"/>
    <w:rsid w:val="0099057D"/>
    <w:rsid w:val="00990817"/>
    <w:rsid w:val="0099196A"/>
    <w:rsid w:val="009932F8"/>
    <w:rsid w:val="00997829"/>
    <w:rsid w:val="009A191E"/>
    <w:rsid w:val="009A30CC"/>
    <w:rsid w:val="009A7D86"/>
    <w:rsid w:val="009B0C8E"/>
    <w:rsid w:val="009B3EA9"/>
    <w:rsid w:val="009B4378"/>
    <w:rsid w:val="009B4553"/>
    <w:rsid w:val="009B464D"/>
    <w:rsid w:val="009B4C1C"/>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0C5D"/>
    <w:rsid w:val="00A0124A"/>
    <w:rsid w:val="00A05012"/>
    <w:rsid w:val="00A076DB"/>
    <w:rsid w:val="00A07BDF"/>
    <w:rsid w:val="00A1220B"/>
    <w:rsid w:val="00A15C24"/>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450"/>
    <w:rsid w:val="00A76943"/>
    <w:rsid w:val="00A806A2"/>
    <w:rsid w:val="00A8122D"/>
    <w:rsid w:val="00A81552"/>
    <w:rsid w:val="00A853A1"/>
    <w:rsid w:val="00A858CF"/>
    <w:rsid w:val="00A8706E"/>
    <w:rsid w:val="00A9018D"/>
    <w:rsid w:val="00A906AE"/>
    <w:rsid w:val="00A90861"/>
    <w:rsid w:val="00A9368E"/>
    <w:rsid w:val="00AA3E81"/>
    <w:rsid w:val="00AA5A3A"/>
    <w:rsid w:val="00AA6506"/>
    <w:rsid w:val="00AA71A8"/>
    <w:rsid w:val="00AB02E6"/>
    <w:rsid w:val="00AB29D7"/>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13322"/>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2815"/>
    <w:rsid w:val="00B62891"/>
    <w:rsid w:val="00B62ADA"/>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0212"/>
    <w:rsid w:val="00BF22A0"/>
    <w:rsid w:val="00BF4794"/>
    <w:rsid w:val="00BF5E52"/>
    <w:rsid w:val="00BF5EB6"/>
    <w:rsid w:val="00C00CC3"/>
    <w:rsid w:val="00C0102E"/>
    <w:rsid w:val="00C03192"/>
    <w:rsid w:val="00C0358C"/>
    <w:rsid w:val="00C0384A"/>
    <w:rsid w:val="00C03AF3"/>
    <w:rsid w:val="00C03E2C"/>
    <w:rsid w:val="00C0425B"/>
    <w:rsid w:val="00C052CC"/>
    <w:rsid w:val="00C054D5"/>
    <w:rsid w:val="00C05E9F"/>
    <w:rsid w:val="00C07449"/>
    <w:rsid w:val="00C07644"/>
    <w:rsid w:val="00C07CE9"/>
    <w:rsid w:val="00C10040"/>
    <w:rsid w:val="00C12162"/>
    <w:rsid w:val="00C121DC"/>
    <w:rsid w:val="00C15E6E"/>
    <w:rsid w:val="00C16011"/>
    <w:rsid w:val="00C163D5"/>
    <w:rsid w:val="00C16761"/>
    <w:rsid w:val="00C2068F"/>
    <w:rsid w:val="00C21859"/>
    <w:rsid w:val="00C21981"/>
    <w:rsid w:val="00C25728"/>
    <w:rsid w:val="00C27291"/>
    <w:rsid w:val="00C27515"/>
    <w:rsid w:val="00C30F0D"/>
    <w:rsid w:val="00C31D7D"/>
    <w:rsid w:val="00C332C4"/>
    <w:rsid w:val="00C33ADE"/>
    <w:rsid w:val="00C34548"/>
    <w:rsid w:val="00C3471C"/>
    <w:rsid w:val="00C3522C"/>
    <w:rsid w:val="00C35DA1"/>
    <w:rsid w:val="00C36CEB"/>
    <w:rsid w:val="00C37948"/>
    <w:rsid w:val="00C37E1E"/>
    <w:rsid w:val="00C40069"/>
    <w:rsid w:val="00C405FE"/>
    <w:rsid w:val="00C40E04"/>
    <w:rsid w:val="00C40E8A"/>
    <w:rsid w:val="00C45A3A"/>
    <w:rsid w:val="00C462EB"/>
    <w:rsid w:val="00C5110C"/>
    <w:rsid w:val="00C51B99"/>
    <w:rsid w:val="00C54877"/>
    <w:rsid w:val="00C54D4A"/>
    <w:rsid w:val="00C61FD9"/>
    <w:rsid w:val="00C64F5F"/>
    <w:rsid w:val="00C6573A"/>
    <w:rsid w:val="00C678E7"/>
    <w:rsid w:val="00C7143B"/>
    <w:rsid w:val="00C7211C"/>
    <w:rsid w:val="00C72263"/>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5780"/>
    <w:rsid w:val="00CC0B44"/>
    <w:rsid w:val="00CC132F"/>
    <w:rsid w:val="00CC2D89"/>
    <w:rsid w:val="00CC3484"/>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10B3"/>
    <w:rsid w:val="00D072E0"/>
    <w:rsid w:val="00D07678"/>
    <w:rsid w:val="00D07C56"/>
    <w:rsid w:val="00D10F70"/>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571"/>
    <w:rsid w:val="00D34E55"/>
    <w:rsid w:val="00D41D6C"/>
    <w:rsid w:val="00D43224"/>
    <w:rsid w:val="00D44459"/>
    <w:rsid w:val="00D457F7"/>
    <w:rsid w:val="00D50AEB"/>
    <w:rsid w:val="00D532A3"/>
    <w:rsid w:val="00D554D6"/>
    <w:rsid w:val="00D55CAE"/>
    <w:rsid w:val="00D5660B"/>
    <w:rsid w:val="00D60166"/>
    <w:rsid w:val="00D62300"/>
    <w:rsid w:val="00D638D6"/>
    <w:rsid w:val="00D650FB"/>
    <w:rsid w:val="00D652A1"/>
    <w:rsid w:val="00D708CA"/>
    <w:rsid w:val="00D72B2B"/>
    <w:rsid w:val="00D7375C"/>
    <w:rsid w:val="00D749EF"/>
    <w:rsid w:val="00D766C6"/>
    <w:rsid w:val="00D82950"/>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2D"/>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302A"/>
    <w:rsid w:val="00E26AB2"/>
    <w:rsid w:val="00E3282E"/>
    <w:rsid w:val="00E33C56"/>
    <w:rsid w:val="00E34DFC"/>
    <w:rsid w:val="00E35E40"/>
    <w:rsid w:val="00E40ADF"/>
    <w:rsid w:val="00E419CE"/>
    <w:rsid w:val="00E4391C"/>
    <w:rsid w:val="00E4413A"/>
    <w:rsid w:val="00E44392"/>
    <w:rsid w:val="00E4490B"/>
    <w:rsid w:val="00E45115"/>
    <w:rsid w:val="00E45432"/>
    <w:rsid w:val="00E47191"/>
    <w:rsid w:val="00E503AE"/>
    <w:rsid w:val="00E5040A"/>
    <w:rsid w:val="00E51915"/>
    <w:rsid w:val="00E54257"/>
    <w:rsid w:val="00E5432D"/>
    <w:rsid w:val="00E54C53"/>
    <w:rsid w:val="00E55688"/>
    <w:rsid w:val="00E55715"/>
    <w:rsid w:val="00E55A3D"/>
    <w:rsid w:val="00E6136F"/>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D63AE"/>
    <w:rsid w:val="00EE43B1"/>
    <w:rsid w:val="00EE620C"/>
    <w:rsid w:val="00EF0E11"/>
    <w:rsid w:val="00F00026"/>
    <w:rsid w:val="00F01B03"/>
    <w:rsid w:val="00F03E8C"/>
    <w:rsid w:val="00F0699B"/>
    <w:rsid w:val="00F10339"/>
    <w:rsid w:val="00F12006"/>
    <w:rsid w:val="00F12360"/>
    <w:rsid w:val="00F15519"/>
    <w:rsid w:val="00F15627"/>
    <w:rsid w:val="00F21358"/>
    <w:rsid w:val="00F22DE1"/>
    <w:rsid w:val="00F24095"/>
    <w:rsid w:val="00F24660"/>
    <w:rsid w:val="00F258BA"/>
    <w:rsid w:val="00F26017"/>
    <w:rsid w:val="00F30D11"/>
    <w:rsid w:val="00F32D74"/>
    <w:rsid w:val="00F353B3"/>
    <w:rsid w:val="00F43412"/>
    <w:rsid w:val="00F44791"/>
    <w:rsid w:val="00F45151"/>
    <w:rsid w:val="00F471A0"/>
    <w:rsid w:val="00F52A14"/>
    <w:rsid w:val="00F532F8"/>
    <w:rsid w:val="00F55F8C"/>
    <w:rsid w:val="00F5708A"/>
    <w:rsid w:val="00F608CA"/>
    <w:rsid w:val="00F6202D"/>
    <w:rsid w:val="00F62C5F"/>
    <w:rsid w:val="00F6484A"/>
    <w:rsid w:val="00F66571"/>
    <w:rsid w:val="00F72284"/>
    <w:rsid w:val="00F72ADF"/>
    <w:rsid w:val="00F733DD"/>
    <w:rsid w:val="00F751A2"/>
    <w:rsid w:val="00F82BB3"/>
    <w:rsid w:val="00F831C8"/>
    <w:rsid w:val="00F84F57"/>
    <w:rsid w:val="00F85FDB"/>
    <w:rsid w:val="00F91BEF"/>
    <w:rsid w:val="00F931AB"/>
    <w:rsid w:val="00F94BF2"/>
    <w:rsid w:val="00F96B82"/>
    <w:rsid w:val="00F97FB6"/>
    <w:rsid w:val="00FA12CD"/>
    <w:rsid w:val="00FA54F1"/>
    <w:rsid w:val="00FB0504"/>
    <w:rsid w:val="00FB45FD"/>
    <w:rsid w:val="00FC0AB8"/>
    <w:rsid w:val="00FC4F9B"/>
    <w:rsid w:val="00FD4827"/>
    <w:rsid w:val="00FD658B"/>
    <w:rsid w:val="00FD78AF"/>
    <w:rsid w:val="00FE1B5A"/>
    <w:rsid w:val="00FE7FEF"/>
    <w:rsid w:val="00FF09F4"/>
    <w:rsid w:val="00FF0D0E"/>
    <w:rsid w:val="00FF2015"/>
    <w:rsid w:val="00FF4CA2"/>
    <w:rsid w:val="00FF5C27"/>
    <w:rsid w:val="00FF71EF"/>
    <w:rsid w:val="00FF7A64"/>
    <w:rsid w:val="00FF7E19"/>
    <w:rsid w:val="00FF7E4E"/>
    <w:rsid w:val="010001C2"/>
    <w:rsid w:val="010C3279"/>
    <w:rsid w:val="01953EAD"/>
    <w:rsid w:val="01B4554B"/>
    <w:rsid w:val="01FC0121"/>
    <w:rsid w:val="02BB7FAD"/>
    <w:rsid w:val="03922AFB"/>
    <w:rsid w:val="039D22EC"/>
    <w:rsid w:val="03A45746"/>
    <w:rsid w:val="050E1F14"/>
    <w:rsid w:val="05E6749B"/>
    <w:rsid w:val="06665A28"/>
    <w:rsid w:val="06F90BD5"/>
    <w:rsid w:val="09815B5E"/>
    <w:rsid w:val="0981638B"/>
    <w:rsid w:val="09A77172"/>
    <w:rsid w:val="09D53C12"/>
    <w:rsid w:val="09FC4D29"/>
    <w:rsid w:val="0A3C77D4"/>
    <w:rsid w:val="0A465EB4"/>
    <w:rsid w:val="0A781209"/>
    <w:rsid w:val="0A987607"/>
    <w:rsid w:val="0AAB1D76"/>
    <w:rsid w:val="0B321590"/>
    <w:rsid w:val="0BEA1B22"/>
    <w:rsid w:val="0CB2213F"/>
    <w:rsid w:val="0CE5485B"/>
    <w:rsid w:val="0E545895"/>
    <w:rsid w:val="0E570A4E"/>
    <w:rsid w:val="0E844764"/>
    <w:rsid w:val="0EE57F35"/>
    <w:rsid w:val="0F5E0C08"/>
    <w:rsid w:val="0FED6CEB"/>
    <w:rsid w:val="10000692"/>
    <w:rsid w:val="103A64AA"/>
    <w:rsid w:val="107B7A51"/>
    <w:rsid w:val="10A0291B"/>
    <w:rsid w:val="116B2B49"/>
    <w:rsid w:val="11D04644"/>
    <w:rsid w:val="121A2353"/>
    <w:rsid w:val="123E3F08"/>
    <w:rsid w:val="12B94BB2"/>
    <w:rsid w:val="13862DD5"/>
    <w:rsid w:val="13F65525"/>
    <w:rsid w:val="140A074E"/>
    <w:rsid w:val="149837EB"/>
    <w:rsid w:val="14F640E8"/>
    <w:rsid w:val="15741C09"/>
    <w:rsid w:val="15873509"/>
    <w:rsid w:val="15A621DC"/>
    <w:rsid w:val="15E645C3"/>
    <w:rsid w:val="160809C5"/>
    <w:rsid w:val="169A616C"/>
    <w:rsid w:val="16D34E20"/>
    <w:rsid w:val="17030245"/>
    <w:rsid w:val="17620028"/>
    <w:rsid w:val="178D1819"/>
    <w:rsid w:val="17B80CDF"/>
    <w:rsid w:val="19183DA5"/>
    <w:rsid w:val="19560CC9"/>
    <w:rsid w:val="1A5A37E2"/>
    <w:rsid w:val="1ABD4730"/>
    <w:rsid w:val="1AEA3979"/>
    <w:rsid w:val="1B705000"/>
    <w:rsid w:val="1BB121C4"/>
    <w:rsid w:val="1BE51C24"/>
    <w:rsid w:val="1C3D4E36"/>
    <w:rsid w:val="1CA048A8"/>
    <w:rsid w:val="1D2E42E6"/>
    <w:rsid w:val="1D3460F3"/>
    <w:rsid w:val="1D4C2536"/>
    <w:rsid w:val="1DC4092D"/>
    <w:rsid w:val="1DD24B15"/>
    <w:rsid w:val="1E570B65"/>
    <w:rsid w:val="1EF079C1"/>
    <w:rsid w:val="1F576995"/>
    <w:rsid w:val="1F5C0367"/>
    <w:rsid w:val="1FA346C9"/>
    <w:rsid w:val="1FCD0E5F"/>
    <w:rsid w:val="1FEA7743"/>
    <w:rsid w:val="20314E6E"/>
    <w:rsid w:val="213351E0"/>
    <w:rsid w:val="21CB30C2"/>
    <w:rsid w:val="222029A2"/>
    <w:rsid w:val="223D0F1F"/>
    <w:rsid w:val="225623FB"/>
    <w:rsid w:val="236171C9"/>
    <w:rsid w:val="2367070B"/>
    <w:rsid w:val="23C95987"/>
    <w:rsid w:val="244D3E3C"/>
    <w:rsid w:val="24641EFA"/>
    <w:rsid w:val="24B16B47"/>
    <w:rsid w:val="24E60EA1"/>
    <w:rsid w:val="24EC0CB8"/>
    <w:rsid w:val="250631B0"/>
    <w:rsid w:val="25947FC3"/>
    <w:rsid w:val="25DB0928"/>
    <w:rsid w:val="25F734F0"/>
    <w:rsid w:val="26887965"/>
    <w:rsid w:val="26D215EB"/>
    <w:rsid w:val="26E724A3"/>
    <w:rsid w:val="27AE1AFE"/>
    <w:rsid w:val="27AE2527"/>
    <w:rsid w:val="28315C08"/>
    <w:rsid w:val="28457F01"/>
    <w:rsid w:val="28613963"/>
    <w:rsid w:val="29057725"/>
    <w:rsid w:val="29127F7D"/>
    <w:rsid w:val="29452586"/>
    <w:rsid w:val="29BC215F"/>
    <w:rsid w:val="29C726B7"/>
    <w:rsid w:val="2A3B36CF"/>
    <w:rsid w:val="2AA23A95"/>
    <w:rsid w:val="2B9B5FA5"/>
    <w:rsid w:val="2C806636"/>
    <w:rsid w:val="2CD963B2"/>
    <w:rsid w:val="2D406EEA"/>
    <w:rsid w:val="2D8061F9"/>
    <w:rsid w:val="2DA47A7E"/>
    <w:rsid w:val="2DC97A17"/>
    <w:rsid w:val="2E1D31B5"/>
    <w:rsid w:val="2E2B537A"/>
    <w:rsid w:val="2E6A0359"/>
    <w:rsid w:val="2E745951"/>
    <w:rsid w:val="2EF441CB"/>
    <w:rsid w:val="3008575B"/>
    <w:rsid w:val="300E30FB"/>
    <w:rsid w:val="30525D6D"/>
    <w:rsid w:val="307A6139"/>
    <w:rsid w:val="310431AB"/>
    <w:rsid w:val="319975AD"/>
    <w:rsid w:val="31D27E99"/>
    <w:rsid w:val="321E1A75"/>
    <w:rsid w:val="339D55F3"/>
    <w:rsid w:val="33C9038F"/>
    <w:rsid w:val="33CB0901"/>
    <w:rsid w:val="33FF0529"/>
    <w:rsid w:val="340D2486"/>
    <w:rsid w:val="34D7722C"/>
    <w:rsid w:val="356D54A0"/>
    <w:rsid w:val="357649F3"/>
    <w:rsid w:val="359F1D83"/>
    <w:rsid w:val="36452017"/>
    <w:rsid w:val="36585A7A"/>
    <w:rsid w:val="36FD79CA"/>
    <w:rsid w:val="37253CD0"/>
    <w:rsid w:val="375F4A65"/>
    <w:rsid w:val="37A06683"/>
    <w:rsid w:val="38020E8A"/>
    <w:rsid w:val="38636E4D"/>
    <w:rsid w:val="38F91312"/>
    <w:rsid w:val="39063001"/>
    <w:rsid w:val="39243B23"/>
    <w:rsid w:val="39B927AE"/>
    <w:rsid w:val="3B0812A9"/>
    <w:rsid w:val="3B320202"/>
    <w:rsid w:val="3B693E02"/>
    <w:rsid w:val="3BC37FCF"/>
    <w:rsid w:val="3BC53471"/>
    <w:rsid w:val="3BC85D76"/>
    <w:rsid w:val="3C140102"/>
    <w:rsid w:val="3C162D59"/>
    <w:rsid w:val="3C1817B9"/>
    <w:rsid w:val="3C2C7EB8"/>
    <w:rsid w:val="3DBF5895"/>
    <w:rsid w:val="3DD756D8"/>
    <w:rsid w:val="3E2D2238"/>
    <w:rsid w:val="3EA415C2"/>
    <w:rsid w:val="3EE654C4"/>
    <w:rsid w:val="3F1105DB"/>
    <w:rsid w:val="3F311B07"/>
    <w:rsid w:val="3F611725"/>
    <w:rsid w:val="4049300E"/>
    <w:rsid w:val="40CD665F"/>
    <w:rsid w:val="40D532CC"/>
    <w:rsid w:val="40F91395"/>
    <w:rsid w:val="418C5406"/>
    <w:rsid w:val="41CC7482"/>
    <w:rsid w:val="422E137F"/>
    <w:rsid w:val="427C74BF"/>
    <w:rsid w:val="42A81A4F"/>
    <w:rsid w:val="42D620A5"/>
    <w:rsid w:val="42E86108"/>
    <w:rsid w:val="439D580B"/>
    <w:rsid w:val="43BC4656"/>
    <w:rsid w:val="43C05717"/>
    <w:rsid w:val="44D74C67"/>
    <w:rsid w:val="44E753A3"/>
    <w:rsid w:val="455858BC"/>
    <w:rsid w:val="45A26760"/>
    <w:rsid w:val="45F8713D"/>
    <w:rsid w:val="462E5DF2"/>
    <w:rsid w:val="4632415E"/>
    <w:rsid w:val="46D21B09"/>
    <w:rsid w:val="471D5EB0"/>
    <w:rsid w:val="47707A5F"/>
    <w:rsid w:val="477270E0"/>
    <w:rsid w:val="477D6ACA"/>
    <w:rsid w:val="4876655C"/>
    <w:rsid w:val="49FA7867"/>
    <w:rsid w:val="4AC9529B"/>
    <w:rsid w:val="4B0072A0"/>
    <w:rsid w:val="4B7A0627"/>
    <w:rsid w:val="4BAB1EE9"/>
    <w:rsid w:val="4C1F5BCA"/>
    <w:rsid w:val="4CB93D52"/>
    <w:rsid w:val="4D4B35D3"/>
    <w:rsid w:val="4DB871CB"/>
    <w:rsid w:val="4E9A61C1"/>
    <w:rsid w:val="4EA36A0D"/>
    <w:rsid w:val="4EA53396"/>
    <w:rsid w:val="4FAB617D"/>
    <w:rsid w:val="4FD777AC"/>
    <w:rsid w:val="50745875"/>
    <w:rsid w:val="511B225F"/>
    <w:rsid w:val="516737AA"/>
    <w:rsid w:val="518C077F"/>
    <w:rsid w:val="52132340"/>
    <w:rsid w:val="52265602"/>
    <w:rsid w:val="522876E3"/>
    <w:rsid w:val="527E4A6D"/>
    <w:rsid w:val="52A40083"/>
    <w:rsid w:val="53612B67"/>
    <w:rsid w:val="543736CF"/>
    <w:rsid w:val="559005CA"/>
    <w:rsid w:val="562A5BF8"/>
    <w:rsid w:val="56972B5D"/>
    <w:rsid w:val="56CD25BC"/>
    <w:rsid w:val="57CA2D78"/>
    <w:rsid w:val="57F607A8"/>
    <w:rsid w:val="583B775F"/>
    <w:rsid w:val="59661796"/>
    <w:rsid w:val="598967AB"/>
    <w:rsid w:val="5A2F5696"/>
    <w:rsid w:val="5AF96CF7"/>
    <w:rsid w:val="5B5E258C"/>
    <w:rsid w:val="5B621F5A"/>
    <w:rsid w:val="5B63018F"/>
    <w:rsid w:val="5B974CBC"/>
    <w:rsid w:val="5C1639D1"/>
    <w:rsid w:val="5D064F7B"/>
    <w:rsid w:val="5DCF7A63"/>
    <w:rsid w:val="5DE65390"/>
    <w:rsid w:val="5E40273F"/>
    <w:rsid w:val="5EBC0652"/>
    <w:rsid w:val="5F072262"/>
    <w:rsid w:val="5F543B6F"/>
    <w:rsid w:val="608553A4"/>
    <w:rsid w:val="614B4513"/>
    <w:rsid w:val="616B1199"/>
    <w:rsid w:val="617A1FE0"/>
    <w:rsid w:val="61B825BC"/>
    <w:rsid w:val="62370DE2"/>
    <w:rsid w:val="62952769"/>
    <w:rsid w:val="62A274F4"/>
    <w:rsid w:val="637C3066"/>
    <w:rsid w:val="63A04752"/>
    <w:rsid w:val="63CE7D55"/>
    <w:rsid w:val="643E5911"/>
    <w:rsid w:val="648D38DC"/>
    <w:rsid w:val="652C62F5"/>
    <w:rsid w:val="656400F1"/>
    <w:rsid w:val="657D7EDE"/>
    <w:rsid w:val="65F916F0"/>
    <w:rsid w:val="6644760A"/>
    <w:rsid w:val="664B2A1E"/>
    <w:rsid w:val="6685020B"/>
    <w:rsid w:val="66897F34"/>
    <w:rsid w:val="66967370"/>
    <w:rsid w:val="66D0036E"/>
    <w:rsid w:val="67C07B0C"/>
    <w:rsid w:val="67E013E3"/>
    <w:rsid w:val="681D59E2"/>
    <w:rsid w:val="684340FE"/>
    <w:rsid w:val="68535566"/>
    <w:rsid w:val="68644A46"/>
    <w:rsid w:val="689C3EFD"/>
    <w:rsid w:val="69FD60C3"/>
    <w:rsid w:val="6A4A6362"/>
    <w:rsid w:val="6A73409B"/>
    <w:rsid w:val="6A830BC5"/>
    <w:rsid w:val="6B8E5275"/>
    <w:rsid w:val="6C8E23CD"/>
    <w:rsid w:val="6D691F03"/>
    <w:rsid w:val="6D7D5F02"/>
    <w:rsid w:val="6D930621"/>
    <w:rsid w:val="6DAF5C80"/>
    <w:rsid w:val="6E4969E0"/>
    <w:rsid w:val="6EEE7A8A"/>
    <w:rsid w:val="6F340EDB"/>
    <w:rsid w:val="6F4B560C"/>
    <w:rsid w:val="6F7A17AF"/>
    <w:rsid w:val="6FD76303"/>
    <w:rsid w:val="6FEF2002"/>
    <w:rsid w:val="701C1E50"/>
    <w:rsid w:val="70256FA8"/>
    <w:rsid w:val="704E3BB2"/>
    <w:rsid w:val="70AC4AE3"/>
    <w:rsid w:val="70B0083A"/>
    <w:rsid w:val="70F066EF"/>
    <w:rsid w:val="70F3716D"/>
    <w:rsid w:val="71797DD7"/>
    <w:rsid w:val="71DC0864"/>
    <w:rsid w:val="720035BA"/>
    <w:rsid w:val="726B3A9E"/>
    <w:rsid w:val="72717DED"/>
    <w:rsid w:val="72792155"/>
    <w:rsid w:val="72856565"/>
    <w:rsid w:val="729B3299"/>
    <w:rsid w:val="72FD1D1E"/>
    <w:rsid w:val="7341797A"/>
    <w:rsid w:val="74D97FF8"/>
    <w:rsid w:val="755957DA"/>
    <w:rsid w:val="75C612F4"/>
    <w:rsid w:val="75CB06B8"/>
    <w:rsid w:val="767B5A4D"/>
    <w:rsid w:val="767D30F9"/>
    <w:rsid w:val="778C1BEF"/>
    <w:rsid w:val="77DB1F83"/>
    <w:rsid w:val="78211F0E"/>
    <w:rsid w:val="78755B75"/>
    <w:rsid w:val="7910239E"/>
    <w:rsid w:val="791F42C5"/>
    <w:rsid w:val="79C22D7B"/>
    <w:rsid w:val="7A1A500B"/>
    <w:rsid w:val="7A6937C1"/>
    <w:rsid w:val="7C436ADF"/>
    <w:rsid w:val="7C6040D9"/>
    <w:rsid w:val="7CE97977"/>
    <w:rsid w:val="7D18252C"/>
    <w:rsid w:val="7D2F6901"/>
    <w:rsid w:val="7D4051C2"/>
    <w:rsid w:val="7D580F57"/>
    <w:rsid w:val="7D772670"/>
    <w:rsid w:val="7D7F3045"/>
    <w:rsid w:val="7DA14CA4"/>
    <w:rsid w:val="7DDE6600"/>
    <w:rsid w:val="7EA1619C"/>
    <w:rsid w:val="7F084398"/>
    <w:rsid w:val="7FD13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9"/>
    <w:pPr>
      <w:spacing w:line="0" w:lineRule="atLeast"/>
      <w:jc w:val="center"/>
      <w:outlineLvl w:val="0"/>
    </w:pPr>
    <w:rPr>
      <w:rFonts w:ascii="方正小标宋_GBK" w:eastAsia="方正小标宋_GBK"/>
      <w:b/>
      <w:bCs/>
      <w:sz w:val="38"/>
      <w:szCs w:val="38"/>
    </w:rPr>
  </w:style>
  <w:style w:type="character" w:default="1" w:styleId="9">
    <w:name w:val="Default Paragraph Font"/>
    <w:autoRedefine/>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Salutation"/>
    <w:basedOn w:val="1"/>
    <w:next w:val="1"/>
    <w:autoRedefine/>
    <w:qFormat/>
    <w:uiPriority w:val="99"/>
  </w:style>
  <w:style w:type="paragraph" w:styleId="4">
    <w:name w:val="Balloon Text"/>
    <w:basedOn w:val="1"/>
    <w:link w:val="12"/>
    <w:autoRedefine/>
    <w:semiHidden/>
    <w:qFormat/>
    <w:uiPriority w:val="99"/>
    <w:rPr>
      <w:sz w:val="18"/>
      <w:szCs w:val="20"/>
    </w:rPr>
  </w:style>
  <w:style w:type="paragraph" w:styleId="5">
    <w:name w:val="footer"/>
    <w:basedOn w:val="1"/>
    <w:link w:val="11"/>
    <w:autoRedefine/>
    <w:qFormat/>
    <w:uiPriority w:val="99"/>
    <w:pPr>
      <w:tabs>
        <w:tab w:val="center" w:pos="4153"/>
        <w:tab w:val="right" w:pos="8306"/>
      </w:tabs>
      <w:snapToGrid w:val="0"/>
      <w:jc w:val="left"/>
    </w:pPr>
    <w:rPr>
      <w:sz w:val="18"/>
      <w:szCs w:val="20"/>
    </w:rPr>
  </w:style>
  <w:style w:type="paragraph" w:styleId="6">
    <w:name w:val="header"/>
    <w:basedOn w:val="1"/>
    <w:link w:val="10"/>
    <w:autoRedefine/>
    <w:qFormat/>
    <w:uiPriority w:val="99"/>
    <w:pPr>
      <w:pBdr>
        <w:bottom w:val="single" w:color="auto" w:sz="6" w:space="1"/>
      </w:pBdr>
      <w:tabs>
        <w:tab w:val="center" w:pos="4153"/>
        <w:tab w:val="right" w:pos="8306"/>
      </w:tabs>
      <w:snapToGrid w:val="0"/>
      <w:jc w:val="center"/>
    </w:pPr>
    <w:rPr>
      <w:sz w:val="18"/>
      <w:szCs w:val="20"/>
    </w:rPr>
  </w:style>
  <w:style w:type="table" w:styleId="8">
    <w:name w:val="Table Grid"/>
    <w:basedOn w:val="7"/>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link w:val="6"/>
    <w:autoRedefine/>
    <w:qFormat/>
    <w:locked/>
    <w:uiPriority w:val="99"/>
    <w:rPr>
      <w:rFonts w:cs="Times New Roman"/>
      <w:kern w:val="2"/>
      <w:sz w:val="18"/>
    </w:rPr>
  </w:style>
  <w:style w:type="character" w:customStyle="1" w:styleId="11">
    <w:name w:val="页脚 Char"/>
    <w:link w:val="5"/>
    <w:autoRedefine/>
    <w:qFormat/>
    <w:locked/>
    <w:uiPriority w:val="99"/>
    <w:rPr>
      <w:rFonts w:cs="Times New Roman"/>
      <w:kern w:val="2"/>
      <w:sz w:val="18"/>
    </w:rPr>
  </w:style>
  <w:style w:type="character" w:customStyle="1" w:styleId="12">
    <w:name w:val="批注框文本 Char"/>
    <w:link w:val="4"/>
    <w:autoRedefine/>
    <w:semiHidden/>
    <w:qFormat/>
    <w:locked/>
    <w:uiPriority w:val="99"/>
    <w:rPr>
      <w:rFonts w:cs="Times New Roman"/>
      <w:kern w:val="2"/>
      <w:sz w:val="18"/>
    </w:rPr>
  </w:style>
  <w:style w:type="paragraph" w:styleId="13">
    <w:name w:val="List Paragraph"/>
    <w:basedOn w:val="1"/>
    <w:autoRedefine/>
    <w:qFormat/>
    <w:uiPriority w:val="34"/>
    <w:pPr>
      <w:ind w:firstLine="420" w:firstLineChars="200"/>
    </w:p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6DE3E-7F93-46CA-B037-E1424A94923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3563</Words>
  <Characters>4586</Characters>
  <Lines>1</Lines>
  <Paragraphs>1</Paragraphs>
  <TotalTime>28</TotalTime>
  <ScaleCrop>false</ScaleCrop>
  <LinksUpToDate>false</LinksUpToDate>
  <CharactersWithSpaces>4752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一个人多</cp:lastModifiedBy>
  <cp:lastPrinted>2021-12-28T03:26:00Z</cp:lastPrinted>
  <dcterms:modified xsi:type="dcterms:W3CDTF">2024-06-26T08:46:40Z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42601AC7CC4442B8B6203D7200BA7D37_13</vt:lpwstr>
  </property>
</Properties>
</file>