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0" w:lineRule="atLeast"/>
        <w:ind w:firstLine="0" w:firstLineChars="0"/>
        <w:jc w:val="center"/>
        <w:rPr>
          <w:rFonts w:eastAsia="方正小标宋_GBK" w:cs="方正小标宋_GBK"/>
          <w:b/>
          <w:spacing w:val="-6"/>
          <w:sz w:val="38"/>
          <w:szCs w:val="38"/>
        </w:rPr>
      </w:pPr>
      <w:r>
        <w:rPr>
          <w:rFonts w:hint="eastAsia" w:eastAsia="方正小标宋_GBK" w:cs="方正小标宋_GBK"/>
          <w:b/>
          <w:spacing w:val="-6"/>
          <w:sz w:val="38"/>
          <w:szCs w:val="38"/>
        </w:rPr>
        <w:t>米易县2023年财政预算执行情况和</w:t>
      </w:r>
    </w:p>
    <w:p>
      <w:pPr>
        <w:adjustRightInd w:val="0"/>
        <w:spacing w:line="0" w:lineRule="atLeast"/>
        <w:ind w:firstLine="0" w:firstLineChars="0"/>
        <w:jc w:val="center"/>
        <w:rPr>
          <w:rFonts w:eastAsia="方正小标宋_GBK" w:cs="方正小标宋_GBK"/>
          <w:b/>
          <w:spacing w:val="-6"/>
          <w:sz w:val="38"/>
          <w:szCs w:val="38"/>
        </w:rPr>
      </w:pPr>
      <w:r>
        <w:rPr>
          <w:rFonts w:hint="eastAsia" w:eastAsia="方正小标宋_GBK" w:cs="方正小标宋_GBK"/>
          <w:b/>
          <w:spacing w:val="-6"/>
          <w:sz w:val="38"/>
          <w:szCs w:val="38"/>
        </w:rPr>
        <w:t>2024年财政预算草案的报告</w:t>
      </w:r>
    </w:p>
    <w:p>
      <w:pPr>
        <w:adjustRightInd w:val="0"/>
        <w:spacing w:line="0" w:lineRule="atLeast"/>
        <w:ind w:firstLine="17" w:firstLineChars="6"/>
        <w:rPr>
          <w:rFonts w:eastAsia="方正楷体_GBK" w:cs="方正楷体_GBK"/>
          <w:spacing w:val="-12"/>
          <w:sz w:val="33"/>
          <w:szCs w:val="33"/>
        </w:rPr>
      </w:pPr>
      <w:r>
        <w:rPr>
          <w:rFonts w:eastAsia="方正楷体_GBK"/>
          <w:spacing w:val="-17"/>
          <w:sz w:val="33"/>
          <w:szCs w:val="33"/>
        </w:rPr>
        <w:t>（2024年2月26日在米易县第十九届人民代表大会</w:t>
      </w:r>
      <w:r>
        <w:rPr>
          <w:rFonts w:hint="eastAsia" w:eastAsia="方正楷体_GBK"/>
          <w:spacing w:val="-17"/>
          <w:sz w:val="33"/>
          <w:szCs w:val="33"/>
        </w:rPr>
        <w:t>第</w:t>
      </w:r>
      <w:r>
        <w:rPr>
          <w:rFonts w:eastAsia="方正楷体_GBK"/>
          <w:spacing w:val="-17"/>
          <w:sz w:val="33"/>
          <w:szCs w:val="33"/>
        </w:rPr>
        <w:t>四次会议上）</w:t>
      </w:r>
    </w:p>
    <w:p>
      <w:pPr>
        <w:adjustRightInd w:val="0"/>
        <w:spacing w:line="0" w:lineRule="atLeast"/>
        <w:ind w:firstLine="0" w:firstLineChars="0"/>
        <w:jc w:val="center"/>
        <w:rPr>
          <w:rFonts w:ascii="方正楷体_GBK" w:hAnsi="方正楷体_GBK" w:eastAsia="方正楷体_GBK" w:cs="方正楷体_GBK"/>
          <w:bCs/>
          <w:spacing w:val="-4"/>
          <w:sz w:val="33"/>
          <w:szCs w:val="33"/>
        </w:rPr>
      </w:pPr>
      <w:r>
        <w:rPr>
          <w:rFonts w:hint="eastAsia" w:eastAsia="方正楷体_GBK" w:cs="方正楷体_GBK"/>
          <w:sz w:val="33"/>
          <w:szCs w:val="33"/>
        </w:rPr>
        <w:t>县财政局局长　王  康</w:t>
      </w:r>
    </w:p>
    <w:p>
      <w:pPr>
        <w:overflowPunct w:val="0"/>
        <w:spacing w:line="576" w:lineRule="exact"/>
        <w:ind w:firstLine="660"/>
        <w:jc w:val="center"/>
        <w:textAlignment w:val="center"/>
        <w:rPr>
          <w:rFonts w:eastAsia="方正仿宋_GBK" w:cs="方正仿宋_GBK"/>
          <w:sz w:val="33"/>
          <w:szCs w:val="33"/>
        </w:rPr>
      </w:pPr>
    </w:p>
    <w:p>
      <w:pPr>
        <w:overflowPunct w:val="0"/>
        <w:spacing w:line="600" w:lineRule="exact"/>
        <w:ind w:firstLine="0" w:firstLineChars="0"/>
        <w:jc w:val="both"/>
        <w:rPr>
          <w:rFonts w:eastAsia="方正仿宋_GBK" w:cs="方正仿宋_GBK"/>
          <w:sz w:val="33"/>
          <w:szCs w:val="33"/>
        </w:rPr>
      </w:pPr>
      <w:r>
        <w:rPr>
          <w:rFonts w:hint="eastAsia" w:eastAsia="方正仿宋_GBK" w:cs="方正仿宋_GBK"/>
          <w:sz w:val="33"/>
          <w:szCs w:val="33"/>
        </w:rPr>
        <w:t>各位代表：</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我受县人民政府委托，向大会报告米易县2023年财政预算执行情况和2024年财政预算草案，请予审查，并请各位政协委员和列席的同志提出意见。</w:t>
      </w:r>
    </w:p>
    <w:p>
      <w:pPr>
        <w:overflowPunct w:val="0"/>
        <w:spacing w:line="600" w:lineRule="exact"/>
        <w:ind w:firstLine="660"/>
        <w:jc w:val="both"/>
        <w:rPr>
          <w:rFonts w:eastAsia="方正黑体_GBK" w:cs="方正黑体_GBK"/>
          <w:sz w:val="33"/>
          <w:szCs w:val="33"/>
        </w:rPr>
      </w:pPr>
      <w:r>
        <w:rPr>
          <w:rFonts w:hint="eastAsia" w:eastAsia="方正黑体_GBK" w:cs="方正黑体_GBK"/>
          <w:sz w:val="33"/>
          <w:szCs w:val="33"/>
        </w:rPr>
        <w:t>一、2023年预算执行情况</w:t>
      </w:r>
    </w:p>
    <w:p>
      <w:pPr>
        <w:overflowPunct w:val="0"/>
        <w:spacing w:line="600" w:lineRule="exact"/>
        <w:ind w:firstLine="663"/>
        <w:jc w:val="both"/>
        <w:rPr>
          <w:rFonts w:eastAsia="方正楷体_GBK" w:cs="方正楷体_GBK"/>
          <w:b/>
          <w:bCs/>
          <w:sz w:val="33"/>
          <w:szCs w:val="33"/>
        </w:rPr>
      </w:pPr>
      <w:r>
        <w:rPr>
          <w:rFonts w:hint="eastAsia" w:eastAsia="方正楷体_GBK" w:cs="方正楷体_GBK"/>
          <w:b/>
          <w:sz w:val="33"/>
          <w:szCs w:val="33"/>
        </w:rPr>
        <w:t>（一）</w:t>
      </w:r>
      <w:r>
        <w:rPr>
          <w:rFonts w:hint="eastAsia" w:eastAsia="方正楷体_GBK" w:cs="方正楷体_GBK"/>
          <w:b/>
          <w:bCs/>
          <w:sz w:val="33"/>
          <w:szCs w:val="33"/>
        </w:rPr>
        <w:t>一般公共预算</w:t>
      </w:r>
    </w:p>
    <w:p>
      <w:pPr>
        <w:overflowPunct w:val="0"/>
        <w:spacing w:line="600" w:lineRule="exact"/>
        <w:ind w:firstLine="663"/>
        <w:jc w:val="both"/>
        <w:rPr>
          <w:rFonts w:eastAsia="方正仿宋_GBK" w:cs="方正仿宋_GBK"/>
          <w:sz w:val="33"/>
          <w:szCs w:val="33"/>
        </w:rPr>
      </w:pPr>
      <w:r>
        <w:rPr>
          <w:rFonts w:hint="eastAsia" w:eastAsia="方正仿宋_GBK" w:cs="方正仿宋_GBK"/>
          <w:b/>
          <w:bCs/>
          <w:sz w:val="33"/>
          <w:szCs w:val="33"/>
        </w:rPr>
        <w:t>一般公共预算收支平衡情况。</w:t>
      </w:r>
      <w:r>
        <w:rPr>
          <w:rFonts w:hint="eastAsia" w:eastAsia="方正仿宋_GBK" w:cs="方正仿宋_GBK"/>
          <w:sz w:val="33"/>
          <w:szCs w:val="33"/>
        </w:rPr>
        <w:t>2023年，县级一般公共预算收入165,934万元，上级补助收入91,577万元，一般债务转贷收入22,691万元，调入资金550万元，上年结转57,858万元，动用预算稳定调节基金1,374万元，收入合计339,984万元；一般公共预算支出267,173万元，上解支出8,267万元，一般债务还本支出19,591万元，结转下年44,769万元，安排预算稳定调节基金184万元，支出合计339,984万元。</w:t>
      </w:r>
    </w:p>
    <w:p>
      <w:pPr>
        <w:overflowPunct w:val="0"/>
        <w:spacing w:line="600" w:lineRule="exact"/>
        <w:ind w:firstLine="663"/>
        <w:jc w:val="both"/>
        <w:rPr>
          <w:rFonts w:eastAsia="方正楷体_GBK" w:cs="方正楷体_GBK"/>
          <w:b/>
          <w:bCs/>
          <w:sz w:val="33"/>
          <w:szCs w:val="33"/>
        </w:rPr>
      </w:pPr>
      <w:r>
        <w:rPr>
          <w:rFonts w:hint="eastAsia" w:eastAsia="方正楷体_GBK" w:cs="方正楷体_GBK"/>
          <w:b/>
          <w:sz w:val="33"/>
          <w:szCs w:val="33"/>
        </w:rPr>
        <w:t>（二）</w:t>
      </w:r>
      <w:r>
        <w:rPr>
          <w:rFonts w:hint="eastAsia" w:eastAsia="方正楷体_GBK" w:cs="方正楷体_GBK"/>
          <w:b/>
          <w:bCs/>
          <w:sz w:val="33"/>
          <w:szCs w:val="33"/>
        </w:rPr>
        <w:t>政府性基金预算</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2023年，县级政府性基金预算收入13,081万元，上级补助收入2,977万元，专项债务转贷收入61,700万元，上年结转6,948万元，收入合计84,706万元；政府性基金预算支出59,828万元，专项债务还本支出1,800万元，结转下年23,078万元，支出合计84,706万元。</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（三）国有资本经营预算</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2023年，县级国有资本经营预算收入550万元，上级补助收入25万元，上年结转58万元，收入合计633万元；调出资金550万元，结转下年83万元，支出合计633万元。</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（四）社会保险基金预算</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按上级政策规定，从2018年起，全县社会保险基金上划市级统管，县级不再编制社会保险基金预算。</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（五）地方政府债务情况</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2022年底全县地方政府法定债务余额282,308万元，2023年新增地方政府债券和因外债汇率变动增加政府债务合计84,407万元，偿还政府债务21,653万元，截止2023年12月底，全县地方政府法定债务余额为345,062万元，控制在政府债务限额</w:t>
      </w:r>
      <w:r>
        <w:rPr>
          <w:rFonts w:hint="eastAsia" w:eastAsia="方正仿宋_GBK" w:cs="方正仿宋_GBK"/>
          <w:kern w:val="2"/>
          <w:sz w:val="33"/>
          <w:szCs w:val="33"/>
        </w:rPr>
        <w:t>355,974</w:t>
      </w:r>
      <w:r>
        <w:rPr>
          <w:rFonts w:hint="eastAsia" w:eastAsia="方正仿宋_GBK" w:cs="方正仿宋_GBK"/>
          <w:sz w:val="33"/>
          <w:szCs w:val="33"/>
        </w:rPr>
        <w:t>万元以内。</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（六）全县一般公共预算重点支出执行情况</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兜牢兜实“三保”支出底线，调整优化支出结构，从严控制一般性支出，集中财力保障重点刚性支出。2023年，安排教育支出42,258万元，社会保障和就业支出40,053万元，卫生健康支出25,670万元，公共安全支出11,797万元，农林水支出50,828万元，城乡社区23,443万元，交通运输支出2,796万元，住房保障支出8,407万元。</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以上预算执行情况提请本次会议审查批准。需要说明的是，以上执行情况为全年预算执行预计数，在完成决算审查汇总并与上级财政办理结算后将会有所变化，届时再向县人大常委会报告。</w:t>
      </w:r>
    </w:p>
    <w:p>
      <w:pPr>
        <w:overflowPunct w:val="0"/>
        <w:spacing w:line="600" w:lineRule="exact"/>
        <w:ind w:firstLine="660"/>
        <w:jc w:val="both"/>
        <w:rPr>
          <w:rFonts w:eastAsia="方正黑体_GBK" w:cs="方正黑体_GBK"/>
          <w:sz w:val="33"/>
          <w:szCs w:val="33"/>
        </w:rPr>
      </w:pPr>
      <w:r>
        <w:rPr>
          <w:rFonts w:hint="eastAsia" w:eastAsia="方正黑体_GBK" w:cs="方正黑体_GBK"/>
          <w:sz w:val="33"/>
          <w:szCs w:val="33"/>
        </w:rPr>
        <w:t>二、落实县人大预算决议和财政主要工作情况</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（一）政策发力稳基础，多措并举壮财力</w:t>
      </w:r>
    </w:p>
    <w:p>
      <w:pPr>
        <w:overflowPunct w:val="0"/>
        <w:spacing w:line="600" w:lineRule="exact"/>
        <w:ind w:firstLine="663"/>
        <w:jc w:val="both"/>
        <w:rPr>
          <w:rFonts w:eastAsia="方正仿宋_GBK" w:cs="方正仿宋_GBK"/>
          <w:b/>
          <w:sz w:val="33"/>
          <w:szCs w:val="33"/>
        </w:rPr>
      </w:pPr>
      <w:r>
        <w:rPr>
          <w:rFonts w:hint="eastAsia" w:eastAsia="方正仿宋_GBK" w:cs="方正仿宋_GBK"/>
          <w:b/>
          <w:sz w:val="33"/>
          <w:szCs w:val="33"/>
        </w:rPr>
        <w:t>培财源稳主体，筑牢收入基石。</w:t>
      </w:r>
      <w:r>
        <w:rPr>
          <w:rFonts w:hint="eastAsia" w:eastAsia="方正仿宋_GBK" w:cs="方正仿宋_GBK"/>
          <w:sz w:val="33"/>
          <w:szCs w:val="33"/>
        </w:rPr>
        <w:t>全力推动延续优化完善税费优惠政策在米易落地生根，降低经营主体经济负担，让政策红利更好惠及市场主体</w:t>
      </w:r>
      <w:r>
        <w:rPr>
          <w:rFonts w:hint="eastAsia" w:eastAsia="方正仿宋_GBK" w:cs="方正仿宋_GBK"/>
          <w:sz w:val="33"/>
          <w:szCs w:val="33"/>
          <w:lang w:eastAsia="zh-CN"/>
        </w:rPr>
        <w:t>。</w:t>
      </w:r>
      <w:r>
        <w:rPr>
          <w:rFonts w:hint="eastAsia" w:eastAsia="方正仿宋_GBK" w:cs="方正仿宋_GBK"/>
          <w:bCs/>
          <w:sz w:val="33"/>
          <w:szCs w:val="33"/>
        </w:rPr>
        <w:t>常态化开展融资对接</w:t>
      </w:r>
      <w:r>
        <w:rPr>
          <w:rFonts w:hint="eastAsia" w:eastAsia="方正仿宋_GBK" w:cs="方正仿宋_GBK"/>
          <w:sz w:val="33"/>
          <w:szCs w:val="33"/>
        </w:rPr>
        <w:t>活动，推动银企“一对一”精准对接，引导县域金融机构加大对企业支持力度，2023年，各银行机构对企业成功授信47.2亿元，累计发放贷款32.48亿元，切实帮助企业纾困解难，促进企业健康发展。积极对接落实中央省市拼经济、搞建设、促发展系列政策措施，设立工业发展、服务业发展、重大项目前期等专项经费，</w:t>
      </w:r>
      <w:r>
        <w:rPr>
          <w:rFonts w:hint="eastAsia" w:eastAsia="方正仿宋_GBK" w:cs="方正仿宋_GBK"/>
          <w:bCs/>
          <w:sz w:val="33"/>
          <w:szCs w:val="33"/>
        </w:rPr>
        <w:t>下达技改扩能、稳岗就业、金融扶持等补贴补助资金6,251万元，</w:t>
      </w:r>
      <w:r>
        <w:rPr>
          <w:rFonts w:hint="eastAsia" w:eastAsia="方正仿宋_GBK" w:cs="方正仿宋_GBK"/>
          <w:bCs/>
          <w:sz w:val="33"/>
          <w:szCs w:val="33"/>
          <w:shd w:val="clear" w:color="auto" w:fill="FFFFFF"/>
        </w:rPr>
        <w:t>支持企业转型升级，切实</w:t>
      </w:r>
      <w:r>
        <w:rPr>
          <w:rFonts w:hint="eastAsia" w:eastAsia="方正仿宋_GBK" w:cs="方正仿宋_GBK"/>
          <w:sz w:val="33"/>
          <w:szCs w:val="33"/>
        </w:rPr>
        <w:t xml:space="preserve">增强企业发展后劲，夯实财源基础。 </w:t>
      </w:r>
    </w:p>
    <w:p>
      <w:pPr>
        <w:overflowPunct w:val="0"/>
        <w:spacing w:line="600" w:lineRule="exact"/>
        <w:ind w:firstLine="663"/>
        <w:rPr>
          <w:rFonts w:eastAsia="方正仿宋_GBK" w:cs="方正仿宋_GBK"/>
          <w:sz w:val="33"/>
          <w:szCs w:val="33"/>
        </w:rPr>
      </w:pPr>
      <w:r>
        <w:rPr>
          <w:rFonts w:hint="eastAsia" w:eastAsia="方正仿宋_GBK" w:cs="方正仿宋_GBK"/>
          <w:b/>
          <w:sz w:val="33"/>
          <w:szCs w:val="33"/>
        </w:rPr>
        <w:t>优服务抓征管，细化收入管理。</w:t>
      </w:r>
      <w:r>
        <w:rPr>
          <w:rFonts w:hint="eastAsia" w:eastAsia="方正仿宋_GBK" w:cs="方正仿宋_GBK"/>
          <w:sz w:val="33"/>
          <w:szCs w:val="33"/>
        </w:rPr>
        <w:t>加强依法治税观念，</w:t>
      </w:r>
      <w:r>
        <w:rPr>
          <w:rFonts w:hint="eastAsia" w:eastAsia="方正仿宋_GBK" w:cs="方正仿宋_GBK"/>
          <w:sz w:val="33"/>
          <w:szCs w:val="33"/>
          <w:shd w:val="clear" w:color="auto" w:fill="FFFFFF"/>
        </w:rPr>
        <w:t>扎实开展税收综合服务工作，</w:t>
      </w:r>
      <w:r>
        <w:rPr>
          <w:rFonts w:hint="eastAsia" w:eastAsia="方正仿宋_GBK" w:cs="方正仿宋_GBK"/>
          <w:sz w:val="33"/>
          <w:szCs w:val="33"/>
        </w:rPr>
        <w:t>做好收入形势分析研判，不断完善县级城市基础设施配套费等非税收入征管办法，</w:t>
      </w:r>
      <w:r>
        <w:rPr>
          <w:rFonts w:hint="eastAsia" w:eastAsia="方正仿宋_GBK" w:cs="方正仿宋_GBK"/>
          <w:sz w:val="33"/>
          <w:szCs w:val="33"/>
          <w:shd w:val="clear" w:color="auto" w:fill="FFFFFF"/>
        </w:rPr>
        <w:t>深入挖掘潜在财源，全力争取二滩水电站财税收益，推动城区公共停车位、充电桩等资产资源变现，做到依法征收、应收尽收。</w:t>
      </w:r>
      <w:r>
        <w:rPr>
          <w:rFonts w:hint="eastAsia" w:eastAsia="方正仿宋_GBK" w:cs="方正仿宋_GBK"/>
          <w:sz w:val="33"/>
          <w:szCs w:val="33"/>
        </w:rPr>
        <w:t>2023年，县级一般公共预算收入完成165,934万元，首次突破16亿元大关，为历年之最。其中税收收入完成120,205万元，占一般公共预算收入的比重达72.44%。</w:t>
      </w:r>
    </w:p>
    <w:p>
      <w:pPr>
        <w:overflowPunct w:val="0"/>
        <w:spacing w:line="600" w:lineRule="exact"/>
        <w:ind w:firstLine="663"/>
        <w:rPr>
          <w:rFonts w:eastAsia="方正仿宋_GBK" w:cs="方正仿宋_GBK"/>
          <w:sz w:val="33"/>
          <w:szCs w:val="33"/>
        </w:rPr>
      </w:pPr>
      <w:r>
        <w:rPr>
          <w:rFonts w:hint="eastAsia" w:eastAsia="方正仿宋_GBK" w:cs="方正仿宋_GBK"/>
          <w:b/>
          <w:sz w:val="33"/>
          <w:szCs w:val="33"/>
        </w:rPr>
        <w:t>强争取盘存量，拓宽收入来源。</w:t>
      </w:r>
      <w:r>
        <w:rPr>
          <w:rFonts w:hint="eastAsia" w:eastAsia="方正仿宋_GBK" w:cs="方正仿宋_GBK"/>
          <w:sz w:val="33"/>
          <w:szCs w:val="33"/>
          <w:shd w:val="clear" w:color="auto" w:fill="FFFFFF"/>
        </w:rPr>
        <w:t>深入研究上级重大投资政策，针对性地做好项目的包装储备及项目前期准备工作；制定共同富裕试验区项目资金争取工作清单、考核激励等机制，强化协作配合，把握争资的关键时间节点跑省进厅，全力争取上级支持。2023年，全县累计争取到位</w:t>
      </w:r>
      <w:r>
        <w:rPr>
          <w:rFonts w:hint="eastAsia" w:eastAsia="方正仿宋_GBK" w:cs="方正仿宋_GBK"/>
          <w:sz w:val="33"/>
          <w:szCs w:val="33"/>
        </w:rPr>
        <w:t xml:space="preserve">上级补助资金18.36亿元。严格落实“三项资金”定期清理制度，激活趴在单位账上的存量资金，统筹用于县级民生、债务还本付息等领域，切实提升财政资金使用效益。 </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（二）优化支出保重点，多路并进促共富</w:t>
      </w:r>
    </w:p>
    <w:p>
      <w:pPr>
        <w:overflowPunct w:val="0"/>
        <w:spacing w:line="600" w:lineRule="exact"/>
        <w:ind w:firstLine="663"/>
        <w:jc w:val="both"/>
        <w:rPr>
          <w:rFonts w:eastAsia="方正仿宋_GBK" w:cs="方正仿宋_GBK"/>
          <w:sz w:val="33"/>
          <w:szCs w:val="33"/>
        </w:rPr>
      </w:pPr>
      <w:r>
        <w:rPr>
          <w:rFonts w:hint="eastAsia" w:eastAsia="方正仿宋_GBK" w:cs="方正仿宋_GBK"/>
          <w:b/>
          <w:sz w:val="33"/>
          <w:szCs w:val="33"/>
        </w:rPr>
        <w:t>践行民生保障使命，确保公共服务均衡可及。</w:t>
      </w:r>
      <w:r>
        <w:rPr>
          <w:rFonts w:hint="eastAsia" w:eastAsia="方正仿宋_GBK" w:cs="方正仿宋_GBK"/>
          <w:sz w:val="33"/>
          <w:szCs w:val="33"/>
        </w:rPr>
        <w:t>认真践行以人民为中心的发展思想，持续保障民生资金投入，切实办好民生实事，全年民生支出占比稳定在65%以上。安排社会保障和就业支出40,053万元，支持社会救助救济、养老服务业发展、未成年人保护等政策项目实施，推进公共区域适儿化、适老化改造，兜牢社会保障民生底线。安排卫生健康支出25,670万元，兑现疫情期间医护人员临时补贴，实施国家基本药物制度、公立医院取消药品加成补偿等政策，促进基本公共卫生服务均等化，全面提升医疗健康保障能力。安排教育支出42,258万元，用于兑现各类奖补扶助政策，保障提高教师工资福利待遇，推动柳溪河幼儿园等重点项目建设，不断优化办学环境，推动教育事业优质均衡发展。</w:t>
      </w:r>
    </w:p>
    <w:p>
      <w:pPr>
        <w:pStyle w:val="5"/>
        <w:overflowPunct w:val="0"/>
        <w:spacing w:line="600" w:lineRule="exact"/>
        <w:ind w:firstLine="671"/>
        <w:jc w:val="both"/>
        <w:rPr>
          <w:rFonts w:eastAsia="方正仿宋_GBK" w:cs="方正仿宋_GBK"/>
          <w:snapToGrid w:val="0"/>
          <w:spacing w:val="2"/>
          <w:sz w:val="33"/>
          <w:szCs w:val="33"/>
        </w:rPr>
      </w:pPr>
      <w:r>
        <w:rPr>
          <w:rFonts w:hint="eastAsia" w:eastAsia="方正仿宋_GBK" w:cs="方正仿宋_GBK"/>
          <w:b/>
          <w:spacing w:val="2"/>
          <w:sz w:val="33"/>
          <w:szCs w:val="33"/>
        </w:rPr>
        <w:t>推动工业转型升级，增强共同富裕产业活力。</w:t>
      </w:r>
      <w:r>
        <w:rPr>
          <w:rFonts w:hint="eastAsia" w:eastAsia="方正仿宋_GBK" w:cs="方正仿宋_GBK"/>
          <w:snapToGrid w:val="0"/>
          <w:spacing w:val="2"/>
          <w:sz w:val="33"/>
          <w:szCs w:val="33"/>
        </w:rPr>
        <w:t>大力实施“工业强县”战略，投入资金24,422万元，及时保障</w:t>
      </w:r>
      <w:r>
        <w:rPr>
          <w:rFonts w:hint="eastAsia" w:eastAsia="方正仿宋_GBK" w:cs="方正仿宋_GBK"/>
          <w:spacing w:val="2"/>
          <w:sz w:val="33"/>
          <w:szCs w:val="33"/>
          <w:shd w:val="clear" w:color="auto" w:fill="FFFFFF"/>
        </w:rPr>
        <w:t>白马铁矿三期、20万吨电池级磷酸铁及磷酸铁锂重点项目征地拆迁等资金需求。聚焦创新驱动，及时兑付技术改造、产业扶持、转企升规等各项资金3,796万元</w:t>
      </w:r>
      <w:r>
        <w:rPr>
          <w:rFonts w:hint="eastAsia" w:eastAsia="方正仿宋_GBK" w:cs="方正仿宋_GBK"/>
          <w:snapToGrid w:val="0"/>
          <w:spacing w:val="2"/>
          <w:sz w:val="33"/>
          <w:szCs w:val="33"/>
        </w:rPr>
        <w:t>，全年新增7户企业升规入统。争取到位专项债券资金9,000万元和政策性金融工具6,700万元，全力支持一枝山固体废弃物左支沟贮存场、园区道路、供排水系统等园区基础设施建设，不断增强园区要素保障和项目承载能力。</w:t>
      </w:r>
    </w:p>
    <w:p>
      <w:pPr>
        <w:pStyle w:val="2"/>
        <w:overflowPunct w:val="0"/>
        <w:spacing w:line="600" w:lineRule="exact"/>
        <w:ind w:firstLine="663"/>
        <w:rPr>
          <w:rFonts w:eastAsia="方正仿宋_GBK" w:cs="方正仿宋_GBK"/>
          <w:sz w:val="33"/>
          <w:szCs w:val="33"/>
        </w:rPr>
      </w:pPr>
      <w:r>
        <w:rPr>
          <w:rFonts w:hint="eastAsia" w:eastAsia="方正仿宋_GBK" w:cs="方正仿宋_GBK"/>
          <w:b/>
          <w:sz w:val="33"/>
          <w:szCs w:val="33"/>
        </w:rPr>
        <w:t>推进乡村全面振兴，促进农民农村共同富裕。</w:t>
      </w:r>
      <w:r>
        <w:rPr>
          <w:rFonts w:hint="eastAsia" w:eastAsia="方正仿宋_GBK" w:cs="方正仿宋_GBK"/>
          <w:bCs/>
          <w:sz w:val="33"/>
          <w:szCs w:val="33"/>
        </w:rPr>
        <w:t>全面推进农业现代化建设，</w:t>
      </w:r>
      <w:r>
        <w:rPr>
          <w:rFonts w:hint="eastAsia" w:eastAsia="方正仿宋_GBK" w:cs="方正仿宋_GBK"/>
          <w:sz w:val="33"/>
          <w:szCs w:val="33"/>
        </w:rPr>
        <w:t>投入资金50,828万元，支持推进特色产业融合示范园区、高标准农田、前进渠中型灌区节水改造、土地整理等项目建设，持续改善农业基础设施建设。聚焦高质量打造安宁河流域“天府第二粮仓”，抓牢抓实粮食生产，及时兑付耕地地力补贴、种粮补贴、农业保险保费等各项资金，全年“三大主粮作物”农业保险投保覆盖率达70%以上。大力扶持发展壮大农村集体经济，发挥乡村振兴农业产业发展贷款风险补偿金作用，撬动银行累计发放贷款16,225万元，撬动比例为1:12，有效促进新型经营主体产业持续壮大发展。</w:t>
      </w:r>
    </w:p>
    <w:p>
      <w:pPr>
        <w:overflowPunct w:val="0"/>
        <w:spacing w:line="600" w:lineRule="exact"/>
        <w:ind w:firstLine="663"/>
        <w:jc w:val="both"/>
        <w:rPr>
          <w:rFonts w:eastAsia="方正仿宋_GBK" w:cs="方正仿宋_GBK"/>
          <w:bCs/>
          <w:sz w:val="33"/>
          <w:szCs w:val="33"/>
        </w:rPr>
      </w:pPr>
      <w:r>
        <w:rPr>
          <w:rFonts w:hint="eastAsia" w:eastAsia="方正仿宋_GBK" w:cs="方正仿宋_GBK"/>
          <w:b/>
          <w:sz w:val="33"/>
          <w:szCs w:val="33"/>
        </w:rPr>
        <w:t>推进新型城镇化建设，建好共同富裕幸福家园。</w:t>
      </w:r>
      <w:r>
        <w:rPr>
          <w:rFonts w:hint="eastAsia" w:eastAsia="方正仿宋_GBK" w:cs="方正仿宋_GBK"/>
          <w:bCs/>
          <w:sz w:val="33"/>
          <w:szCs w:val="33"/>
        </w:rPr>
        <w:t xml:space="preserve">坚持以全省县城新型城镇化建设试点为契机，不断改善城乡居民生产生活条件，打造高品质宜居城市。投入资金6,330万元，保障一体化执法办案中心、公安指挥中心升级、全响应中心提档升级等建设资金需求，高标准建设综合应急救援队伍，全面提升应急防控能力。投入资金22,185万元，支持S465道路改建、老旧小区改造、城乡污水治理、燃气管道改造等工程建设，不断完善城乡路网、水电、燃气等基础设施。投入资金9,613万元，用于支持城市美化绿化、城市数字化管理等领域，推动城市功能完善与品质提升。 </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 xml:space="preserve">（三）绩效并进促改革，多点着力强管理 </w:t>
      </w:r>
    </w:p>
    <w:p>
      <w:pPr>
        <w:pStyle w:val="2"/>
        <w:overflowPunct w:val="0"/>
        <w:spacing w:line="600" w:lineRule="exact"/>
        <w:ind w:firstLine="663"/>
        <w:rPr>
          <w:rFonts w:eastAsia="方正仿宋_GBK" w:cs="方正仿宋_GBK"/>
          <w:sz w:val="33"/>
          <w:szCs w:val="33"/>
        </w:rPr>
      </w:pPr>
      <w:r>
        <w:rPr>
          <w:rFonts w:hint="eastAsia" w:eastAsia="方正仿宋_GBK" w:cs="方正仿宋_GBK"/>
          <w:b/>
          <w:sz w:val="33"/>
          <w:szCs w:val="33"/>
        </w:rPr>
        <w:t>推改革重绩效，促进资金增效。一是</w:t>
      </w:r>
      <w:r>
        <w:rPr>
          <w:rFonts w:hint="eastAsia" w:eastAsia="方正仿宋_GBK" w:cs="方正仿宋_GBK"/>
          <w:b/>
          <w:bCs/>
          <w:sz w:val="33"/>
          <w:szCs w:val="33"/>
        </w:rPr>
        <w:t>深化预算管理改革</w:t>
      </w:r>
      <w:r>
        <w:rPr>
          <w:rFonts w:hint="eastAsia" w:eastAsia="方正仿宋_GBK" w:cs="方正仿宋_GBK"/>
          <w:sz w:val="33"/>
          <w:szCs w:val="33"/>
        </w:rPr>
        <w:t>。深入推进财政预算管理一体化建设，推行零基预算管理改革，加强财政资金统筹，稳步推进部门综合预算管理。</w:t>
      </w:r>
      <w:r>
        <w:rPr>
          <w:rFonts w:hint="eastAsia" w:eastAsia="方正仿宋_GBK" w:cs="方正仿宋_GBK"/>
          <w:b/>
          <w:sz w:val="33"/>
          <w:szCs w:val="33"/>
        </w:rPr>
        <w:t>二是推进非税收入电子化改革。</w:t>
      </w:r>
      <w:r>
        <w:rPr>
          <w:rFonts w:hint="eastAsia" w:eastAsia="方正仿宋_GBK" w:cs="方正仿宋_GBK"/>
          <w:sz w:val="33"/>
          <w:szCs w:val="33"/>
        </w:rPr>
        <w:t>贯彻落实“放管服”改革部署和加快推进“互联网+政务服务”，全力推进非税收入收缴电子化管理和财政电子票据改革，实现与执收单位、收款银行数据实时互连互通，全面提升非税收入征管和财政票据服务能力。</w:t>
      </w:r>
      <w:r>
        <w:rPr>
          <w:rFonts w:hint="eastAsia" w:eastAsia="方正仿宋_GBK" w:cs="方正仿宋_GBK"/>
          <w:b/>
          <w:sz w:val="33"/>
          <w:szCs w:val="33"/>
        </w:rPr>
        <w:t>三是全面推进预算绩效管理。</w:t>
      </w:r>
      <w:r>
        <w:rPr>
          <w:rFonts w:hint="eastAsia" w:eastAsia="方正仿宋_GBK" w:cs="方正仿宋_GBK"/>
          <w:sz w:val="33"/>
          <w:szCs w:val="33"/>
        </w:rPr>
        <w:t>持续开展乡镇（部门）绩效综合管理，不断强化预算绩效管理业务培训。加大项目事前绩效评估、事中绩效监控力度。</w:t>
      </w:r>
      <w:r>
        <w:rPr>
          <w:rFonts w:hint="eastAsia" w:eastAsia="方正仿宋_GBK" w:cs="方正仿宋_GBK"/>
          <w:bCs/>
          <w:sz w:val="33"/>
          <w:szCs w:val="33"/>
        </w:rPr>
        <w:t>2023年，对1307个项目开展绩效目标审核。开展部门整体支出和重点项目绩效评价，涉及项目19个、资金1.76亿元，重点绩效评价首次拓展到行政事业性国有资产绩效管理方面</w:t>
      </w:r>
      <w:r>
        <w:rPr>
          <w:rFonts w:hint="eastAsia" w:eastAsia="方正仿宋_GBK" w:cs="方正仿宋_GBK"/>
          <w:sz w:val="33"/>
          <w:szCs w:val="33"/>
        </w:rPr>
        <w:t>。</w:t>
      </w:r>
      <w:r>
        <w:rPr>
          <w:rFonts w:hint="eastAsia" w:eastAsia="方正仿宋_GBK" w:cs="方正仿宋_GBK"/>
          <w:b/>
          <w:sz w:val="33"/>
          <w:szCs w:val="33"/>
        </w:rPr>
        <w:t>四是持续深化金融改革。</w:t>
      </w:r>
      <w:r>
        <w:rPr>
          <w:rFonts w:hint="eastAsia" w:eastAsia="方正仿宋_GBK" w:cs="方正仿宋_GBK"/>
          <w:sz w:val="33"/>
          <w:szCs w:val="33"/>
        </w:rPr>
        <w:t>创新农村金融服务，打造国企、金融机构、农户三方合作的“1+3+N”农资供应链金融生态模式。持续优化金融生态环境，2023年在全省金融生态环境评价排名中，我县位于全省GDP100-200亿元县区第三名，创历史最好水平。</w:t>
      </w:r>
    </w:p>
    <w:p>
      <w:pPr>
        <w:overflowPunct w:val="0"/>
        <w:spacing w:line="600" w:lineRule="exact"/>
        <w:ind w:firstLine="663"/>
        <w:jc w:val="both"/>
        <w:rPr>
          <w:rFonts w:eastAsia="方正仿宋_GBK" w:cs="方正仿宋_GBK"/>
          <w:sz w:val="33"/>
          <w:szCs w:val="33"/>
        </w:rPr>
      </w:pPr>
      <w:r>
        <w:rPr>
          <w:rFonts w:hint="eastAsia" w:eastAsia="方正仿宋_GBK" w:cs="方正仿宋_GBK"/>
          <w:b/>
          <w:sz w:val="33"/>
          <w:szCs w:val="33"/>
        </w:rPr>
        <w:t>重管理强监督，规范财经纪律。一是树牢过紧日子思想。</w:t>
      </w:r>
      <w:r>
        <w:rPr>
          <w:rFonts w:hint="eastAsia" w:eastAsia="方正仿宋_GBK" w:cs="方正仿宋_GBK"/>
          <w:sz w:val="33"/>
          <w:szCs w:val="33"/>
        </w:rPr>
        <w:t>将勤俭节约作为预算支出安排的基本方针，强化源头管理，夯实部门主体责任，大力压减“三公”经费及一般性支出，2023年“三公”经费预算压减2.3%。</w:t>
      </w:r>
      <w:r>
        <w:rPr>
          <w:rFonts w:hint="eastAsia" w:eastAsia="方正仿宋_GBK" w:cs="方正仿宋_GBK"/>
          <w:b/>
          <w:bCs/>
          <w:sz w:val="33"/>
          <w:szCs w:val="33"/>
        </w:rPr>
        <w:t>二是加大监督检查力度。</w:t>
      </w:r>
      <w:r>
        <w:rPr>
          <w:rFonts w:hint="eastAsia" w:eastAsia="方正仿宋_GBK" w:cs="方正仿宋_GBK"/>
          <w:sz w:val="33"/>
          <w:szCs w:val="33"/>
        </w:rPr>
        <w:t>贯彻落实《关于进一步加强财会监督工作的意见》，开展财经纪律重点问题专项整治、财政预决算公开专项核查等监督检查，建立健全长效机制，进一步严肃财经纪律。全面加强直达资金和惠民惠农“一卡通”资金管理，全年下达直达资金1.36亿元，开展惠民惠农财政补贴资金“一卡通”发放专项检查，确保资金及时惠企利民。</w:t>
      </w:r>
      <w:r>
        <w:rPr>
          <w:rFonts w:hint="eastAsia" w:eastAsia="方正仿宋_GBK" w:cs="方正仿宋_GBK"/>
          <w:b/>
          <w:bCs/>
          <w:sz w:val="33"/>
          <w:szCs w:val="33"/>
        </w:rPr>
        <w:t>三是加大政府投资项目评审监管力度</w:t>
      </w:r>
      <w:r>
        <w:rPr>
          <w:rFonts w:hint="eastAsia" w:eastAsia="方正仿宋_GBK" w:cs="方正仿宋_GBK"/>
          <w:sz w:val="33"/>
          <w:szCs w:val="33"/>
        </w:rPr>
        <w:t>。进一步规范管理，全年完成政府投资评审项目79个，总审减1,049万元，平均审减率5%。</w:t>
      </w:r>
      <w:r>
        <w:rPr>
          <w:rFonts w:hint="eastAsia" w:eastAsia="方正仿宋_GBK" w:cs="方正仿宋_GBK"/>
          <w:b/>
          <w:bCs/>
          <w:sz w:val="33"/>
          <w:szCs w:val="33"/>
        </w:rPr>
        <w:t>四是强化国有资产和政府采购管理。</w:t>
      </w:r>
      <w:r>
        <w:rPr>
          <w:rFonts w:hint="eastAsia" w:eastAsia="方正仿宋_GBK" w:cs="方正仿宋_GBK"/>
          <w:sz w:val="33"/>
          <w:szCs w:val="33"/>
        </w:rPr>
        <w:t>加强国有资产监督管理，不断规范资产处置行为，严防国有资产流失。依法履行政府采购监督管理职责，全年政府采购计划备案149项，资金平均节约率6%。</w:t>
      </w:r>
    </w:p>
    <w:p>
      <w:pPr>
        <w:overflowPunct w:val="0"/>
        <w:spacing w:line="600" w:lineRule="exact"/>
        <w:ind w:firstLine="663"/>
        <w:jc w:val="both"/>
        <w:rPr>
          <w:rFonts w:eastAsia="方正仿宋_GBK" w:cs="方正仿宋_GBK"/>
          <w:b/>
          <w:sz w:val="33"/>
          <w:szCs w:val="33"/>
        </w:rPr>
      </w:pPr>
      <w:r>
        <w:rPr>
          <w:rFonts w:hint="eastAsia" w:eastAsia="方正仿宋_GBK" w:cs="方正仿宋_GBK"/>
          <w:b/>
          <w:sz w:val="33"/>
          <w:szCs w:val="33"/>
        </w:rPr>
        <w:t>强预防守底线，筑牢风险屏障。一是兜牢“三保”支出底线。</w:t>
      </w:r>
      <w:r>
        <w:rPr>
          <w:rFonts w:hint="eastAsia" w:eastAsia="方正仿宋_GBK" w:cs="方正仿宋_GBK"/>
          <w:sz w:val="33"/>
          <w:szCs w:val="33"/>
        </w:rPr>
        <w:t>严格落实“三保”财政保障序列，建立县级“三保”清单，单列“三保”预算，强化审核监控，及时、足额兑现“三保”支出，全县“三保”预算执行总体稳健。</w:t>
      </w:r>
      <w:r>
        <w:rPr>
          <w:rFonts w:hint="eastAsia" w:eastAsia="方正仿宋_GBK" w:cs="方正仿宋_GBK"/>
          <w:b/>
          <w:sz w:val="33"/>
          <w:szCs w:val="33"/>
        </w:rPr>
        <w:t>二是严防财政支付风险。</w:t>
      </w:r>
      <w:r>
        <w:rPr>
          <w:rFonts w:hint="eastAsia" w:eastAsia="方正仿宋_GBK" w:cs="方正仿宋_GBK"/>
          <w:sz w:val="33"/>
          <w:szCs w:val="33"/>
        </w:rPr>
        <w:t>加强财政资金统筹，实行财政库款调度资金预审制度，严格库款保障序列，严控财政支付风险。强化财政暂付款管理，全力采取措施进行化解，确保财政暂付款总量只减不增。</w:t>
      </w:r>
      <w:r>
        <w:rPr>
          <w:rFonts w:hint="eastAsia" w:eastAsia="方正仿宋_GBK" w:cs="方正仿宋_GBK"/>
          <w:b/>
          <w:sz w:val="33"/>
          <w:szCs w:val="33"/>
        </w:rPr>
        <w:t>三是严防债务风险。</w:t>
      </w:r>
      <w:r>
        <w:rPr>
          <w:rFonts w:hint="eastAsia" w:eastAsia="方正仿宋_GBK" w:cs="方正仿宋_GBK"/>
          <w:sz w:val="33"/>
          <w:szCs w:val="33"/>
        </w:rPr>
        <w:t>成立地方债务风险防范化解工作领导小组，制定了《米易县防范化解地方债务风险工作方案》和《米易县化解地方政府法定债务和隐性债务风险方案》，开展地方债务底数摸查，坚决遏制新增政府隐性债务，多措并举化解存量债务。全年争取再融资债券1.96亿元、新增债券资金1.55亿元用于化解存量债务，牢牢守住了政府债务风险的底线。2023年，全年债务还本付息7.51亿元。</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这些工作的顺利开展和成绩的取得是县委、县政府坚强领导的结果，是县人大、县政协监督指导支持的结果，是全县各部门克难奋进的结果。同时，我们也清醒认识到财政工作中还存在一些问题和不足：收入增长乏力，县级财力薄弱，财政支持发展能力不足，收支矛盾突出，财政风险不容忽视。对于这些问题，我们将高度重视，认真听取各位代表、委员的意见建议，积极采取有效措施逐步加以解决。</w:t>
      </w:r>
    </w:p>
    <w:p>
      <w:pPr>
        <w:overflowPunct w:val="0"/>
        <w:spacing w:line="600" w:lineRule="exact"/>
        <w:ind w:firstLine="660"/>
        <w:jc w:val="both"/>
        <w:rPr>
          <w:rFonts w:eastAsia="方正黑体_GBK" w:cs="方正黑体_GBK"/>
          <w:sz w:val="33"/>
          <w:szCs w:val="33"/>
        </w:rPr>
      </w:pPr>
      <w:r>
        <w:rPr>
          <w:rFonts w:hint="eastAsia" w:eastAsia="方正黑体_GBK" w:cs="方正黑体_GBK"/>
          <w:sz w:val="33"/>
          <w:szCs w:val="33"/>
        </w:rPr>
        <w:t>三、2024年财政预算草案</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2024年财政工作和预算编制的指导思想是：坚持稳中求进、以进促稳、先立后破工作总基调，落实积极的财政政策要适度加力、提质增效的要求，</w:t>
      </w:r>
      <w:bookmarkStart w:id="0" w:name="_GoBack"/>
      <w:bookmarkEnd w:id="0"/>
      <w:r>
        <w:rPr>
          <w:rFonts w:hint="eastAsia" w:eastAsia="方正仿宋_GBK" w:cs="方正仿宋_GBK"/>
          <w:sz w:val="33"/>
          <w:szCs w:val="33"/>
        </w:rPr>
        <w:t>科学统筹并合理分配财政资源，注重绩效引领，坚守风险底线，扎实做好财政管理改革各项工作，为高质量发展建设共同富裕试验区提供有力的财力支撑。</w:t>
      </w:r>
    </w:p>
    <w:p>
      <w:pPr>
        <w:pStyle w:val="3"/>
        <w:overflowPunct w:val="0"/>
        <w:spacing w:line="600" w:lineRule="exact"/>
        <w:ind w:firstLine="663"/>
        <w:rPr>
          <w:rFonts w:eastAsia="方正楷体_GBK" w:cs="方正楷体_GBK"/>
          <w:b/>
          <w:sz w:val="33"/>
          <w:szCs w:val="33"/>
        </w:rPr>
      </w:pPr>
      <w:r>
        <w:rPr>
          <w:rFonts w:hint="eastAsia" w:eastAsia="方正楷体_GBK" w:cs="方正楷体_GBK"/>
          <w:b/>
          <w:sz w:val="33"/>
          <w:szCs w:val="33"/>
        </w:rPr>
        <w:t>（一）一般公共预算草案</w:t>
      </w:r>
    </w:p>
    <w:p>
      <w:pPr>
        <w:overflowPunct w:val="0"/>
        <w:spacing w:line="600" w:lineRule="exact"/>
        <w:ind w:firstLine="636"/>
        <w:jc w:val="both"/>
        <w:rPr>
          <w:rFonts w:eastAsia="方正仿宋_GBK" w:cs="方正仿宋_GBK"/>
          <w:spacing w:val="-6"/>
          <w:sz w:val="33"/>
          <w:szCs w:val="33"/>
        </w:rPr>
      </w:pPr>
      <w:r>
        <w:rPr>
          <w:rFonts w:hint="eastAsia" w:eastAsia="方正仿宋_GBK" w:cs="方正仿宋_GBK"/>
          <w:spacing w:val="-6"/>
          <w:sz w:val="33"/>
          <w:szCs w:val="33"/>
        </w:rPr>
        <w:t>2024年，县级一般公共预算收入149,390万元，在剔除特许经营权出让等一次性收入因素后，较2023年同口径一般公共预算收入130,574万元，同口径增长6%以上。</w:t>
      </w:r>
    </w:p>
    <w:p>
      <w:pPr>
        <w:overflowPunct w:val="0"/>
        <w:spacing w:line="600" w:lineRule="exact"/>
        <w:ind w:firstLine="636"/>
        <w:jc w:val="both"/>
        <w:rPr>
          <w:rFonts w:eastAsia="方正仿宋_GBK" w:cs="方正仿宋_GBK"/>
          <w:spacing w:val="-6"/>
          <w:sz w:val="33"/>
          <w:szCs w:val="33"/>
        </w:rPr>
      </w:pPr>
      <w:r>
        <w:rPr>
          <w:rFonts w:hint="eastAsia" w:eastAsia="方正仿宋_GBK" w:cs="方正仿宋_GBK"/>
          <w:spacing w:val="-6"/>
          <w:sz w:val="33"/>
          <w:szCs w:val="33"/>
        </w:rPr>
        <w:t>一般公共预算平衡情况：县级一般公共预算收入149,390万元，上级补助收入42,710万元，上年结转44,769万元，调入资金605万元，一般债务转贷收入2,700万元，动用预算稳定调节基金184万元，收入合计240,358万元；一般公共预算支出229,574万元，上解支出10,784万元，支出合计240,358万元。</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（二）政府性基金预算草案</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县级政府性基金预算收入38,050万元。</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政府性基金预算平衡情况：县级政府性基金预算收入38,050万元，上年结转23,078万元，债务转贷收入37,000万元，收入合计98,128万元；政府性基金预算支出95,988万元，债务还本支出2,140万元，支出合计98,128万元。</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（三）国有资本经营预算草案</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国有资本经营预算收入605万元，上年结转83万元，收入合计688万元；调出资金605万元，安排国有资本经营预算支出83万元，支出合计688万元。</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以上预算具体安排情况详见《米易县2024年财政预算草案表》。</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（四）全县重点支出安排</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聚焦高质量发展建设共同富裕试验区，按照“三保一促一防”的财政保障重点，结合年度经济发展目标，合理安排全县支出预算，确保民生支出占比稳定在65%以上。2024年重点支出安排如下。</w:t>
      </w:r>
    </w:p>
    <w:p>
      <w:pPr>
        <w:overflowPunct w:val="0"/>
        <w:spacing w:line="600" w:lineRule="exact"/>
        <w:ind w:firstLine="663"/>
        <w:jc w:val="both"/>
        <w:rPr>
          <w:rFonts w:eastAsia="方正仿宋_GBK" w:cs="方正仿宋_GBK"/>
          <w:sz w:val="33"/>
          <w:szCs w:val="33"/>
        </w:rPr>
      </w:pPr>
      <w:r>
        <w:rPr>
          <w:rFonts w:hint="eastAsia" w:eastAsia="方正仿宋_GBK" w:cs="方正仿宋_GBK"/>
          <w:b/>
          <w:bCs/>
          <w:sz w:val="33"/>
          <w:szCs w:val="33"/>
        </w:rPr>
        <w:t>一是支持城乡融合发展。</w:t>
      </w:r>
      <w:r>
        <w:rPr>
          <w:rFonts w:hint="eastAsia" w:eastAsia="方正仿宋_GBK" w:cs="方正仿宋_GBK"/>
          <w:sz w:val="33"/>
          <w:szCs w:val="33"/>
        </w:rPr>
        <w:t>安排城乡社区和住房保障方面支出28,110万元，支持推进城市功能不断完善、人居环境不断改善、城市品质不断提升，建设美丽宜居城市。安排农林水方面支出29,909万元，支持推进安宁河流域农业高质量发展，建设新时代高水平“天府第二粮仓”，全面促进乡村振兴，农民农村共同富裕。</w:t>
      </w:r>
    </w:p>
    <w:p>
      <w:pPr>
        <w:overflowPunct w:val="0"/>
        <w:spacing w:line="600" w:lineRule="exact"/>
        <w:ind w:firstLine="663"/>
        <w:jc w:val="both"/>
        <w:rPr>
          <w:rFonts w:eastAsia="方正仿宋_GBK" w:cs="方正仿宋_GBK"/>
          <w:sz w:val="33"/>
          <w:szCs w:val="33"/>
        </w:rPr>
      </w:pPr>
      <w:r>
        <w:rPr>
          <w:rFonts w:hint="eastAsia" w:eastAsia="方正仿宋_GBK" w:cs="方正仿宋_GBK"/>
          <w:b/>
          <w:bCs/>
          <w:sz w:val="33"/>
          <w:szCs w:val="33"/>
        </w:rPr>
        <w:t>二是支持教育文体事业发展。</w:t>
      </w:r>
      <w:r>
        <w:rPr>
          <w:rFonts w:hint="eastAsia" w:eastAsia="方正仿宋_GBK" w:cs="方正仿宋_GBK"/>
          <w:sz w:val="33"/>
          <w:szCs w:val="33"/>
        </w:rPr>
        <w:t>安排教育支出38,727万元，兑付教育各项补助政策，全力保障教师工资福利待遇，提升各阶段教育经费，确保教育支出只增不减。安排科学技术及文化旅游方面支出3,206万元，增强科技创新活力，支持文旅产业提质增效，推进文化惠民工程和农文旅康深度融合发展。</w:t>
      </w:r>
    </w:p>
    <w:p>
      <w:pPr>
        <w:overflowPunct w:val="0"/>
        <w:spacing w:line="600" w:lineRule="exact"/>
        <w:ind w:firstLine="663"/>
        <w:jc w:val="both"/>
        <w:rPr>
          <w:rFonts w:eastAsia="方正仿宋_GBK" w:cs="方正仿宋_GBK"/>
          <w:sz w:val="33"/>
          <w:szCs w:val="33"/>
        </w:rPr>
      </w:pPr>
      <w:r>
        <w:rPr>
          <w:rFonts w:hint="eastAsia" w:eastAsia="方正仿宋_GBK" w:cs="方正仿宋_GBK"/>
          <w:b/>
          <w:bCs/>
          <w:sz w:val="33"/>
          <w:szCs w:val="33"/>
        </w:rPr>
        <w:t>三是支持卫生健康事业发展。</w:t>
      </w:r>
      <w:r>
        <w:rPr>
          <w:rFonts w:hint="eastAsia" w:eastAsia="方正仿宋_GBK" w:cs="方正仿宋_GBK"/>
          <w:sz w:val="33"/>
          <w:szCs w:val="33"/>
        </w:rPr>
        <w:t>安排卫生健康支出25,249万元，支持落实基本公共卫生、育儿补贴等政策，不断提升突发公共卫生事件防范和化解能力，助力公立医院改革，不断完善县域医疗卫生体系。</w:t>
      </w:r>
    </w:p>
    <w:p>
      <w:pPr>
        <w:overflowPunct w:val="0"/>
        <w:spacing w:line="600" w:lineRule="exact"/>
        <w:ind w:firstLine="663"/>
        <w:jc w:val="both"/>
        <w:rPr>
          <w:rFonts w:eastAsia="方正仿宋_GBK" w:cs="方正仿宋_GBK"/>
          <w:sz w:val="33"/>
          <w:szCs w:val="33"/>
        </w:rPr>
      </w:pPr>
      <w:r>
        <w:rPr>
          <w:rFonts w:hint="eastAsia" w:eastAsia="方正仿宋_GBK" w:cs="方正仿宋_GBK"/>
          <w:b/>
          <w:bCs/>
          <w:sz w:val="33"/>
          <w:szCs w:val="33"/>
        </w:rPr>
        <w:t>四是支持社会保障体系建设。</w:t>
      </w:r>
      <w:r>
        <w:rPr>
          <w:rFonts w:hint="eastAsia" w:eastAsia="方正仿宋_GBK" w:cs="方正仿宋_GBK"/>
          <w:sz w:val="33"/>
          <w:szCs w:val="33"/>
        </w:rPr>
        <w:t>安排社会保障和就业支出34,529万元，支持落实困难群众救助、残疾人补贴、优抚对象补助、退役安置等政策，加大就业创业投入力度，兜牢社会保障民生底线。</w:t>
      </w:r>
    </w:p>
    <w:p>
      <w:pPr>
        <w:overflowPunct w:val="0"/>
        <w:spacing w:line="600" w:lineRule="exact"/>
        <w:ind w:firstLine="663"/>
        <w:jc w:val="both"/>
        <w:rPr>
          <w:rFonts w:eastAsia="方正仿宋_GBK" w:cs="方正仿宋_GBK"/>
          <w:sz w:val="33"/>
          <w:szCs w:val="33"/>
        </w:rPr>
      </w:pPr>
      <w:r>
        <w:rPr>
          <w:rFonts w:hint="eastAsia" w:eastAsia="方正仿宋_GBK" w:cs="方正仿宋_GBK"/>
          <w:b/>
          <w:bCs/>
          <w:sz w:val="33"/>
          <w:szCs w:val="33"/>
        </w:rPr>
        <w:t>五是支持维护社会安全稳定。</w:t>
      </w:r>
      <w:r>
        <w:rPr>
          <w:rFonts w:hint="eastAsia" w:eastAsia="方正仿宋_GBK" w:cs="方正仿宋_GBK"/>
          <w:sz w:val="33"/>
          <w:szCs w:val="33"/>
        </w:rPr>
        <w:t>安排灾害防治及应急管理等支出12,803万元，持续做好森林草原防灭火、防汛抗旱、安全生产等工作，推进平安米易建设，提升县域社会治理能力，促进社会和谐安宁。</w:t>
      </w:r>
    </w:p>
    <w:p>
      <w:pPr>
        <w:overflowPunct w:val="0"/>
        <w:spacing w:line="600" w:lineRule="exact"/>
        <w:ind w:firstLine="663"/>
        <w:jc w:val="both"/>
        <w:rPr>
          <w:rFonts w:eastAsia="方正仿宋_GBK" w:cs="方正仿宋_GBK"/>
          <w:sz w:val="33"/>
          <w:szCs w:val="33"/>
        </w:rPr>
      </w:pPr>
      <w:r>
        <w:rPr>
          <w:rFonts w:hint="eastAsia" w:eastAsia="方正仿宋_GBK" w:cs="方正仿宋_GBK"/>
          <w:b/>
          <w:bCs/>
          <w:sz w:val="33"/>
          <w:szCs w:val="33"/>
        </w:rPr>
        <w:t>六是安排县级预备费。</w:t>
      </w:r>
      <w:r>
        <w:rPr>
          <w:rFonts w:hint="eastAsia" w:eastAsia="方正仿宋_GBK" w:cs="方正仿宋_GBK"/>
          <w:sz w:val="33"/>
          <w:szCs w:val="33"/>
        </w:rPr>
        <w:t>安排2,500万元，用于预算执行中自然灾害等突发事件处理新增支出及其他难以预见的支出。</w:t>
      </w:r>
    </w:p>
    <w:p>
      <w:pPr>
        <w:overflowPunct w:val="0"/>
        <w:spacing w:line="600" w:lineRule="exact"/>
        <w:ind w:firstLine="663"/>
        <w:jc w:val="both"/>
        <w:rPr>
          <w:rFonts w:eastAsia="方正仿宋_GBK" w:cs="方正仿宋_GBK"/>
          <w:sz w:val="33"/>
          <w:szCs w:val="33"/>
        </w:rPr>
      </w:pPr>
      <w:r>
        <w:rPr>
          <w:rFonts w:hint="eastAsia" w:eastAsia="方正仿宋_GBK" w:cs="方正仿宋_GBK"/>
          <w:b/>
          <w:bCs/>
          <w:sz w:val="33"/>
          <w:szCs w:val="33"/>
        </w:rPr>
        <w:t>七是防范化解债务风险。</w:t>
      </w:r>
      <w:r>
        <w:rPr>
          <w:rFonts w:hint="eastAsia" w:eastAsia="方正仿宋_GBK" w:cs="方正仿宋_GBK"/>
          <w:sz w:val="33"/>
          <w:szCs w:val="33"/>
        </w:rPr>
        <w:t>安排防风险支出4.1亿元，用于地方债务风险化解。除以上预算安排外，防风险支出还包括争取上级发行再融资债券等支持。</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以上预算草案，请予审查批准。根据《中华人民共和国预算法》有关规定，在县级预算草案批准前，参照上一年同期的支出预算数额，提前安排了部分支出。</w:t>
      </w:r>
    </w:p>
    <w:p>
      <w:pPr>
        <w:overflowPunct w:val="0"/>
        <w:spacing w:line="600" w:lineRule="exact"/>
        <w:ind w:firstLine="660"/>
        <w:jc w:val="both"/>
        <w:rPr>
          <w:rFonts w:eastAsia="方正黑体_GBK" w:cs="方正黑体_GBK"/>
          <w:sz w:val="33"/>
          <w:szCs w:val="33"/>
        </w:rPr>
      </w:pPr>
      <w:r>
        <w:rPr>
          <w:rFonts w:hint="eastAsia" w:eastAsia="方正黑体_GBK" w:cs="方正黑体_GBK"/>
          <w:sz w:val="33"/>
          <w:szCs w:val="33"/>
        </w:rPr>
        <w:t>四、2024年财政工作重点</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（一）坚持多管齐下，着力增强财政保障能力</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不折不扣落实各项减税降费政策，确保该减的减到位、该免的免到位、该缓的缓到位、该退的退到位。加大招商引资和关联合作力度，招引和培育“高新特精”企业，鼓励支持企业加大关键核心技术创新研发力度，推进技改升级，夯实培植财源。强化收入征管部门的协同联动，加大运行调度监控，以项目化、精细化推进收入组织工作，全面挖掘收入增长潜力，确保预期目标实现。抓住“建设共同富裕试验区”和安宁河流域高质量发展等有利契机，跟踪掌握中央、省、市重大政策制定，针对性的做好项目的包装和储备，密切跟踪、精准对接，全力争取财力性补助、专项补助、新增债券资金到位米易。</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 xml:space="preserve">（二）聚焦共同富裕，全力支持民生产业发展 </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坚持习惯“过紧日子”，继续严控一般性支出，调整优化支出结构，强化财政资金的统筹使用，把有限的财政资金用在“刀刃”上。坚持民生优先，足额保障教育、社会保障、卫生健康等领域的基本民生支出，加大民生实事财政资金投入力度，确保全年民生支出占一般公共预算支出比例在65%以上。统筹安排财政资金，推进新型城镇化建设和高效能县域社会治理，建好共同富裕幸福家园。聚焦产业转型升级，加大对工业发展、乡村振兴、服务业发展、园区建设等方面财政资金投入力度，夯实共同富裕产业支撑。</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（三）树牢底线思维，聚力防范化解各类风险</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加强全口径债务监测，按照《米易县防范化解地方债务风险工作方案》，多措并举筹集资金有效化解全口径债务，确保政府债务按时足额还本付息，债务余额控制在限额以内，严格遏制增量，有效化解存量，进一步规范融资平台公司债务，牢牢守住不发生系统性风险底线。加强“三保”支出运行监控，全面落实“三保”支出保障责任，兜牢兜实“三保”支出底线。密切跟踪监测财政收支运行、库款保障等情况，加强库款动态管理和调度，确保财政稳健运行。</w:t>
      </w:r>
    </w:p>
    <w:p>
      <w:pPr>
        <w:overflowPunct w:val="0"/>
        <w:spacing w:line="600" w:lineRule="exact"/>
        <w:ind w:firstLine="663"/>
        <w:jc w:val="both"/>
        <w:rPr>
          <w:rFonts w:eastAsia="方正楷体_GBK" w:cs="方正楷体_GBK"/>
          <w:b/>
          <w:sz w:val="33"/>
          <w:szCs w:val="33"/>
        </w:rPr>
      </w:pPr>
      <w:r>
        <w:rPr>
          <w:rFonts w:hint="eastAsia" w:eastAsia="方正楷体_GBK" w:cs="方正楷体_GBK"/>
          <w:b/>
          <w:sz w:val="33"/>
          <w:szCs w:val="33"/>
        </w:rPr>
        <w:t>（四）改革监督并行，加码提升财政资金效益</w:t>
      </w:r>
    </w:p>
    <w:p>
      <w:pPr>
        <w:overflowPunct w:val="0"/>
        <w:spacing w:line="600" w:lineRule="exact"/>
        <w:ind w:firstLine="660"/>
        <w:jc w:val="both"/>
        <w:rPr>
          <w:rFonts w:eastAsia="方正仿宋_GBK" w:cs="方正仿宋_GBK"/>
          <w:sz w:val="33"/>
          <w:szCs w:val="33"/>
        </w:rPr>
      </w:pPr>
      <w:r>
        <w:rPr>
          <w:rFonts w:hint="eastAsia" w:eastAsia="方正仿宋_GBK" w:cs="方正仿宋_GBK"/>
          <w:sz w:val="33"/>
          <w:szCs w:val="33"/>
        </w:rPr>
        <w:t>深化零基预算改革，着力推进全方位、全过程、全覆盖的预算绩效管理体系建设，做到“花钱必问效，无效必问责”。推动新一轮国企改革深化提升行动，持续强化国企党建工作，完善现代公司治理，提升竞争力、抗风险能力。强化财政监督检查，聚焦重点部门和重点资金，会同纪委、审计等部门进行监督检查，及时发现问题、校准纠偏，不断提升依法理财水平。持续优化政府采购营商环境，强化投资评审力度，规范政府采购行为。主动接受县人大的监督，认真听取县政协的意见建议，进一步优化预决算公开管理，着力打造“阳光财政”。</w:t>
      </w:r>
    </w:p>
    <w:p>
      <w:pPr>
        <w:pStyle w:val="2"/>
        <w:ind w:firstLine="400"/>
      </w:pPr>
    </w:p>
    <w:sectPr>
      <w:headerReference r:id="rId7" w:type="first"/>
      <w:footerReference r:id="rId10" w:type="first"/>
      <w:headerReference r:id="rId5" w:type="default"/>
      <w:footerReference r:id="rId8" w:type="default"/>
      <w:headerReference r:id="rId6" w:type="even"/>
      <w:footerReference r:id="rId9" w:type="even"/>
      <w:footnotePr>
        <w:numFmt w:val="decimalHalfWidth"/>
      </w:footnotePr>
      <w:endnotePr>
        <w:numFmt w:val="chineseCounting"/>
      </w:endnotePr>
      <w:pgSz w:w="11905" w:h="16837"/>
      <w:pgMar w:top="2098" w:right="1474" w:bottom="1984" w:left="1588" w:header="907" w:footer="1644"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0" w:firstLineChars="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ascii="宋体" w:hAnsi="宋体" w:cs="宋体"/>
                              <w:sz w:val="28"/>
                              <w:szCs w:val="28"/>
                            </w:rPr>
                            <w:t xml:space="preserve"> </w:t>
                          </w:r>
                          <w:r>
                            <w:rPr>
                              <w:rFonts w:hint="eastAsia" w:ascii="宋体" w:hAnsi="宋体" w:cs="宋体"/>
                              <w:sz w:val="28"/>
                              <w:szCs w:val="28"/>
                            </w:rPr>
                            <w:t xml:space="preserve">— </w:t>
                          </w:r>
                          <w:r>
                            <w:rPr>
                              <w:rFonts w:hint="eastAsia" w:ascii="宋体" w:hAnsi="宋体" w:cs="宋体"/>
                              <w:color w:val="FFFFFF" w:themeColor="background1"/>
                              <w:sz w:val="28"/>
                              <w:szCs w:val="28"/>
                              <w14:textFill>
                                <w14:solidFill>
                                  <w14:schemeClr w14:val="bg1"/>
                                </w14:solidFill>
                              </w14:textFill>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8"/>
                      <w:ind w:firstLine="0" w:firstLineChars="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ascii="宋体" w:hAnsi="宋体" w:cs="宋体"/>
                        <w:sz w:val="28"/>
                        <w:szCs w:val="28"/>
                      </w:rPr>
                      <w:t xml:space="preserve"> </w:t>
                    </w:r>
                    <w:r>
                      <w:rPr>
                        <w:rFonts w:hint="eastAsia" w:ascii="宋体" w:hAnsi="宋体" w:cs="宋体"/>
                        <w:sz w:val="28"/>
                        <w:szCs w:val="28"/>
                      </w:rPr>
                      <w:t xml:space="preserve">— </w:t>
                    </w:r>
                    <w:r>
                      <w:rPr>
                        <w:rFonts w:hint="eastAsia" w:ascii="宋体" w:hAnsi="宋体" w:cs="宋体"/>
                        <w:color w:val="FFFFFF" w:themeColor="background1"/>
                        <w:sz w:val="28"/>
                        <w:szCs w:val="28"/>
                        <w14:textFill>
                          <w14:solidFill>
                            <w14:schemeClr w14:val="bg1"/>
                          </w14:solidFill>
                        </w14:textFill>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19" w:firstLineChars="7"/>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8"/>
                      <w:ind w:firstLine="360"/>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0</wp:posOffset>
              </wp:positionV>
              <wp:extent cx="5528945" cy="9715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28945" cy="971550"/>
                      </a:xfrm>
                      <a:prstGeom prst="rect">
                        <a:avLst/>
                      </a:prstGeom>
                      <a:noFill/>
                      <a:ln>
                        <a:noFill/>
                      </a:ln>
                    </wps:spPr>
                    <wps:txbx>
                      <w:txbxContent>
                        <w:p>
                          <w:pPr>
                            <w:spacing w:line="334" w:lineRule="atLeast"/>
                            <w:ind w:firstLine="420"/>
                            <w:rPr>
                              <w:sz w:val="21"/>
                            </w:rPr>
                          </w:pPr>
                        </w:p>
                      </w:txbxContent>
                    </wps:txbx>
                    <wps:bodyPr lIns="0" tIns="0" rIns="0" bIns="0" upright="1"/>
                  </wps:wsp>
                </a:graphicData>
              </a:graphic>
            </wp:anchor>
          </w:drawing>
        </mc:Choice>
        <mc:Fallback>
          <w:pict>
            <v:shape id="_x0000_s1026" o:spid="_x0000_s1026" o:spt="202" type="#_x0000_t202" style="position:absolute;left:0pt;margin-top:0pt;height:76.5pt;width:435.35pt;mso-position-horizontal:center;z-index:-251657216;mso-width-relative:page;mso-height-relative:page;" filled="f" stroked="f" coordsize="21600,21600" o:gfxdata="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0ApcrtUAAAAFAQAADwAAAAAAAAABACAAAAAiAAAAZHJzL2Rvd25yZXYueG1sUEsBAhQA&#10;FAAAAAgAh07iQHjjXje8AQAAcgMAAA4AAAAAAAAAAQAgAAAAJAEAAGRycy9lMm9Eb2MueG1sUEsF&#10;BgAAAAAGAAYAWQEAAFIFAAAAAA==&#10;">
              <v:fill on="f" focussize="0,0"/>
              <v:stroke on="f"/>
              <v:imagedata o:title=""/>
              <o:lock v:ext="edit" aspectratio="f"/>
              <v:textbox inset="0mm,0mm,0mm,0mm">
                <w:txbxContent>
                  <w:p>
                    <w:pPr>
                      <w:spacing w:line="334" w:lineRule="atLeast"/>
                      <w:ind w:firstLine="420"/>
                      <w:rPr>
                        <w:sz w:val="21"/>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5547995" cy="9715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47995" cy="971550"/>
                      </a:xfrm>
                      <a:prstGeom prst="rect">
                        <a:avLst/>
                      </a:prstGeom>
                      <a:noFill/>
                      <a:ln>
                        <a:noFill/>
                      </a:ln>
                    </wps:spPr>
                    <wps:txbx>
                      <w:txbxContent>
                        <w:p>
                          <w:pPr>
                            <w:spacing w:line="334" w:lineRule="atLeast"/>
                            <w:ind w:firstLine="420"/>
                            <w:rPr>
                              <w:sz w:val="21"/>
                            </w:rPr>
                          </w:pPr>
                        </w:p>
                      </w:txbxContent>
                    </wps:txbx>
                    <wps:bodyPr lIns="0" tIns="0" rIns="0" bIns="0" upright="1"/>
                  </wps:wsp>
                </a:graphicData>
              </a:graphic>
            </wp:anchor>
          </w:drawing>
        </mc:Choice>
        <mc:Fallback>
          <w:pict>
            <v:shape id="_x0000_s1026" o:spid="_x0000_s1026" o:spt="202" type="#_x0000_t202" style="position:absolute;left:0pt;margin-top:0pt;height:76.5pt;width:436.85pt;mso-position-horizontal:center;z-index:-251656192;mso-width-relative:page;mso-height-relative:page;" filled="f" stroked="f" coordsize="21600,21600" o:gfxdata="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GFUC9UAAAAFAQAADwAAAAAAAAABACAAAAAiAAAAZHJzL2Rvd25yZXYueG1sUEsBAhQA&#10;FAAAAAgAh07iQMw+/jS8AQAAcgMAAA4AAAAAAAAAAQAgAAAAJAEAAGRycy9lMm9Eb2MueG1sUEsF&#10;BgAAAAAGAAYAWQEAAFIFAAAAAA==&#10;">
              <v:fill on="f" focussize="0,0"/>
              <v:stroke on="f"/>
              <v:imagedata o:title=""/>
              <o:lock v:ext="edit" aspectratio="f"/>
              <v:textbox inset="0mm,0mm,0mm,0mm">
                <w:txbxContent>
                  <w:p>
                    <w:pPr>
                      <w:spacing w:line="334" w:lineRule="atLeast"/>
                      <w:ind w:firstLine="420"/>
                      <w:rPr>
                        <w:sz w:val="21"/>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yNWMyNzNiNDVhZWYwMTM1MWEyNjFjMzhiY2MwZWQifQ=="/>
  </w:docVars>
  <w:rsids>
    <w:rsidRoot w:val="39E11380"/>
    <w:rsid w:val="00124C04"/>
    <w:rsid w:val="0015681C"/>
    <w:rsid w:val="001E44E5"/>
    <w:rsid w:val="002D7100"/>
    <w:rsid w:val="004676CB"/>
    <w:rsid w:val="004A581E"/>
    <w:rsid w:val="00654F32"/>
    <w:rsid w:val="00696289"/>
    <w:rsid w:val="006A0C97"/>
    <w:rsid w:val="006C2238"/>
    <w:rsid w:val="007250A5"/>
    <w:rsid w:val="007E4FE1"/>
    <w:rsid w:val="007F284F"/>
    <w:rsid w:val="00962CAA"/>
    <w:rsid w:val="00B41B24"/>
    <w:rsid w:val="00C62D5C"/>
    <w:rsid w:val="00C64622"/>
    <w:rsid w:val="00CA6D74"/>
    <w:rsid w:val="00CD6C30"/>
    <w:rsid w:val="00D52377"/>
    <w:rsid w:val="00E03EF9"/>
    <w:rsid w:val="00E9029A"/>
    <w:rsid w:val="00FD6553"/>
    <w:rsid w:val="05424FA2"/>
    <w:rsid w:val="06F85879"/>
    <w:rsid w:val="09820899"/>
    <w:rsid w:val="0AC929C9"/>
    <w:rsid w:val="0C812F0F"/>
    <w:rsid w:val="0CB90742"/>
    <w:rsid w:val="0CD73A13"/>
    <w:rsid w:val="0CFE2145"/>
    <w:rsid w:val="1103497B"/>
    <w:rsid w:val="14DF13D5"/>
    <w:rsid w:val="16194DF2"/>
    <w:rsid w:val="17106301"/>
    <w:rsid w:val="17582D40"/>
    <w:rsid w:val="17F33472"/>
    <w:rsid w:val="18937854"/>
    <w:rsid w:val="1A404126"/>
    <w:rsid w:val="1D771E84"/>
    <w:rsid w:val="1E180439"/>
    <w:rsid w:val="1ED974D6"/>
    <w:rsid w:val="1F106C20"/>
    <w:rsid w:val="202B4546"/>
    <w:rsid w:val="208C502B"/>
    <w:rsid w:val="25AE2108"/>
    <w:rsid w:val="25C120B6"/>
    <w:rsid w:val="27621C1F"/>
    <w:rsid w:val="2A144177"/>
    <w:rsid w:val="2AE95AD2"/>
    <w:rsid w:val="2BFA3F85"/>
    <w:rsid w:val="2D4530C0"/>
    <w:rsid w:val="2FE73D2E"/>
    <w:rsid w:val="31B71515"/>
    <w:rsid w:val="33222EA8"/>
    <w:rsid w:val="339404B5"/>
    <w:rsid w:val="365F5829"/>
    <w:rsid w:val="380F20AB"/>
    <w:rsid w:val="382E361E"/>
    <w:rsid w:val="39E11380"/>
    <w:rsid w:val="3E935630"/>
    <w:rsid w:val="3FE958D4"/>
    <w:rsid w:val="403512F3"/>
    <w:rsid w:val="41E023C2"/>
    <w:rsid w:val="41F31D20"/>
    <w:rsid w:val="43EA2775"/>
    <w:rsid w:val="484B61E7"/>
    <w:rsid w:val="4C5B0F08"/>
    <w:rsid w:val="504D16E8"/>
    <w:rsid w:val="51542D17"/>
    <w:rsid w:val="53FB0C25"/>
    <w:rsid w:val="54793854"/>
    <w:rsid w:val="556847F9"/>
    <w:rsid w:val="57475BA1"/>
    <w:rsid w:val="58D80259"/>
    <w:rsid w:val="5A1C3D99"/>
    <w:rsid w:val="5B5A3B3F"/>
    <w:rsid w:val="5BF915E4"/>
    <w:rsid w:val="611D31B8"/>
    <w:rsid w:val="637A05F5"/>
    <w:rsid w:val="63B11FA0"/>
    <w:rsid w:val="63F60E4E"/>
    <w:rsid w:val="649F2FC5"/>
    <w:rsid w:val="66362946"/>
    <w:rsid w:val="67D010F2"/>
    <w:rsid w:val="6B55341C"/>
    <w:rsid w:val="6E44555C"/>
    <w:rsid w:val="746D7731"/>
    <w:rsid w:val="791E0F5E"/>
    <w:rsid w:val="7954140B"/>
    <w:rsid w:val="7A7B5CE5"/>
    <w:rsid w:val="7C8C4974"/>
    <w:rsid w:val="7D510C85"/>
    <w:rsid w:val="7FD84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lang w:val="en-US" w:eastAsia="zh-CN" w:bidi="ar-SA"/>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annotation text"/>
    <w:basedOn w:val="1"/>
    <w:qFormat/>
    <w:uiPriority w:val="0"/>
  </w:style>
  <w:style w:type="paragraph" w:styleId="4">
    <w:name w:val="index 6"/>
    <w:basedOn w:val="1"/>
    <w:next w:val="1"/>
    <w:qFormat/>
    <w:uiPriority w:val="0"/>
    <w:pPr>
      <w:ind w:left="2100"/>
      <w:jc w:val="both"/>
    </w:pPr>
    <w:rPr>
      <w:rFonts w:ascii="黑体" w:eastAsia="黑体"/>
      <w:kern w:val="2"/>
      <w:sz w:val="33"/>
      <w:szCs w:val="33"/>
    </w:rPr>
  </w:style>
  <w:style w:type="paragraph" w:styleId="5">
    <w:name w:val="Body Text"/>
    <w:basedOn w:val="1"/>
    <w:qFormat/>
    <w:uiPriority w:val="0"/>
  </w:style>
  <w:style w:type="paragraph" w:styleId="6">
    <w:name w:val="Body Text Indent"/>
    <w:basedOn w:val="1"/>
    <w:next w:val="1"/>
    <w:qFormat/>
    <w:uiPriority w:val="0"/>
    <w:pPr>
      <w:spacing w:after="120"/>
      <w:ind w:left="420" w:leftChars="200"/>
    </w:pPr>
  </w:style>
  <w:style w:type="paragraph" w:styleId="7">
    <w:name w:val="Balloon Text"/>
    <w:basedOn w:val="1"/>
    <w:link w:val="22"/>
    <w:qFormat/>
    <w:uiPriority w:val="0"/>
    <w:rPr>
      <w:sz w:val="18"/>
      <w:szCs w:val="18"/>
    </w:rPr>
  </w:style>
  <w:style w:type="paragraph" w:styleId="8">
    <w:name w:val="footer"/>
    <w:basedOn w:val="1"/>
    <w:link w:val="21"/>
    <w:qFormat/>
    <w:uiPriority w:val="99"/>
    <w:pPr>
      <w:tabs>
        <w:tab w:val="center" w:pos="4153"/>
        <w:tab w:val="right" w:pos="8306"/>
      </w:tabs>
      <w:snapToGrid w:val="0"/>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pPr>
    <w:rPr>
      <w:rFonts w:ascii="宋体" w:hAnsi="宋体" w:cs="宋体"/>
      <w:sz w:val="24"/>
    </w:rPr>
  </w:style>
  <w:style w:type="paragraph" w:styleId="11">
    <w:name w:val="Body Text First Indent 2"/>
    <w:basedOn w:val="1"/>
    <w:qFormat/>
    <w:uiPriority w:val="0"/>
    <w:pPr>
      <w:spacing w:after="120"/>
    </w:pPr>
    <w:rPr>
      <w:sz w:val="28"/>
      <w:szCs w:val="21"/>
    </w:rPr>
  </w:style>
  <w:style w:type="character" w:styleId="14">
    <w:name w:val="Strong"/>
    <w:qFormat/>
    <w:uiPriority w:val="0"/>
    <w:rPr>
      <w:b/>
      <w:bCs/>
    </w:rPr>
  </w:style>
  <w:style w:type="paragraph" w:customStyle="1" w:styleId="15">
    <w:name w:val="标题 5（有编号）（绿盟科技）"/>
    <w:basedOn w:val="1"/>
    <w:next w:val="16"/>
    <w:qFormat/>
    <w:uiPriority w:val="0"/>
    <w:pPr>
      <w:keepNext/>
      <w:keepLines/>
      <w:numPr>
        <w:ilvl w:val="4"/>
        <w:numId w:val="1"/>
      </w:numPr>
      <w:spacing w:before="280" w:after="156" w:line="377" w:lineRule="auto"/>
      <w:outlineLvl w:val="4"/>
    </w:pPr>
    <w:rPr>
      <w:rFonts w:ascii="Arial" w:hAnsi="Arial" w:eastAsia="黑体"/>
      <w:b/>
      <w:sz w:val="24"/>
      <w:szCs w:val="28"/>
    </w:rPr>
  </w:style>
  <w:style w:type="paragraph" w:customStyle="1" w:styleId="1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7">
    <w:name w:val="图表目录1"/>
    <w:basedOn w:val="18"/>
    <w:next w:val="1"/>
    <w:qFormat/>
    <w:uiPriority w:val="0"/>
    <w:pPr>
      <w:ind w:left="400" w:leftChars="200" w:hanging="200" w:hangingChars="200"/>
    </w:pPr>
  </w:style>
  <w:style w:type="paragraph" w:customStyle="1" w:styleId="18">
    <w:name w:val="Normal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2"/>
    <w:basedOn w:val="1"/>
    <w:next w:val="1"/>
    <w:qFormat/>
    <w:uiPriority w:val="0"/>
  </w:style>
  <w:style w:type="character" w:customStyle="1" w:styleId="20">
    <w:name w:val="NormalCharacter"/>
    <w:qFormat/>
    <w:uiPriority w:val="0"/>
    <w:rPr>
      <w:rFonts w:ascii="Times New Roman" w:hAnsi="Times New Roman" w:eastAsia="宋体" w:cs="Times New Roman"/>
    </w:rPr>
  </w:style>
  <w:style w:type="character" w:customStyle="1" w:styleId="21">
    <w:name w:val="页脚 字符"/>
    <w:basedOn w:val="13"/>
    <w:link w:val="8"/>
    <w:uiPriority w:val="99"/>
    <w:rPr>
      <w:sz w:val="18"/>
      <w:szCs w:val="18"/>
    </w:rPr>
  </w:style>
  <w:style w:type="character" w:customStyle="1" w:styleId="22">
    <w:name w:val="批注框文本 字符"/>
    <w:basedOn w:val="13"/>
    <w:link w:val="7"/>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1144</Words>
  <Characters>6523</Characters>
  <Lines>54</Lines>
  <Paragraphs>15</Paragraphs>
  <TotalTime>72</TotalTime>
  <ScaleCrop>false</ScaleCrop>
  <LinksUpToDate>false</LinksUpToDate>
  <CharactersWithSpaces>7652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2023-07-26T02:28:00Z</dcterms:created>
  <dc:creator>罗鸿渝</dc:creator>
  <cp:lastModifiedBy>Administrator</cp:lastModifiedBy>
  <cp:lastPrinted>2024-02-23T07:27:00Z</cp:lastPrinted>
  <dcterms:modified xsi:type="dcterms:W3CDTF">2024-03-18T07:22:51Z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2C9979BF07F24545AD629F6F95CEAE97</vt:lpwstr>
  </property>
</Properties>
</file>