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96597"/>
      <w:bookmarkStart w:id="3" w:name="_Toc15377425"/>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9229045"/>
      <w:bookmarkStart w:id="7" w:name="_Toc149229106"/>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End w:id="7"/>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49229107"/>
      <w:bookmarkStart w:id="9" w:name="_Toc149229046"/>
      <w:bookmarkStart w:id="10" w:name="_Toc15396598"/>
      <w:bookmarkStart w:id="11" w:name="_Toc15306268"/>
      <w:bookmarkStart w:id="12" w:name="_Toc15377426"/>
      <w:bookmarkStart w:id="13" w:name="_Toc15378442"/>
      <w:bookmarkStart w:id="14" w:name="_Toc15377194"/>
      <w:bookmarkStart w:id="15" w:name="_Toc15396476"/>
      <w:r>
        <w:rPr>
          <w:rFonts w:hint="eastAsia" w:ascii="方正小标宋简体" w:hAnsi="方正小标宋简体" w:eastAsia="方正小标宋简体" w:cs="方正小标宋简体"/>
          <w:sz w:val="72"/>
          <w:szCs w:val="72"/>
        </w:rPr>
        <w:t>中国共产党米易县委员会宣传部</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49229047"/>
      <w:bookmarkStart w:id="17" w:name="_Toc149229108"/>
      <w:r>
        <w:rPr>
          <w:rFonts w:hint="eastAsia" w:ascii="方正小标宋简体" w:hAnsi="方正小标宋简体" w:eastAsia="方正小标宋简体" w:cs="方正小标宋简体"/>
          <w:sz w:val="72"/>
          <w:szCs w:val="72"/>
        </w:rPr>
        <w:t>部门决算</w:t>
      </w:r>
      <w:bookmarkEnd w:id="10"/>
      <w:bookmarkEnd w:id="11"/>
      <w:bookmarkEnd w:id="12"/>
      <w:bookmarkEnd w:id="13"/>
      <w:bookmarkEnd w:id="14"/>
      <w:bookmarkEnd w:id="15"/>
      <w:bookmarkEnd w:id="16"/>
      <w:bookmarkEnd w:id="1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公开时间：2023年10月2</w:t>
      </w:r>
      <w:r>
        <w:rPr>
          <w:rFonts w:hint="eastAsia"/>
          <w:lang w:val="en-US" w:eastAsia="zh-CN"/>
        </w:rPr>
        <w:t>7</w:t>
      </w:r>
      <w:r>
        <w:rPr>
          <w:rFonts w:hint="eastAsia"/>
        </w:rPr>
        <w:t>日</w:t>
      </w:r>
    </w:p>
    <w:p/>
    <w:p>
      <w:pPr>
        <w:pStyle w:val="14"/>
        <w:tabs>
          <w:tab w:val="right" w:leader="dot" w:pos="8296"/>
        </w:tabs>
        <w:spacing w:before="93"/>
        <w:rPr>
          <w:rFonts w:eastAsiaTheme="minorEastAsia" w:cstheme="minorBidi"/>
          <w:b w:val="0"/>
          <w:bCs w:val="0"/>
          <w:caps w:val="0"/>
          <w:sz w:val="21"/>
          <w:szCs w:val="22"/>
        </w:rPr>
      </w:pPr>
      <w:r>
        <w:rPr>
          <w:sz w:val="24"/>
        </w:rPr>
        <w:fldChar w:fldCharType="begin"/>
      </w:r>
      <w:r>
        <w:rPr>
          <w:sz w:val="24"/>
        </w:rPr>
        <w:instrText xml:space="preserve"> </w:instrText>
      </w:r>
      <w:r>
        <w:rPr>
          <w:rFonts w:hint="eastAsia"/>
          <w:sz w:val="24"/>
        </w:rPr>
        <w:instrText xml:space="preserve">TOC \o "1-3" \h \z \u</w:instrText>
      </w:r>
      <w:r>
        <w:rPr>
          <w:sz w:val="24"/>
        </w:rPr>
        <w:instrText xml:space="preserve"> </w:instrText>
      </w:r>
      <w:r>
        <w:rPr>
          <w:sz w:val="24"/>
        </w:rPr>
        <w:fldChar w:fldCharType="separate"/>
      </w:r>
    </w:p>
    <w:p>
      <w:pPr>
        <w:pStyle w:val="14"/>
        <w:tabs>
          <w:tab w:val="right" w:leader="dot" w:pos="8296"/>
        </w:tabs>
        <w:rPr>
          <w:rFonts w:eastAsiaTheme="minorEastAsia" w:cstheme="minorBidi"/>
          <w:b w:val="0"/>
          <w:bCs w:val="0"/>
          <w:caps w:val="0"/>
          <w:sz w:val="21"/>
          <w:szCs w:val="22"/>
        </w:rPr>
      </w:pPr>
      <w:r>
        <w:fldChar w:fldCharType="begin"/>
      </w:r>
      <w:r>
        <w:instrText xml:space="preserve"> HYPERLINK \l "_Toc149229109" </w:instrText>
      </w:r>
      <w:r>
        <w:fldChar w:fldCharType="separate"/>
      </w:r>
      <w:r>
        <w:rPr>
          <w:rStyle w:val="23"/>
          <w:rFonts w:hint="eastAsia" w:ascii="黑体" w:hAnsi="黑体" w:eastAsia="黑体"/>
        </w:rPr>
        <w:t>第一部分</w:t>
      </w:r>
      <w:r>
        <w:rPr>
          <w:rStyle w:val="23"/>
          <w:rFonts w:ascii="黑体" w:hAnsi="黑体" w:eastAsia="黑体"/>
        </w:rPr>
        <w:t xml:space="preserve"> </w:t>
      </w:r>
      <w:r>
        <w:rPr>
          <w:rStyle w:val="23"/>
          <w:rFonts w:hint="eastAsia" w:ascii="黑体" w:hAnsi="黑体" w:eastAsia="黑体"/>
        </w:rPr>
        <w:t>部门概况</w:t>
      </w:r>
      <w:r>
        <w:tab/>
      </w:r>
      <w:r>
        <w:fldChar w:fldCharType="begin"/>
      </w:r>
      <w:r>
        <w:instrText xml:space="preserve"> PAGEREF _Toc149229109 \h </w:instrText>
      </w:r>
      <w:r>
        <w:fldChar w:fldCharType="separate"/>
      </w:r>
      <w:r>
        <w:t>3</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"_Toc149229110" </w:instrText>
      </w:r>
      <w:r>
        <w:fldChar w:fldCharType="separate"/>
      </w:r>
      <w:r>
        <w:rPr>
          <w:rStyle w:val="23"/>
          <w:rFonts w:hint="eastAsia" w:ascii="黑体" w:hAnsi="黑体" w:eastAsia="黑体"/>
        </w:rPr>
        <w:t>一、基本职能及主要工作</w:t>
      </w:r>
      <w:r>
        <w:tab/>
      </w:r>
      <w:r>
        <w:fldChar w:fldCharType="begin"/>
      </w:r>
      <w:r>
        <w:instrText xml:space="preserve"> PAGEREF _Toc149229110 \h </w:instrText>
      </w:r>
      <w:r>
        <w:fldChar w:fldCharType="separate"/>
      </w:r>
      <w:r>
        <w:t>3</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"_Toc149229117" </w:instrText>
      </w:r>
      <w:r>
        <w:fldChar w:fldCharType="separate"/>
      </w:r>
      <w:r>
        <w:rPr>
          <w:rStyle w:val="23"/>
          <w:rFonts w:hint="eastAsia" w:ascii="黑体" w:eastAsia="黑体"/>
        </w:rPr>
        <w:t>二、</w:t>
      </w:r>
      <w:r>
        <w:rPr>
          <w:rStyle w:val="23"/>
          <w:rFonts w:hint="eastAsia" w:ascii="黑体" w:hAnsi="黑体" w:eastAsia="黑体"/>
        </w:rPr>
        <w:t>机构设置</w:t>
      </w:r>
      <w:r>
        <w:tab/>
      </w:r>
      <w:r>
        <w:fldChar w:fldCharType="begin"/>
      </w:r>
      <w:r>
        <w:instrText xml:space="preserve"> PAGEREF _Toc149229117 \h </w:instrText>
      </w:r>
      <w:r>
        <w:fldChar w:fldCharType="separate"/>
      </w:r>
      <w:r>
        <w:t>6</w:t>
      </w:r>
      <w:r>
        <w:fldChar w:fldCharType="end"/>
      </w:r>
      <w:r>
        <w:fldChar w:fldCharType="end"/>
      </w:r>
    </w:p>
    <w:p>
      <w:pPr>
        <w:pStyle w:val="14"/>
        <w:tabs>
          <w:tab w:val="right" w:leader="dot" w:pos="8296"/>
        </w:tabs>
        <w:rPr>
          <w:rFonts w:eastAsiaTheme="minorEastAsia" w:cstheme="minorBidi"/>
          <w:b w:val="0"/>
          <w:bCs w:val="0"/>
          <w:caps w:val="0"/>
          <w:sz w:val="21"/>
          <w:szCs w:val="22"/>
        </w:rPr>
      </w:pPr>
      <w:r>
        <w:fldChar w:fldCharType="begin"/>
      </w:r>
      <w:r>
        <w:instrText xml:space="preserve"> HYPERLINK \l "_Toc149229118" </w:instrText>
      </w:r>
      <w:r>
        <w:fldChar w:fldCharType="separate"/>
      </w:r>
      <w:r>
        <w:rPr>
          <w:rStyle w:val="23"/>
          <w:rFonts w:hint="eastAsia" w:ascii="黑体" w:hAnsi="黑体" w:eastAsia="黑体"/>
        </w:rPr>
        <w:t>第二部分</w:t>
      </w:r>
      <w:r>
        <w:rPr>
          <w:rStyle w:val="23"/>
          <w:rFonts w:ascii="黑体" w:hAnsi="黑体" w:eastAsia="黑体"/>
        </w:rPr>
        <w:t xml:space="preserve"> 2022</w:t>
      </w:r>
      <w:r>
        <w:rPr>
          <w:rStyle w:val="23"/>
          <w:rFonts w:hint="eastAsia" w:ascii="黑体" w:hAnsi="黑体" w:eastAsia="黑体"/>
        </w:rPr>
        <w:t>年度部门决算情况说明</w:t>
      </w:r>
      <w:r>
        <w:tab/>
      </w:r>
      <w:r>
        <w:fldChar w:fldCharType="begin"/>
      </w:r>
      <w:r>
        <w:instrText xml:space="preserve"> PAGEREF _Toc149229118 \h </w:instrText>
      </w:r>
      <w:r>
        <w:fldChar w:fldCharType="separate"/>
      </w:r>
      <w:r>
        <w:t>7</w:t>
      </w:r>
      <w:r>
        <w:fldChar w:fldCharType="end"/>
      </w:r>
      <w:r>
        <w:fldChar w:fldCharType="end"/>
      </w:r>
    </w:p>
    <w:p>
      <w:pPr>
        <w:pStyle w:val="17"/>
        <w:tabs>
          <w:tab w:val="left" w:pos="840"/>
          <w:tab w:val="right" w:leader="dot" w:pos="8296"/>
        </w:tabs>
        <w:rPr>
          <w:rFonts w:eastAsiaTheme="minorEastAsia" w:cstheme="minorBidi"/>
          <w:smallCaps w:val="0"/>
          <w:sz w:val="21"/>
          <w:szCs w:val="22"/>
        </w:rPr>
      </w:pPr>
      <w:r>
        <w:fldChar w:fldCharType="begin"/>
      </w:r>
      <w:r>
        <w:instrText xml:space="preserve"> HYPERLINK \l "_Toc149229119" </w:instrText>
      </w:r>
      <w:r>
        <w:fldChar w:fldCharType="separate"/>
      </w:r>
      <w:r>
        <w:rPr>
          <w:rStyle w:val="23"/>
          <w:rFonts w:hint="eastAsia" w:ascii="黑体" w:hAnsi="黑体" w:eastAsia="黑体" w:cstheme="majorBidi"/>
          <w:bCs/>
        </w:rPr>
        <w:t>一、</w:t>
      </w:r>
      <w:r>
        <w:rPr>
          <w:rFonts w:eastAsiaTheme="minorEastAsia" w:cstheme="minorBidi"/>
          <w:smallCaps w:val="0"/>
          <w:sz w:val="21"/>
          <w:szCs w:val="22"/>
        </w:rPr>
        <w:tab/>
      </w:r>
      <w:r>
        <w:rPr>
          <w:rStyle w:val="23"/>
          <w:rFonts w:hint="eastAsia" w:ascii="黑体" w:hAnsi="黑体" w:eastAsia="黑体"/>
        </w:rPr>
        <w:t>收</w:t>
      </w:r>
      <w:r>
        <w:rPr>
          <w:rStyle w:val="23"/>
          <w:rFonts w:hint="eastAsia" w:ascii="黑体" w:hAnsi="黑体" w:eastAsia="黑体" w:cstheme="majorBidi"/>
          <w:bCs/>
        </w:rPr>
        <w:t>入支出决算总体情况说明</w:t>
      </w:r>
      <w:r>
        <w:tab/>
      </w:r>
      <w:r>
        <w:fldChar w:fldCharType="begin"/>
      </w:r>
      <w:r>
        <w:instrText xml:space="preserve"> PAGEREF _Toc149229119 \h </w:instrText>
      </w:r>
      <w:r>
        <w:fldChar w:fldCharType="separate"/>
      </w:r>
      <w:r>
        <w:t>7</w:t>
      </w:r>
      <w:r>
        <w:fldChar w:fldCharType="end"/>
      </w:r>
      <w:r>
        <w:fldChar w:fldCharType="end"/>
      </w:r>
    </w:p>
    <w:p>
      <w:pPr>
        <w:pStyle w:val="17"/>
        <w:tabs>
          <w:tab w:val="left" w:pos="840"/>
          <w:tab w:val="right" w:leader="dot" w:pos="8296"/>
        </w:tabs>
        <w:rPr>
          <w:rFonts w:eastAsiaTheme="minorEastAsia" w:cstheme="minorBidi"/>
          <w:smallCaps w:val="0"/>
          <w:sz w:val="21"/>
          <w:szCs w:val="22"/>
        </w:rPr>
      </w:pPr>
      <w:r>
        <w:fldChar w:fldCharType="begin"/>
      </w:r>
      <w:r>
        <w:instrText xml:space="preserve"> HYPERLINK \l "_Toc149229120" </w:instrText>
      </w:r>
      <w:r>
        <w:fldChar w:fldCharType="separate"/>
      </w:r>
      <w:r>
        <w:rPr>
          <w:rStyle w:val="23"/>
          <w:rFonts w:hint="eastAsia" w:ascii="黑体" w:hAnsi="黑体" w:eastAsia="黑体" w:cstheme="majorBidi"/>
          <w:bCs/>
        </w:rPr>
        <w:t>二、</w:t>
      </w:r>
      <w:r>
        <w:rPr>
          <w:rFonts w:eastAsiaTheme="minorEastAsia" w:cstheme="minorBidi"/>
          <w:smallCaps w:val="0"/>
          <w:sz w:val="21"/>
          <w:szCs w:val="22"/>
        </w:rPr>
        <w:tab/>
      </w:r>
      <w:r>
        <w:rPr>
          <w:rStyle w:val="23"/>
          <w:rFonts w:hint="eastAsia" w:ascii="黑体" w:hAnsi="黑体" w:eastAsia="黑体"/>
        </w:rPr>
        <w:t>收</w:t>
      </w:r>
      <w:r>
        <w:rPr>
          <w:rStyle w:val="23"/>
          <w:rFonts w:hint="eastAsia" w:ascii="黑体" w:hAnsi="黑体" w:eastAsia="黑体" w:cstheme="majorBidi"/>
          <w:bCs/>
        </w:rPr>
        <w:t>入决算情况说明</w:t>
      </w:r>
      <w:r>
        <w:tab/>
      </w:r>
      <w:r>
        <w:fldChar w:fldCharType="begin"/>
      </w:r>
      <w:r>
        <w:instrText xml:space="preserve"> PAGEREF _Toc149229120 \h </w:instrText>
      </w:r>
      <w:r>
        <w:fldChar w:fldCharType="separate"/>
      </w:r>
      <w:r>
        <w:t>7</w:t>
      </w:r>
      <w:r>
        <w:fldChar w:fldCharType="end"/>
      </w:r>
      <w:r>
        <w:fldChar w:fldCharType="end"/>
      </w:r>
    </w:p>
    <w:p>
      <w:pPr>
        <w:pStyle w:val="17"/>
        <w:tabs>
          <w:tab w:val="left" w:pos="840"/>
          <w:tab w:val="right" w:leader="dot" w:pos="8296"/>
        </w:tabs>
        <w:rPr>
          <w:rFonts w:eastAsiaTheme="minorEastAsia" w:cstheme="minorBidi"/>
          <w:smallCaps w:val="0"/>
          <w:sz w:val="21"/>
          <w:szCs w:val="22"/>
        </w:rPr>
      </w:pPr>
      <w:r>
        <w:fldChar w:fldCharType="begin"/>
      </w:r>
      <w:r>
        <w:instrText xml:space="preserve"> HYPERLINK \l "_Toc149229122" </w:instrText>
      </w:r>
      <w:r>
        <w:fldChar w:fldCharType="separate"/>
      </w:r>
      <w:r>
        <w:rPr>
          <w:rStyle w:val="23"/>
          <w:rFonts w:hint="eastAsia" w:ascii="黑体" w:hAnsi="黑体" w:eastAsia="黑体" w:cstheme="majorBidi"/>
          <w:bCs/>
        </w:rPr>
        <w:t>三、</w:t>
      </w:r>
      <w:r>
        <w:rPr>
          <w:rFonts w:eastAsiaTheme="minorEastAsia" w:cstheme="minorBidi"/>
          <w:smallCaps w:val="0"/>
          <w:sz w:val="21"/>
          <w:szCs w:val="22"/>
        </w:rPr>
        <w:tab/>
      </w:r>
      <w:r>
        <w:rPr>
          <w:rStyle w:val="23"/>
          <w:rFonts w:hint="eastAsia" w:ascii="黑体" w:hAnsi="黑体" w:eastAsia="黑体"/>
        </w:rPr>
        <w:t>支</w:t>
      </w:r>
      <w:r>
        <w:rPr>
          <w:rStyle w:val="23"/>
          <w:rFonts w:hint="eastAsia" w:ascii="黑体" w:hAnsi="黑体" w:eastAsia="黑体" w:cstheme="majorBidi"/>
          <w:bCs/>
        </w:rPr>
        <w:t>出决算情况说明</w:t>
      </w:r>
      <w:bookmarkStart w:id="131" w:name="_GoBack"/>
      <w:bookmarkEnd w:id="131"/>
      <w:r>
        <w:tab/>
      </w:r>
      <w:r>
        <w:fldChar w:fldCharType="begin"/>
      </w:r>
      <w:r>
        <w:instrText xml:space="preserve"> PAGEREF _Toc149229122 \h </w:instrText>
      </w:r>
      <w:r>
        <w:fldChar w:fldCharType="separate"/>
      </w:r>
      <w:r>
        <w:t>8</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"_Toc149229124" </w:instrText>
      </w:r>
      <w:r>
        <w:fldChar w:fldCharType="separate"/>
      </w:r>
      <w:r>
        <w:rPr>
          <w:rStyle w:val="23"/>
          <w:rFonts w:hint="eastAsia" w:ascii="黑体" w:hAnsi="黑体" w:eastAsia="黑体"/>
        </w:rPr>
        <w:t>四、财</w:t>
      </w:r>
      <w:r>
        <w:rPr>
          <w:rStyle w:val="23"/>
          <w:rFonts w:hint="eastAsia" w:ascii="黑体" w:hAnsi="黑体" w:eastAsia="黑体" w:cstheme="majorBidi"/>
          <w:bCs/>
        </w:rPr>
        <w:t>政拨款收入支出决算总体情况说明</w:t>
      </w:r>
      <w:r>
        <w:tab/>
      </w:r>
      <w:r>
        <w:fldChar w:fldCharType="begin"/>
      </w:r>
      <w:r>
        <w:instrText xml:space="preserve"> PAGEREF _Toc149229124 \h </w:instrText>
      </w:r>
      <w:r>
        <w:fldChar w:fldCharType="separate"/>
      </w:r>
      <w:r>
        <w:t>8</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"_Toc149229125" </w:instrText>
      </w:r>
      <w:r>
        <w:fldChar w:fldCharType="separate"/>
      </w:r>
      <w:r>
        <w:rPr>
          <w:rStyle w:val="23"/>
          <w:rFonts w:hint="eastAsia" w:ascii="黑体" w:hAnsi="黑体" w:eastAsia="黑体"/>
        </w:rPr>
        <w:t>五、</w:t>
      </w:r>
      <w:r>
        <w:rPr>
          <w:rStyle w:val="23"/>
          <w:rFonts w:hint="eastAsia" w:ascii="黑体" w:hAnsi="黑体" w:eastAsia="黑体"/>
          <w:b/>
        </w:rPr>
        <w:t>一</w:t>
      </w:r>
      <w:r>
        <w:rPr>
          <w:rStyle w:val="23"/>
          <w:rFonts w:hint="eastAsia" w:ascii="黑体" w:hAnsi="黑体" w:eastAsia="黑体" w:cstheme="majorBidi"/>
          <w:bCs/>
        </w:rPr>
        <w:t>般公共预算财政拨款支出决算情况说明</w:t>
      </w:r>
      <w:r>
        <w:tab/>
      </w:r>
      <w:r>
        <w:fldChar w:fldCharType="begin"/>
      </w:r>
      <w:r>
        <w:instrText xml:space="preserve"> PAGEREF _Toc149229125 \h </w:instrText>
      </w:r>
      <w:r>
        <w:fldChar w:fldCharType="separate"/>
      </w:r>
      <w:r>
        <w:t>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"_Toc149229130" </w:instrText>
      </w:r>
      <w:r>
        <w:fldChar w:fldCharType="separate"/>
      </w:r>
      <w:r>
        <w:rPr>
          <w:rStyle w:val="23"/>
          <w:rFonts w:hint="eastAsia" w:ascii="黑体" w:eastAsia="黑体"/>
        </w:rPr>
        <w:t>六</w:t>
      </w:r>
      <w:r>
        <w:rPr>
          <w:rStyle w:val="23"/>
          <w:rFonts w:hint="eastAsia" w:ascii="黑体" w:eastAsia="黑体"/>
          <w:b/>
        </w:rPr>
        <w:t>、</w:t>
      </w:r>
      <w:r>
        <w:rPr>
          <w:rStyle w:val="23"/>
          <w:rFonts w:hint="eastAsia" w:ascii="黑体" w:hAnsi="黑体" w:eastAsia="黑体"/>
          <w:b/>
        </w:rPr>
        <w:t>一</w:t>
      </w:r>
      <w:r>
        <w:rPr>
          <w:rStyle w:val="23"/>
          <w:rFonts w:hint="eastAsia" w:ascii="黑体" w:hAnsi="黑体" w:eastAsia="黑体" w:cstheme="majorBidi"/>
          <w:bCs/>
        </w:rPr>
        <w:t>般公共预算财政拨款基本支出决算情况说明</w:t>
      </w:r>
      <w:r>
        <w:tab/>
      </w:r>
      <w:r>
        <w:fldChar w:fldCharType="begin"/>
      </w:r>
      <w:r>
        <w:instrText xml:space="preserve"> PAGEREF _Toc149229130 \h </w:instrText>
      </w:r>
      <w:r>
        <w:fldChar w:fldCharType="separate"/>
      </w:r>
      <w:r>
        <w:t>12</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"_Toc149229131" </w:instrText>
      </w:r>
      <w:r>
        <w:fldChar w:fldCharType="separate"/>
      </w:r>
      <w:r>
        <w:rPr>
          <w:rStyle w:val="23"/>
          <w:rFonts w:hint="eastAsia" w:ascii="黑体" w:eastAsia="黑体"/>
        </w:rPr>
        <w:t>七、</w:t>
      </w:r>
      <w:r>
        <w:rPr>
          <w:rStyle w:val="23"/>
          <w:rFonts w:hint="eastAsia" w:ascii="黑体" w:hAnsi="黑体" w:eastAsia="黑体" w:cstheme="majorBidi"/>
          <w:bCs/>
        </w:rPr>
        <w:t>财政拨款</w:t>
      </w:r>
      <w:r>
        <w:rPr>
          <w:rStyle w:val="23"/>
          <w:rFonts w:ascii="黑体" w:hAnsi="黑体" w:eastAsia="黑体" w:cstheme="majorBidi"/>
          <w:b/>
          <w:bCs/>
        </w:rPr>
        <w:t>“</w:t>
      </w:r>
      <w:r>
        <w:rPr>
          <w:rStyle w:val="23"/>
          <w:rFonts w:hint="eastAsia" w:ascii="黑体" w:hAnsi="黑体" w:eastAsia="黑体" w:cstheme="majorBidi"/>
          <w:bCs/>
        </w:rPr>
        <w:t>三公”经费支出决算情况说明</w:t>
      </w:r>
      <w:r>
        <w:tab/>
      </w:r>
      <w:r>
        <w:fldChar w:fldCharType="begin"/>
      </w:r>
      <w:r>
        <w:instrText xml:space="preserve"> PAGEREF _Toc149229131 \h </w:instrText>
      </w:r>
      <w:r>
        <w:fldChar w:fldCharType="separate"/>
      </w:r>
      <w:r>
        <w:t>12</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"_Toc149229134" </w:instrText>
      </w:r>
      <w:r>
        <w:fldChar w:fldCharType="separate"/>
      </w:r>
      <w:r>
        <w:rPr>
          <w:rStyle w:val="23"/>
          <w:rFonts w:hint="eastAsia" w:ascii="黑体" w:eastAsia="黑体"/>
        </w:rPr>
        <w:t>八、</w:t>
      </w:r>
      <w:r>
        <w:rPr>
          <w:rStyle w:val="23"/>
          <w:rFonts w:hint="eastAsia" w:ascii="黑体" w:hAnsi="黑体" w:eastAsia="黑体" w:cstheme="majorBidi"/>
          <w:bCs/>
        </w:rPr>
        <w:t>政府性基金预算支出决算情况说明</w:t>
      </w:r>
      <w:r>
        <w:tab/>
      </w:r>
      <w:r>
        <w:fldChar w:fldCharType="begin"/>
      </w:r>
      <w:r>
        <w:instrText xml:space="preserve"> PAGEREF _Toc149229134 \h </w:instrText>
      </w:r>
      <w:r>
        <w:fldChar w:fldCharType="separate"/>
      </w:r>
      <w:r>
        <w:t>14</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"_Toc149229135" </w:instrText>
      </w:r>
      <w:r>
        <w:fldChar w:fldCharType="separate"/>
      </w:r>
      <w:r>
        <w:rPr>
          <w:rStyle w:val="23"/>
          <w:rFonts w:hint="eastAsia" w:ascii="黑体" w:hAnsi="黑体" w:eastAsia="黑体" w:cstheme="majorBidi"/>
          <w:bCs/>
        </w:rPr>
        <w:t>九、 国有资本经营预算支出决算情况说明</w:t>
      </w:r>
      <w:r>
        <w:tab/>
      </w:r>
      <w:r>
        <w:fldChar w:fldCharType="begin"/>
      </w:r>
      <w:r>
        <w:instrText xml:space="preserve"> PAGEREF _Toc149229135 \h </w:instrText>
      </w:r>
      <w:r>
        <w:fldChar w:fldCharType="separate"/>
      </w:r>
      <w:r>
        <w:t>14</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"_Toc149229136" </w:instrText>
      </w:r>
      <w:r>
        <w:fldChar w:fldCharType="separate"/>
      </w:r>
      <w:r>
        <w:rPr>
          <w:rStyle w:val="23"/>
          <w:rFonts w:hint="eastAsia" w:ascii="黑体" w:hAnsi="黑体" w:eastAsia="黑体" w:cstheme="majorBidi"/>
          <w:bCs/>
        </w:rPr>
        <w:t>十、 其他重要事项的情况说明</w:t>
      </w:r>
      <w:r>
        <w:tab/>
      </w:r>
      <w:r>
        <w:fldChar w:fldCharType="begin"/>
      </w:r>
      <w:r>
        <w:instrText xml:space="preserve"> PAGEREF _Toc149229136 \h </w:instrText>
      </w:r>
      <w:r>
        <w:fldChar w:fldCharType="separate"/>
      </w:r>
      <w:r>
        <w:t>14</w:t>
      </w:r>
      <w:r>
        <w:fldChar w:fldCharType="end"/>
      </w:r>
      <w:r>
        <w:fldChar w:fldCharType="end"/>
      </w:r>
    </w:p>
    <w:p>
      <w:pPr>
        <w:pStyle w:val="14"/>
        <w:tabs>
          <w:tab w:val="right" w:leader="dot" w:pos="8296"/>
        </w:tabs>
        <w:rPr>
          <w:rFonts w:eastAsiaTheme="minorEastAsia" w:cstheme="minorBidi"/>
          <w:b w:val="0"/>
          <w:bCs w:val="0"/>
          <w:caps w:val="0"/>
          <w:sz w:val="21"/>
          <w:szCs w:val="22"/>
        </w:rPr>
      </w:pPr>
      <w:r>
        <w:fldChar w:fldCharType="begin"/>
      </w:r>
      <w:r>
        <w:instrText xml:space="preserve"> HYPERLINK \l "_Toc149229141" </w:instrText>
      </w:r>
      <w:r>
        <w:fldChar w:fldCharType="separate"/>
      </w:r>
      <w:r>
        <w:rPr>
          <w:rStyle w:val="23"/>
          <w:rFonts w:hint="eastAsia" w:ascii="黑体" w:hAnsi="黑体" w:eastAsia="黑体"/>
          <w:kern w:val="44"/>
        </w:rPr>
        <w:t>第三部分</w:t>
      </w:r>
      <w:r>
        <w:rPr>
          <w:rStyle w:val="23"/>
          <w:rFonts w:hint="eastAsia" w:ascii="黑体" w:hAnsi="黑体" w:eastAsia="黑体"/>
        </w:rPr>
        <w:t xml:space="preserve"> 名</w:t>
      </w:r>
      <w:r>
        <w:rPr>
          <w:rStyle w:val="23"/>
          <w:rFonts w:hint="eastAsia" w:ascii="黑体" w:hAnsi="黑体" w:eastAsia="黑体"/>
          <w:kern w:val="44"/>
        </w:rPr>
        <w:t>词解释</w:t>
      </w:r>
      <w:r>
        <w:tab/>
      </w:r>
      <w:r>
        <w:fldChar w:fldCharType="begin"/>
      </w:r>
      <w:r>
        <w:instrText xml:space="preserve"> PAGEREF _Toc149229141 \h </w:instrText>
      </w:r>
      <w:r>
        <w:fldChar w:fldCharType="separate"/>
      </w:r>
      <w:r>
        <w:t>17</w:t>
      </w:r>
      <w:r>
        <w:fldChar w:fldCharType="end"/>
      </w:r>
      <w:r>
        <w:fldChar w:fldCharType="end"/>
      </w:r>
    </w:p>
    <w:p>
      <w:pPr>
        <w:pStyle w:val="14"/>
        <w:tabs>
          <w:tab w:val="right" w:leader="dot" w:pos="8296"/>
        </w:tabs>
        <w:rPr>
          <w:rFonts w:eastAsiaTheme="minorEastAsia" w:cstheme="minorBidi"/>
          <w:b w:val="0"/>
          <w:bCs w:val="0"/>
          <w:caps w:val="0"/>
          <w:sz w:val="21"/>
          <w:szCs w:val="22"/>
        </w:rPr>
      </w:pPr>
      <w:r>
        <w:fldChar w:fldCharType="begin"/>
      </w:r>
      <w:r>
        <w:instrText xml:space="preserve"> HYPERLINK \l "_Toc149229142" </w:instrText>
      </w:r>
      <w:r>
        <w:fldChar w:fldCharType="separate"/>
      </w:r>
      <w:r>
        <w:rPr>
          <w:rStyle w:val="23"/>
          <w:rFonts w:hint="eastAsia" w:ascii="黑体" w:hAnsi="黑体" w:eastAsia="黑体"/>
        </w:rPr>
        <w:t>第</w:t>
      </w:r>
      <w:r>
        <w:rPr>
          <w:rStyle w:val="23"/>
          <w:rFonts w:hint="eastAsia" w:ascii="黑体" w:hAnsi="黑体" w:eastAsia="黑体"/>
          <w:kern w:val="44"/>
        </w:rPr>
        <w:t>四部分</w:t>
      </w:r>
      <w:r>
        <w:rPr>
          <w:rStyle w:val="23"/>
          <w:rFonts w:ascii="黑体" w:hAnsi="黑体" w:eastAsia="黑体"/>
          <w:kern w:val="44"/>
        </w:rPr>
        <w:t xml:space="preserve"> </w:t>
      </w:r>
      <w:r>
        <w:rPr>
          <w:rStyle w:val="23"/>
          <w:rFonts w:hint="eastAsia" w:ascii="黑体" w:hAnsi="黑体" w:eastAsia="黑体"/>
          <w:kern w:val="44"/>
        </w:rPr>
        <w:t>附件</w:t>
      </w:r>
      <w:r>
        <w:tab/>
      </w:r>
      <w:r>
        <w:fldChar w:fldCharType="begin"/>
      </w:r>
      <w:r>
        <w:instrText xml:space="preserve"> PAGEREF _Toc149229142 \h </w:instrText>
      </w:r>
      <w:r>
        <w:fldChar w:fldCharType="separate"/>
      </w:r>
      <w:r>
        <w:t>20</w:t>
      </w:r>
      <w:r>
        <w:fldChar w:fldCharType="end"/>
      </w:r>
      <w:r>
        <w:fldChar w:fldCharType="end"/>
      </w:r>
    </w:p>
    <w:p>
      <w:pPr>
        <w:pStyle w:val="14"/>
        <w:tabs>
          <w:tab w:val="right" w:leader="dot" w:pos="8296"/>
        </w:tabs>
        <w:rPr>
          <w:rFonts w:eastAsiaTheme="minorEastAsia" w:cstheme="minorBidi"/>
          <w:b w:val="0"/>
          <w:bCs w:val="0"/>
          <w:caps w:val="0"/>
          <w:sz w:val="21"/>
          <w:szCs w:val="22"/>
        </w:rPr>
      </w:pPr>
      <w:r>
        <w:fldChar w:fldCharType="begin"/>
      </w:r>
      <w:r>
        <w:instrText xml:space="preserve"> HYPERLINK \l "_Toc149229144" </w:instrText>
      </w:r>
      <w:r>
        <w:fldChar w:fldCharType="separate"/>
      </w:r>
      <w:r>
        <w:rPr>
          <w:rStyle w:val="23"/>
          <w:rFonts w:hint="eastAsia" w:ascii="黑体" w:hAnsi="黑体" w:eastAsia="黑体"/>
        </w:rPr>
        <w:t>第</w:t>
      </w:r>
      <w:r>
        <w:rPr>
          <w:rStyle w:val="23"/>
          <w:rFonts w:hint="eastAsia" w:ascii="黑体" w:hAnsi="黑体" w:eastAsia="黑体"/>
          <w:kern w:val="44"/>
        </w:rPr>
        <w:t>五部分</w:t>
      </w:r>
      <w:r>
        <w:rPr>
          <w:rStyle w:val="23"/>
          <w:rFonts w:ascii="黑体" w:hAnsi="黑体" w:eastAsia="黑体"/>
          <w:kern w:val="44"/>
        </w:rPr>
        <w:t xml:space="preserve"> </w:t>
      </w:r>
      <w:r>
        <w:rPr>
          <w:rStyle w:val="23"/>
          <w:rFonts w:hint="eastAsia" w:ascii="黑体" w:hAnsi="黑体" w:eastAsia="黑体"/>
          <w:kern w:val="44"/>
        </w:rPr>
        <w:t>附表</w:t>
      </w:r>
      <w:r>
        <w:tab/>
      </w:r>
      <w:r>
        <w:fldChar w:fldCharType="begin"/>
      </w:r>
      <w:r>
        <w:instrText xml:space="preserve"> PAGEREF _Toc149229144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"_Toc149229145" </w:instrText>
      </w:r>
      <w:r>
        <w:fldChar w:fldCharType="separate"/>
      </w:r>
      <w:r>
        <w:rPr>
          <w:rStyle w:val="23"/>
          <w:rFonts w:hint="eastAsia" w:ascii="仿宋" w:hAnsi="仿宋" w:eastAsia="仿宋"/>
        </w:rPr>
        <w:t>一、收入支出决算总表</w:t>
      </w:r>
      <w:r>
        <w:tab/>
      </w:r>
      <w:r>
        <w:fldChar w:fldCharType="begin"/>
      </w:r>
      <w:r>
        <w:instrText xml:space="preserve"> PAGEREF _Toc149229145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"_Toc149229146" </w:instrText>
      </w:r>
      <w:r>
        <w:fldChar w:fldCharType="separate"/>
      </w:r>
      <w:r>
        <w:rPr>
          <w:rStyle w:val="23"/>
          <w:rFonts w:hint="eastAsia" w:ascii="仿宋" w:hAnsi="仿宋" w:eastAsia="仿宋"/>
        </w:rPr>
        <w:t>二、收入决算表</w:t>
      </w:r>
      <w:r>
        <w:tab/>
      </w:r>
      <w:r>
        <w:fldChar w:fldCharType="begin"/>
      </w:r>
      <w:r>
        <w:instrText xml:space="preserve"> PAGEREF _Toc149229146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"_Toc149229147" </w:instrText>
      </w:r>
      <w:r>
        <w:fldChar w:fldCharType="separate"/>
      </w:r>
      <w:r>
        <w:rPr>
          <w:rStyle w:val="23"/>
          <w:rFonts w:hint="eastAsia" w:ascii="仿宋" w:hAnsi="仿宋" w:eastAsia="仿宋"/>
        </w:rPr>
        <w:t>三、支出决算表</w:t>
      </w:r>
      <w:r>
        <w:tab/>
      </w:r>
      <w:r>
        <w:fldChar w:fldCharType="begin"/>
      </w:r>
      <w:r>
        <w:instrText xml:space="preserve"> PAGEREF _Toc149229147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"_Toc149229148" </w:instrText>
      </w:r>
      <w:r>
        <w:fldChar w:fldCharType="separate"/>
      </w:r>
      <w:r>
        <w:rPr>
          <w:rStyle w:val="23"/>
          <w:rFonts w:hint="eastAsia" w:ascii="仿宋" w:hAnsi="仿宋" w:eastAsia="仿宋"/>
        </w:rPr>
        <w:t>四、财政拨款收入支出决算总表</w:t>
      </w:r>
      <w:r>
        <w:tab/>
      </w:r>
      <w:r>
        <w:fldChar w:fldCharType="begin"/>
      </w:r>
      <w:r>
        <w:instrText xml:space="preserve"> PAGEREF _Toc149229148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"_Toc149229149" </w:instrText>
      </w:r>
      <w:r>
        <w:fldChar w:fldCharType="separate"/>
      </w:r>
      <w:r>
        <w:rPr>
          <w:rStyle w:val="23"/>
          <w:rFonts w:hint="eastAsia" w:ascii="仿宋" w:hAnsi="仿宋" w:eastAsia="仿宋"/>
        </w:rPr>
        <w:t>五、财政拨款支出决算明细表</w:t>
      </w:r>
      <w:r>
        <w:tab/>
      </w:r>
      <w:r>
        <w:fldChar w:fldCharType="begin"/>
      </w:r>
      <w:r>
        <w:instrText xml:space="preserve"> PAGEREF _Toc149229149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"_Toc149229150" </w:instrText>
      </w:r>
      <w:r>
        <w:fldChar w:fldCharType="separate"/>
      </w:r>
      <w:r>
        <w:rPr>
          <w:rStyle w:val="23"/>
          <w:rFonts w:hint="eastAsia" w:ascii="仿宋" w:hAnsi="仿宋" w:eastAsia="仿宋"/>
        </w:rPr>
        <w:t>六、一般公共预算财政拨款支出决算表</w:t>
      </w:r>
      <w:r>
        <w:tab/>
      </w:r>
      <w:r>
        <w:fldChar w:fldCharType="begin"/>
      </w:r>
      <w:r>
        <w:instrText xml:space="preserve"> PAGEREF _Toc149229150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"_Toc149229151" </w:instrText>
      </w:r>
      <w:r>
        <w:fldChar w:fldCharType="separate"/>
      </w:r>
      <w:r>
        <w:rPr>
          <w:rStyle w:val="23"/>
          <w:rFonts w:hint="eastAsia" w:ascii="仿宋" w:hAnsi="仿宋" w:eastAsia="仿宋"/>
        </w:rPr>
        <w:t>七、一般公共预算财政拨款支出决算明细表</w:t>
      </w:r>
      <w:r>
        <w:tab/>
      </w:r>
      <w:r>
        <w:fldChar w:fldCharType="begin"/>
      </w:r>
      <w:r>
        <w:instrText xml:space="preserve"> PAGEREF _Toc149229151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"_Toc149229152" </w:instrText>
      </w:r>
      <w:r>
        <w:fldChar w:fldCharType="separate"/>
      </w:r>
      <w:r>
        <w:rPr>
          <w:rStyle w:val="23"/>
          <w:rFonts w:hint="eastAsia" w:ascii="仿宋" w:hAnsi="仿宋" w:eastAsia="仿宋"/>
        </w:rPr>
        <w:t>八、一般公共预算财政拨款基本支出决算</w:t>
      </w:r>
      <w:r>
        <w:rPr>
          <w:rStyle w:val="23"/>
          <w:rFonts w:hint="eastAsia" w:ascii="仿宋" w:hAnsi="仿宋" w:eastAsia="仿宋"/>
          <w:lang w:eastAsia="zh-CN"/>
        </w:rPr>
        <w:t>明细</w:t>
      </w:r>
      <w:r>
        <w:rPr>
          <w:rStyle w:val="23"/>
          <w:rFonts w:hint="eastAsia" w:ascii="仿宋" w:hAnsi="仿宋" w:eastAsia="仿宋"/>
        </w:rPr>
        <w:t>表</w:t>
      </w:r>
      <w:r>
        <w:tab/>
      </w:r>
      <w:r>
        <w:fldChar w:fldCharType="begin"/>
      </w:r>
      <w:r>
        <w:instrText xml:space="preserve"> PAGEREF _Toc149229152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"_Toc149229153" </w:instrText>
      </w:r>
      <w:r>
        <w:fldChar w:fldCharType="separate"/>
      </w:r>
      <w:r>
        <w:rPr>
          <w:rStyle w:val="23"/>
          <w:rFonts w:hint="eastAsia" w:ascii="仿宋" w:hAnsi="仿宋" w:eastAsia="仿宋"/>
        </w:rPr>
        <w:t>九、一般公共预算财政拨款项目支出决算表</w:t>
      </w:r>
      <w:r>
        <w:tab/>
      </w:r>
      <w:r>
        <w:fldChar w:fldCharType="begin"/>
      </w:r>
      <w:r>
        <w:instrText xml:space="preserve"> PAGEREF _Toc149229153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"_Toc149229154" </w:instrText>
      </w:r>
      <w:r>
        <w:fldChar w:fldCharType="separate"/>
      </w:r>
      <w:r>
        <w:rPr>
          <w:rStyle w:val="23"/>
          <w:rFonts w:hint="eastAsia" w:ascii="仿宋" w:hAnsi="仿宋" w:eastAsia="仿宋"/>
        </w:rPr>
        <w:t>十、政府性基金预算财政拨款收入支出决算表</w:t>
      </w:r>
      <w:r>
        <w:tab/>
      </w:r>
      <w:r>
        <w:fldChar w:fldCharType="begin"/>
      </w:r>
      <w:r>
        <w:instrText xml:space="preserve"> PAGEREF _Toc149229154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"_Toc149229155" </w:instrText>
      </w:r>
      <w:r>
        <w:fldChar w:fldCharType="separate"/>
      </w:r>
      <w:r>
        <w:rPr>
          <w:rStyle w:val="23"/>
          <w:rFonts w:hint="eastAsia" w:ascii="仿宋" w:hAnsi="仿宋" w:eastAsia="仿宋"/>
        </w:rPr>
        <w:t>十一、国有资本经营预算财政拨款收入支出决算表</w:t>
      </w:r>
      <w:r>
        <w:tab/>
      </w:r>
      <w:r>
        <w:fldChar w:fldCharType="begin"/>
      </w:r>
      <w:r>
        <w:instrText xml:space="preserve"> PAGEREF _Toc149229155 \h </w:instrText>
      </w:r>
      <w:r>
        <w:fldChar w:fldCharType="separate"/>
      </w:r>
      <w:r>
        <w:t>39</w:t>
      </w:r>
      <w:r>
        <w:fldChar w:fldCharType="end"/>
      </w:r>
      <w:r>
        <w:fldChar w:fldCharType="end"/>
      </w:r>
    </w:p>
    <w:p>
      <w:pPr>
        <w:pStyle w:val="17"/>
        <w:tabs>
          <w:tab w:val="right" w:leader="dot" w:pos="8296"/>
        </w:tabs>
        <w:rPr>
          <w:rFonts w:eastAsiaTheme="minorEastAsia" w:cstheme="minorBidi"/>
          <w:smallCaps w:val="0"/>
          <w:sz w:val="21"/>
          <w:szCs w:val="22"/>
        </w:rPr>
      </w:pPr>
      <w:r>
        <w:fldChar w:fldCharType="begin"/>
      </w:r>
      <w:r>
        <w:instrText xml:space="preserve"> HYPERLINK \l "_Toc149229156" </w:instrText>
      </w:r>
      <w:r>
        <w:fldChar w:fldCharType="separate"/>
      </w:r>
      <w:r>
        <w:rPr>
          <w:rStyle w:val="23"/>
          <w:rFonts w:hint="eastAsia" w:ascii="仿宋" w:hAnsi="仿宋" w:eastAsia="仿宋"/>
        </w:rPr>
        <w:t>十二、国有资本经营预算财政拨款支出决算表</w:t>
      </w:r>
      <w:r>
        <w:tab/>
      </w:r>
      <w:r>
        <w:fldChar w:fldCharType="begin"/>
      </w:r>
      <w:r>
        <w:instrText xml:space="preserve"> PAGEREF _Toc149229156 \h </w:instrText>
      </w:r>
      <w:r>
        <w:fldChar w:fldCharType="separate"/>
      </w:r>
      <w:r>
        <w:t>39</w:t>
      </w:r>
      <w:r>
        <w:fldChar w:fldCharType="end"/>
      </w:r>
      <w:r>
        <w:fldChar w:fldCharType="end"/>
      </w:r>
    </w:p>
    <w:p>
      <w:pPr>
        <w:pStyle w:val="17"/>
        <w:tabs>
          <w:tab w:val="right" w:leader="dot" w:pos="8296"/>
        </w:tabs>
        <w:ind w:left="420"/>
        <w:rPr>
          <w:rFonts w:eastAsiaTheme="minorEastAsia" w:cstheme="minorBidi"/>
          <w:smallCaps w:val="0"/>
          <w:sz w:val="21"/>
          <w:szCs w:val="22"/>
        </w:rPr>
      </w:pPr>
      <w:r>
        <w:fldChar w:fldCharType="begin"/>
      </w:r>
      <w:r>
        <w:instrText xml:space="preserve"> HYPERLINK \l "_Toc149229157" </w:instrText>
      </w:r>
      <w:r>
        <w:fldChar w:fldCharType="separate"/>
      </w:r>
      <w:r>
        <w:rPr>
          <w:rStyle w:val="23"/>
          <w:rFonts w:hint="eastAsia" w:ascii="仿宋" w:hAnsi="仿宋" w:eastAsia="仿宋"/>
        </w:rPr>
        <w:t>十三、财政拨款“三公”经费支出决算表</w:t>
      </w:r>
      <w:r>
        <w:tab/>
      </w:r>
      <w:r>
        <w:fldChar w:fldCharType="begin"/>
      </w:r>
      <w:r>
        <w:instrText xml:space="preserve"> PAGEREF _Toc149229157 \h </w:instrText>
      </w:r>
      <w:r>
        <w:fldChar w:fldCharType="separate"/>
      </w:r>
      <w:r>
        <w:t>39</w:t>
      </w:r>
      <w:r>
        <w:fldChar w:fldCharType="end"/>
      </w:r>
      <w:r>
        <w:fldChar w:fldCharType="end"/>
      </w:r>
    </w:p>
    <w:p>
      <w:pPr>
        <w:pStyle w:val="17"/>
        <w:adjustRightInd w:val="0"/>
        <w:snapToGrid w:val="0"/>
        <w:spacing w:line="440" w:lineRule="exact"/>
        <w:rPr>
          <w:rFonts w:ascii="仿宋" w:hAnsi="仿宋" w:eastAsia="仿宋"/>
          <w:sz w:val="24"/>
        </w:rPr>
      </w:pPr>
      <w:r>
        <w:rPr>
          <w:sz w:val="24"/>
        </w:rPr>
        <w:fldChar w:fldCharType="end"/>
      </w:r>
    </w:p>
    <w:p>
      <w:pPr>
        <w:widowControl/>
        <w:spacing w:line="440" w:lineRule="exact"/>
        <w:jc w:val="left"/>
        <w:rPr>
          <w:rFonts w:ascii="仿宋" w:hAnsi="仿宋" w:eastAsia="仿宋"/>
          <w:bCs/>
          <w:kern w:val="44"/>
          <w:sz w:val="24"/>
        </w:rPr>
      </w:pPr>
      <w:bookmarkStart w:id="18" w:name="_Toc15377196"/>
      <w:bookmarkStart w:id="19" w:name="_Toc15396599"/>
      <w:r>
        <w:rPr>
          <w:rFonts w:ascii="仿宋" w:hAnsi="仿宋" w:eastAsia="仿宋"/>
          <w:b/>
          <w:sz w:val="24"/>
        </w:rPr>
        <w:br w:type="page"/>
      </w:r>
    </w:p>
    <w:p>
      <w:pPr>
        <w:pStyle w:val="3"/>
        <w:jc w:val="center"/>
        <w:rPr>
          <w:rStyle w:val="33"/>
          <w:rFonts w:ascii="黑体" w:hAnsi="黑体" w:eastAsia="黑体"/>
          <w:b/>
          <w:bCs w:val="0"/>
        </w:rPr>
      </w:pPr>
      <w:bookmarkStart w:id="20" w:name="_Toc149229109"/>
      <w:r>
        <w:rPr>
          <w:rFonts w:hint="eastAsia" w:ascii="黑体" w:hAnsi="黑体" w:eastAsia="黑体"/>
          <w:b w:val="0"/>
        </w:rPr>
        <w:t xml:space="preserve">第一部分 </w:t>
      </w:r>
      <w:r>
        <w:rPr>
          <w:rStyle w:val="33"/>
          <w:rFonts w:hint="eastAsia" w:ascii="黑体" w:hAnsi="黑体" w:eastAsia="黑体"/>
          <w:b w:val="0"/>
          <w:bCs w:val="0"/>
        </w:rPr>
        <w:t>部门概况</w:t>
      </w:r>
      <w:bookmarkEnd w:id="18"/>
      <w:bookmarkEnd w:id="19"/>
      <w:bookmarkEnd w:id="20"/>
    </w:p>
    <w:p>
      <w:pPr>
        <w:widowControl/>
        <w:jc w:val="left"/>
        <w:rPr>
          <w:rFonts w:ascii="黑体" w:eastAsia="黑体"/>
          <w:sz w:val="32"/>
          <w:szCs w:val="32"/>
        </w:rPr>
      </w:pPr>
    </w:p>
    <w:p>
      <w:pPr>
        <w:pStyle w:val="4"/>
        <w:rPr>
          <w:rFonts w:ascii="黑体" w:hAnsi="黑体" w:eastAsia="黑体"/>
          <w:b w:val="0"/>
        </w:rPr>
      </w:pPr>
      <w:bookmarkStart w:id="21" w:name="_Toc15396600"/>
      <w:bookmarkStart w:id="22" w:name="_Toc15377197"/>
      <w:bookmarkStart w:id="23" w:name="_Toc149229110"/>
      <w:r>
        <w:rPr>
          <w:rFonts w:hint="eastAsia" w:ascii="黑体" w:hAnsi="黑体" w:eastAsia="黑体"/>
          <w:b w:val="0"/>
        </w:rPr>
        <w:t>一、</w:t>
      </w:r>
      <w:bookmarkEnd w:id="21"/>
      <w:bookmarkEnd w:id="22"/>
      <w:r>
        <w:rPr>
          <w:rFonts w:hint="eastAsia" w:ascii="黑体" w:hAnsi="黑体" w:eastAsia="黑体"/>
          <w:b w:val="0"/>
        </w:rPr>
        <w:t>基本职能及主要工作</w:t>
      </w:r>
      <w:bookmarkEnd w:id="23"/>
    </w:p>
    <w:p>
      <w:pPr>
        <w:rPr>
          <w:rFonts w:ascii="楷体" w:hAnsi="楷体" w:eastAsia="楷体"/>
          <w:sz w:val="32"/>
          <w:szCs w:val="32"/>
        </w:rPr>
      </w:pPr>
      <w:r>
        <w:rPr>
          <w:rFonts w:hint="eastAsia" w:ascii="楷体" w:hAnsi="楷体" w:eastAsia="楷体"/>
          <w:sz w:val="32"/>
          <w:szCs w:val="32"/>
        </w:rPr>
        <w:t>（一）主要职能</w:t>
      </w:r>
    </w:p>
    <w:p>
      <w:pPr>
        <w:pStyle w:val="2"/>
        <w:adjustRightInd w:val="0"/>
        <w:snapToGrid w:val="0"/>
        <w:spacing w:beforeLines="0" w:line="600" w:lineRule="exact"/>
        <w:ind w:firstLine="640" w:firstLineChars="200"/>
        <w:outlineLvl w:val="2"/>
        <w:rPr>
          <w:rFonts w:ascii="Times New Roman" w:eastAsia="仿宋"/>
          <w:bCs/>
          <w:sz w:val="32"/>
          <w:szCs w:val="32"/>
        </w:rPr>
      </w:pPr>
      <w:bookmarkStart w:id="24" w:name="_Toc117519041"/>
      <w:bookmarkStart w:id="25" w:name="_Toc149229111"/>
      <w:r>
        <w:rPr>
          <w:rFonts w:ascii="Times New Roman" w:eastAsia="仿宋"/>
          <w:bCs/>
          <w:sz w:val="32"/>
          <w:szCs w:val="32"/>
        </w:rPr>
        <w:t>1.负责组织、指导全县理论研究、理论学习、理论宣传和社会科学规划的工作。</w:t>
      </w:r>
      <w:bookmarkEnd w:id="24"/>
      <w:bookmarkEnd w:id="25"/>
    </w:p>
    <w:p>
      <w:pPr>
        <w:pStyle w:val="2"/>
        <w:adjustRightInd w:val="0"/>
        <w:snapToGrid w:val="0"/>
        <w:spacing w:beforeLines="0" w:line="600" w:lineRule="exact"/>
        <w:ind w:firstLine="640" w:firstLineChars="200"/>
        <w:outlineLvl w:val="2"/>
        <w:rPr>
          <w:rFonts w:ascii="Times New Roman" w:eastAsia="仿宋"/>
          <w:bCs/>
          <w:sz w:val="32"/>
          <w:szCs w:val="32"/>
        </w:rPr>
      </w:pPr>
      <w:bookmarkStart w:id="26" w:name="_Toc117519042"/>
      <w:bookmarkStart w:id="27" w:name="_Toc149229112"/>
      <w:r>
        <w:rPr>
          <w:rFonts w:ascii="Times New Roman" w:eastAsia="仿宋"/>
          <w:bCs/>
          <w:sz w:val="32"/>
          <w:szCs w:val="32"/>
        </w:rPr>
        <w:t>2.负责规划、部署全县性的宣传思想工作，会同有关部门研究和改进基层宣传思想工作</w:t>
      </w:r>
      <w:r>
        <w:rPr>
          <w:rFonts w:hint="eastAsia" w:ascii="Times New Roman" w:eastAsia="仿宋"/>
          <w:bCs/>
          <w:sz w:val="32"/>
          <w:szCs w:val="32"/>
        </w:rPr>
        <w:t>；</w:t>
      </w:r>
      <w:r>
        <w:rPr>
          <w:rFonts w:ascii="Times New Roman" w:eastAsia="仿宋"/>
          <w:bCs/>
          <w:sz w:val="32"/>
          <w:szCs w:val="32"/>
        </w:rPr>
        <w:t>负责指导、协调和组织全县社会宣传工作。</w:t>
      </w:r>
      <w:bookmarkEnd w:id="26"/>
      <w:bookmarkEnd w:id="27"/>
    </w:p>
    <w:p>
      <w:pPr>
        <w:pStyle w:val="2"/>
        <w:adjustRightInd w:val="0"/>
        <w:snapToGrid w:val="0"/>
        <w:spacing w:beforeLines="0" w:line="600" w:lineRule="exact"/>
        <w:ind w:firstLine="640" w:firstLineChars="200"/>
        <w:outlineLvl w:val="2"/>
        <w:rPr>
          <w:rFonts w:ascii="Times New Roman" w:eastAsia="仿宋"/>
          <w:bCs/>
          <w:sz w:val="32"/>
          <w:szCs w:val="32"/>
        </w:rPr>
      </w:pPr>
      <w:bookmarkStart w:id="28" w:name="_Toc117519043"/>
      <w:bookmarkStart w:id="29" w:name="_Toc149229113"/>
      <w:r>
        <w:rPr>
          <w:rFonts w:ascii="Times New Roman" w:eastAsia="仿宋"/>
          <w:bCs/>
          <w:sz w:val="32"/>
          <w:szCs w:val="32"/>
        </w:rPr>
        <w:t>3</w:t>
      </w:r>
      <w:r>
        <w:rPr>
          <w:rFonts w:hint="eastAsia" w:ascii="Times New Roman" w:eastAsia="仿宋"/>
          <w:bCs/>
          <w:sz w:val="32"/>
          <w:szCs w:val="32"/>
        </w:rPr>
        <w:t>.</w:t>
      </w:r>
      <w:r>
        <w:rPr>
          <w:rFonts w:ascii="Times New Roman" w:eastAsia="仿宋"/>
          <w:bCs/>
          <w:sz w:val="32"/>
          <w:szCs w:val="32"/>
        </w:rPr>
        <w:t>负责指导、监督、管理和协调全县新闻宣传、出版工作，对县新闻媒体实施方针政策的指导</w:t>
      </w:r>
      <w:r>
        <w:rPr>
          <w:rFonts w:hint="eastAsia" w:ascii="Times New Roman" w:eastAsia="仿宋"/>
          <w:bCs/>
          <w:sz w:val="32"/>
          <w:szCs w:val="32"/>
        </w:rPr>
        <w:t>；</w:t>
      </w:r>
      <w:r>
        <w:rPr>
          <w:rFonts w:ascii="Times New Roman" w:eastAsia="仿宋"/>
          <w:bCs/>
          <w:sz w:val="32"/>
          <w:szCs w:val="32"/>
        </w:rPr>
        <w:t>负责指导、监督和管理全县网络新闻宣传。联系中央、省、市各级新闻单位。</w:t>
      </w:r>
      <w:bookmarkEnd w:id="28"/>
      <w:bookmarkEnd w:id="29"/>
    </w:p>
    <w:p>
      <w:pPr>
        <w:pStyle w:val="2"/>
        <w:adjustRightInd w:val="0"/>
        <w:snapToGrid w:val="0"/>
        <w:spacing w:beforeLines="0" w:line="600" w:lineRule="exact"/>
        <w:ind w:firstLine="640" w:firstLineChars="200"/>
        <w:outlineLvl w:val="2"/>
        <w:rPr>
          <w:rFonts w:ascii="Times New Roman" w:eastAsia="仿宋"/>
          <w:bCs/>
          <w:sz w:val="32"/>
          <w:szCs w:val="32"/>
        </w:rPr>
      </w:pPr>
      <w:bookmarkStart w:id="30" w:name="_Toc117519044"/>
      <w:bookmarkStart w:id="31" w:name="_Toc149229114"/>
      <w:r>
        <w:rPr>
          <w:rFonts w:ascii="Times New Roman" w:eastAsia="仿宋"/>
          <w:bCs/>
          <w:sz w:val="32"/>
          <w:szCs w:val="32"/>
        </w:rPr>
        <w:t>4.负责全县对外宣传工作的总体规划，组织协调、指导和管理全县的外宣工作。</w:t>
      </w:r>
      <w:bookmarkEnd w:id="30"/>
      <w:bookmarkEnd w:id="31"/>
    </w:p>
    <w:p>
      <w:pPr>
        <w:pStyle w:val="2"/>
        <w:adjustRightInd w:val="0"/>
        <w:snapToGrid w:val="0"/>
        <w:spacing w:beforeLines="0" w:line="600" w:lineRule="exact"/>
        <w:ind w:firstLine="640" w:firstLineChars="200"/>
        <w:outlineLvl w:val="2"/>
        <w:rPr>
          <w:rFonts w:ascii="Times New Roman" w:eastAsia="仿宋"/>
          <w:bCs/>
          <w:sz w:val="32"/>
          <w:szCs w:val="32"/>
        </w:rPr>
      </w:pPr>
      <w:bookmarkStart w:id="32" w:name="_Toc149229115"/>
      <w:bookmarkStart w:id="33" w:name="_Toc117519045"/>
      <w:r>
        <w:rPr>
          <w:rFonts w:ascii="Times New Roman" w:eastAsia="仿宋"/>
          <w:bCs/>
          <w:sz w:val="32"/>
          <w:szCs w:val="32"/>
        </w:rPr>
        <w:t>5.负责从宏观上指导文化艺术工作、精神产品的生产和文化市场的管理，对县文广旅局、县融媒体中心、县文联等宣传思想文化单位有关工作进行协调指导。</w:t>
      </w:r>
      <w:bookmarkEnd w:id="32"/>
      <w:bookmarkEnd w:id="33"/>
    </w:p>
    <w:p>
      <w:pPr>
        <w:pStyle w:val="2"/>
        <w:adjustRightInd w:val="0"/>
        <w:snapToGrid w:val="0"/>
        <w:spacing w:beforeLines="0" w:line="600" w:lineRule="exact"/>
        <w:ind w:firstLine="640" w:firstLineChars="200"/>
        <w:outlineLvl w:val="2"/>
        <w:rPr>
          <w:rFonts w:ascii="Times New Roman" w:eastAsia="仿宋"/>
          <w:bCs/>
          <w:sz w:val="32"/>
          <w:szCs w:val="32"/>
        </w:rPr>
      </w:pPr>
      <w:bookmarkStart w:id="34" w:name="_Toc117519046"/>
      <w:bookmarkStart w:id="35" w:name="_Toc149229116"/>
      <w:r>
        <w:rPr>
          <w:rFonts w:ascii="Times New Roman" w:eastAsia="仿宋"/>
          <w:bCs/>
          <w:sz w:val="32"/>
          <w:szCs w:val="32"/>
        </w:rPr>
        <w:t>6.负责全县群众性精神文明创建工作的规划和组织实施</w:t>
      </w:r>
      <w:r>
        <w:rPr>
          <w:rFonts w:hint="eastAsia" w:ascii="Times New Roman" w:eastAsia="仿宋"/>
          <w:bCs/>
          <w:sz w:val="32"/>
          <w:szCs w:val="32"/>
        </w:rPr>
        <w:t>；</w:t>
      </w:r>
      <w:r>
        <w:rPr>
          <w:rFonts w:ascii="Times New Roman" w:eastAsia="仿宋"/>
          <w:bCs/>
          <w:sz w:val="32"/>
          <w:szCs w:val="32"/>
        </w:rPr>
        <w:t>协调、指导和监督全县文明城市、文明单位、文明村镇、社区、行业、未成年人思想道德建设等各类群众性精神文明创建活动。</w:t>
      </w:r>
      <w:bookmarkEnd w:id="34"/>
      <w:bookmarkEnd w:id="35"/>
    </w:p>
    <w:p>
      <w:pPr>
        <w:rPr>
          <w:rFonts w:eastAsia="仿宋"/>
          <w:bCs/>
          <w:sz w:val="32"/>
          <w:szCs w:val="32"/>
        </w:rPr>
      </w:pPr>
      <w:bookmarkStart w:id="36" w:name="_Toc117519047"/>
      <w:r>
        <w:rPr>
          <w:rFonts w:hint="eastAsia" w:eastAsia="仿宋"/>
          <w:bCs/>
          <w:sz w:val="32"/>
          <w:szCs w:val="32"/>
        </w:rPr>
        <w:t xml:space="preserve">    </w:t>
      </w:r>
      <w:r>
        <w:rPr>
          <w:rFonts w:eastAsia="仿宋"/>
          <w:bCs/>
          <w:sz w:val="32"/>
          <w:szCs w:val="32"/>
        </w:rPr>
        <w:t>7.完成县委交办的其它任务。</w:t>
      </w:r>
      <w:bookmarkEnd w:id="36"/>
    </w:p>
    <w:p>
      <w:pPr>
        <w:pStyle w:val="2"/>
        <w:spacing w:before="93"/>
        <w:rPr>
          <w:rFonts w:ascii="楷体" w:hAnsi="楷体" w:eastAsia="楷体"/>
          <w:kern w:val="2"/>
          <w:sz w:val="32"/>
          <w:szCs w:val="32"/>
        </w:rPr>
      </w:pPr>
      <w:r>
        <w:rPr>
          <w:rFonts w:hint="eastAsia" w:ascii="楷体" w:hAnsi="楷体" w:eastAsia="楷体"/>
          <w:kern w:val="2"/>
          <w:sz w:val="32"/>
          <w:szCs w:val="32"/>
        </w:rPr>
        <w:t>（二）2022年重点工作完成情况</w:t>
      </w:r>
    </w:p>
    <w:p>
      <w:pPr>
        <w:spacing w:line="560" w:lineRule="exact"/>
        <w:ind w:firstLine="640" w:firstLineChars="200"/>
        <w:rPr>
          <w:rFonts w:eastAsia="仿宋"/>
          <w:bCs/>
          <w:sz w:val="32"/>
          <w:szCs w:val="32"/>
        </w:rPr>
      </w:pPr>
      <w:bookmarkStart w:id="37" w:name="_Toc15377200"/>
      <w:bookmarkStart w:id="38" w:name="_Toc15396601"/>
      <w:r>
        <w:rPr>
          <w:rFonts w:hint="eastAsia" w:eastAsia="仿宋"/>
          <w:bCs/>
          <w:sz w:val="32"/>
          <w:szCs w:val="32"/>
        </w:rPr>
        <w:t>1、</w:t>
      </w:r>
      <w:r>
        <w:rPr>
          <w:rFonts w:eastAsia="仿宋"/>
          <w:bCs/>
          <w:sz w:val="32"/>
          <w:szCs w:val="32"/>
        </w:rPr>
        <w:t>制发2022年党委（党组）理论学习中心专题安排意见，</w:t>
      </w:r>
      <w:r>
        <w:rPr>
          <w:rFonts w:hint="eastAsia" w:eastAsia="仿宋"/>
          <w:bCs/>
          <w:sz w:val="32"/>
          <w:szCs w:val="32"/>
        </w:rPr>
        <w:t>县委理论学习中心组带头开展学习11次、集中学习研讨6次，带动</w:t>
      </w:r>
      <w:r>
        <w:rPr>
          <w:rFonts w:eastAsia="仿宋"/>
          <w:bCs/>
          <w:sz w:val="32"/>
          <w:szCs w:val="32"/>
        </w:rPr>
        <w:t>各级</w:t>
      </w:r>
      <w:r>
        <w:rPr>
          <w:rFonts w:hint="eastAsia" w:eastAsia="仿宋"/>
          <w:bCs/>
          <w:sz w:val="32"/>
          <w:szCs w:val="32"/>
        </w:rPr>
        <w:t>党委（党组）</w:t>
      </w:r>
      <w:r>
        <w:rPr>
          <w:rFonts w:eastAsia="仿宋"/>
          <w:bCs/>
          <w:sz w:val="32"/>
          <w:szCs w:val="32"/>
        </w:rPr>
        <w:t>理论学习中心组</w:t>
      </w:r>
      <w:r>
        <w:rPr>
          <w:rFonts w:hint="eastAsia" w:eastAsia="仿宋"/>
          <w:bCs/>
          <w:sz w:val="32"/>
          <w:szCs w:val="32"/>
        </w:rPr>
        <w:t>开展</w:t>
      </w:r>
      <w:r>
        <w:rPr>
          <w:rFonts w:eastAsia="仿宋"/>
          <w:bCs/>
          <w:sz w:val="32"/>
          <w:szCs w:val="32"/>
        </w:rPr>
        <w:t>学习</w:t>
      </w:r>
      <w:r>
        <w:rPr>
          <w:rFonts w:hint="eastAsia" w:eastAsia="仿宋"/>
          <w:bCs/>
          <w:sz w:val="32"/>
          <w:szCs w:val="32"/>
        </w:rPr>
        <w:t>547场。选拔54名党员干部组建列席旁听人员库，开展列席旁听35次。18个县委宣讲分队开展专题宣讲9</w:t>
      </w:r>
      <w:r>
        <w:rPr>
          <w:rFonts w:eastAsia="仿宋"/>
          <w:bCs/>
          <w:sz w:val="32"/>
          <w:szCs w:val="32"/>
        </w:rPr>
        <w:t>00</w:t>
      </w:r>
      <w:r>
        <w:rPr>
          <w:rFonts w:hint="eastAsia" w:eastAsia="仿宋"/>
          <w:bCs/>
          <w:sz w:val="32"/>
          <w:szCs w:val="32"/>
        </w:rPr>
        <w:t>余场次、覆盖群众6万余人次。开设专题专栏，深入宣传各项决策部署。开展线上线下理论宣传宣讲活动，“米易讲堂”基层理论宣讲比赛网络展示评比吸引16万余人次参与。</w:t>
      </w:r>
    </w:p>
    <w:p>
      <w:pPr>
        <w:spacing w:line="560" w:lineRule="exact"/>
        <w:ind w:firstLine="640" w:firstLineChars="200"/>
        <w:rPr>
          <w:rFonts w:eastAsia="仿宋"/>
          <w:bCs/>
          <w:sz w:val="32"/>
          <w:szCs w:val="32"/>
        </w:rPr>
      </w:pPr>
      <w:r>
        <w:rPr>
          <w:rFonts w:hint="eastAsia" w:eastAsia="仿宋"/>
          <w:bCs/>
          <w:sz w:val="32"/>
          <w:szCs w:val="32"/>
        </w:rPr>
        <w:t>2、</w:t>
      </w:r>
      <w:r>
        <w:rPr>
          <w:rFonts w:eastAsia="仿宋"/>
          <w:bCs/>
          <w:sz w:val="32"/>
          <w:szCs w:val="32"/>
        </w:rPr>
        <w:t>联合川报、川台参与重大主题宣传，</w:t>
      </w:r>
      <w:r>
        <w:rPr>
          <w:rFonts w:hint="eastAsia" w:eastAsia="仿宋"/>
          <w:bCs/>
          <w:sz w:val="32"/>
          <w:szCs w:val="32"/>
        </w:rPr>
        <w:t>今年以来累计在中央、省、市主流媒体刊载稿件</w:t>
      </w:r>
      <w:r>
        <w:rPr>
          <w:rFonts w:eastAsia="仿宋"/>
          <w:bCs/>
          <w:sz w:val="32"/>
          <w:szCs w:val="32"/>
        </w:rPr>
        <w:t>1426</w:t>
      </w:r>
      <w:r>
        <w:rPr>
          <w:rFonts w:hint="eastAsia" w:eastAsia="仿宋"/>
          <w:bCs/>
          <w:sz w:val="32"/>
          <w:szCs w:val="32"/>
        </w:rPr>
        <w:t>篇。在县级媒体开设</w:t>
      </w:r>
      <w:r>
        <w:rPr>
          <w:rFonts w:eastAsia="仿宋"/>
          <w:bCs/>
          <w:sz w:val="32"/>
          <w:szCs w:val="32"/>
        </w:rPr>
        <w:t>专栏</w:t>
      </w:r>
      <w:r>
        <w:rPr>
          <w:rFonts w:hint="eastAsia" w:eastAsia="仿宋"/>
          <w:bCs/>
          <w:sz w:val="32"/>
          <w:szCs w:val="32"/>
        </w:rPr>
        <w:t>35</w:t>
      </w:r>
      <w:r>
        <w:rPr>
          <w:rFonts w:eastAsia="仿宋"/>
          <w:bCs/>
          <w:sz w:val="32"/>
          <w:szCs w:val="32"/>
        </w:rPr>
        <w:t>个</w:t>
      </w:r>
      <w:r>
        <w:rPr>
          <w:rFonts w:hint="eastAsia" w:eastAsia="仿宋"/>
          <w:bCs/>
          <w:sz w:val="32"/>
          <w:szCs w:val="32"/>
        </w:rPr>
        <w:t>，拍摄制作宣传推介米易短视频200余个，“学习强国”平台采用稿件、短视频共163条（个）。组织开展群众性宣传教育活动，挖掘聚集本土</w:t>
      </w:r>
      <w:r>
        <w:rPr>
          <w:rFonts w:eastAsia="仿宋"/>
          <w:bCs/>
          <w:sz w:val="32"/>
          <w:szCs w:val="32"/>
        </w:rPr>
        <w:t>10名</w:t>
      </w:r>
      <w:r>
        <w:rPr>
          <w:rFonts w:hint="eastAsia" w:eastAsia="仿宋"/>
          <w:bCs/>
          <w:sz w:val="32"/>
          <w:szCs w:val="32"/>
        </w:rPr>
        <w:t>“</w:t>
      </w:r>
      <w:r>
        <w:rPr>
          <w:rFonts w:eastAsia="仿宋"/>
          <w:bCs/>
          <w:sz w:val="32"/>
          <w:szCs w:val="32"/>
        </w:rPr>
        <w:t>网红</w:t>
      </w:r>
      <w:r>
        <w:rPr>
          <w:rFonts w:hint="eastAsia" w:eastAsia="仿宋"/>
          <w:bCs/>
          <w:sz w:val="32"/>
          <w:szCs w:val="32"/>
        </w:rPr>
        <w:t>”</w:t>
      </w:r>
      <w:r>
        <w:rPr>
          <w:rFonts w:eastAsia="仿宋"/>
          <w:bCs/>
          <w:sz w:val="32"/>
          <w:szCs w:val="32"/>
        </w:rPr>
        <w:t>，引导积极参与传播、点赞米易正能量。</w:t>
      </w:r>
      <w:r>
        <w:rPr>
          <w:rFonts w:hint="eastAsia" w:eastAsia="仿宋"/>
          <w:bCs/>
          <w:sz w:val="32"/>
          <w:szCs w:val="32"/>
        </w:rPr>
        <w:t>“阳光米易”客</w:t>
      </w:r>
      <w:r>
        <w:rPr>
          <w:rFonts w:eastAsia="仿宋"/>
          <w:bCs/>
          <w:sz w:val="32"/>
          <w:szCs w:val="32"/>
        </w:rPr>
        <w:t>户端推送信息4311条</w:t>
      </w:r>
      <w:r>
        <w:rPr>
          <w:rFonts w:hint="eastAsia" w:eastAsia="仿宋"/>
          <w:bCs/>
          <w:sz w:val="32"/>
          <w:szCs w:val="32"/>
        </w:rPr>
        <w:t>，“阳光米易”政</w:t>
      </w:r>
      <w:r>
        <w:rPr>
          <w:rFonts w:eastAsia="仿宋"/>
          <w:bCs/>
          <w:sz w:val="32"/>
          <w:szCs w:val="32"/>
        </w:rPr>
        <w:t>务微信公众号共推送图文信息303期2234条</w:t>
      </w:r>
      <w:r>
        <w:rPr>
          <w:rFonts w:hint="eastAsia" w:eastAsia="仿宋"/>
          <w:bCs/>
          <w:sz w:val="32"/>
          <w:szCs w:val="32"/>
        </w:rPr>
        <w:t>，“阳光米易”</w:t>
      </w:r>
      <w:r>
        <w:rPr>
          <w:rFonts w:eastAsia="仿宋"/>
          <w:bCs/>
          <w:sz w:val="32"/>
          <w:szCs w:val="32"/>
        </w:rPr>
        <w:t>政务微博共推送信息2428条；拍摄制作抖音</w:t>
      </w:r>
      <w:r>
        <w:rPr>
          <w:rFonts w:hint="eastAsia" w:eastAsia="仿宋"/>
          <w:bCs/>
          <w:sz w:val="32"/>
          <w:szCs w:val="32"/>
        </w:rPr>
        <w:t>短视频</w:t>
      </w:r>
      <w:r>
        <w:rPr>
          <w:rFonts w:eastAsia="仿宋"/>
          <w:bCs/>
          <w:sz w:val="32"/>
          <w:szCs w:val="32"/>
        </w:rPr>
        <w:t>300余</w:t>
      </w:r>
      <w:r>
        <w:rPr>
          <w:rFonts w:hint="eastAsia" w:eastAsia="仿宋"/>
          <w:bCs/>
          <w:sz w:val="32"/>
          <w:szCs w:val="32"/>
        </w:rPr>
        <w:t>个</w:t>
      </w:r>
      <w:r>
        <w:rPr>
          <w:rFonts w:eastAsia="仿宋"/>
          <w:bCs/>
          <w:sz w:val="32"/>
          <w:szCs w:val="32"/>
        </w:rPr>
        <w:t>，总观看量达</w:t>
      </w:r>
      <w:r>
        <w:rPr>
          <w:rFonts w:hint="eastAsia" w:eastAsia="仿宋"/>
          <w:bCs/>
          <w:sz w:val="32"/>
          <w:szCs w:val="32"/>
        </w:rPr>
        <w:t>4</w:t>
      </w:r>
      <w:r>
        <w:rPr>
          <w:rFonts w:eastAsia="仿宋"/>
          <w:bCs/>
          <w:sz w:val="32"/>
          <w:szCs w:val="32"/>
        </w:rPr>
        <w:t>00</w:t>
      </w:r>
      <w:r>
        <w:rPr>
          <w:rFonts w:hint="eastAsia" w:eastAsia="仿宋"/>
          <w:bCs/>
          <w:sz w:val="32"/>
          <w:szCs w:val="32"/>
        </w:rPr>
        <w:t>余</w:t>
      </w:r>
      <w:r>
        <w:rPr>
          <w:rFonts w:eastAsia="仿宋"/>
          <w:bCs/>
          <w:sz w:val="32"/>
          <w:szCs w:val="32"/>
        </w:rPr>
        <w:t>万人次；电视台播发新闻1300</w:t>
      </w:r>
      <w:r>
        <w:rPr>
          <w:rFonts w:hint="eastAsia" w:eastAsia="仿宋"/>
          <w:bCs/>
          <w:sz w:val="32"/>
          <w:szCs w:val="32"/>
        </w:rPr>
        <w:t>余</w:t>
      </w:r>
      <w:r>
        <w:rPr>
          <w:rFonts w:eastAsia="仿宋"/>
          <w:bCs/>
          <w:sz w:val="32"/>
          <w:szCs w:val="32"/>
        </w:rPr>
        <w:t>条；制作播出电台节目305期。</w:t>
      </w:r>
    </w:p>
    <w:p>
      <w:pPr>
        <w:spacing w:line="560" w:lineRule="exact"/>
        <w:ind w:firstLine="640" w:firstLineChars="200"/>
        <w:rPr>
          <w:rFonts w:eastAsia="仿宋"/>
          <w:bCs/>
          <w:sz w:val="32"/>
          <w:szCs w:val="32"/>
        </w:rPr>
      </w:pPr>
      <w:r>
        <w:rPr>
          <w:rFonts w:hint="eastAsia" w:eastAsia="仿宋"/>
          <w:bCs/>
          <w:sz w:val="32"/>
          <w:szCs w:val="32"/>
        </w:rPr>
        <w:t>3、制发意识形态工作</w:t>
      </w:r>
      <w:r>
        <w:rPr>
          <w:rFonts w:eastAsia="仿宋"/>
          <w:bCs/>
          <w:sz w:val="32"/>
          <w:szCs w:val="32"/>
        </w:rPr>
        <w:t>6</w:t>
      </w:r>
      <w:r>
        <w:rPr>
          <w:rFonts w:hint="eastAsia" w:eastAsia="仿宋"/>
          <w:bCs/>
          <w:sz w:val="32"/>
          <w:szCs w:val="32"/>
        </w:rPr>
        <w:t>项制度并强化执行落实。组织开展重点领域意识形态分析研判3次，</w:t>
      </w:r>
      <w:r>
        <w:rPr>
          <w:rFonts w:eastAsia="仿宋"/>
          <w:bCs/>
          <w:sz w:val="32"/>
          <w:szCs w:val="32"/>
        </w:rPr>
        <w:t>专项督查</w:t>
      </w:r>
      <w:r>
        <w:rPr>
          <w:rFonts w:hint="eastAsia" w:eastAsia="仿宋"/>
          <w:bCs/>
          <w:sz w:val="32"/>
          <w:szCs w:val="32"/>
        </w:rPr>
        <w:t>1次，实地督查12个党委（党组）。采取线上线下相结合方式开展意识形态工作培训</w:t>
      </w:r>
      <w:r>
        <w:rPr>
          <w:rFonts w:eastAsia="仿宋"/>
          <w:bCs/>
          <w:sz w:val="32"/>
          <w:szCs w:val="32"/>
        </w:rPr>
        <w:t>5</w:t>
      </w:r>
      <w:r>
        <w:rPr>
          <w:rFonts w:hint="eastAsia" w:eastAsia="仿宋"/>
          <w:bCs/>
          <w:sz w:val="32"/>
          <w:szCs w:val="32"/>
        </w:rPr>
        <w:t>期、应知应会测试</w:t>
      </w:r>
      <w:r>
        <w:rPr>
          <w:rFonts w:eastAsia="仿宋"/>
          <w:bCs/>
          <w:sz w:val="32"/>
          <w:szCs w:val="32"/>
        </w:rPr>
        <w:t>5788人次</w:t>
      </w:r>
      <w:r>
        <w:rPr>
          <w:rFonts w:hint="eastAsia" w:eastAsia="仿宋"/>
          <w:bCs/>
          <w:sz w:val="32"/>
          <w:szCs w:val="32"/>
        </w:rPr>
        <w:t>，考察干部意识形态方面情况70人次，审批备案</w:t>
      </w:r>
      <w:r>
        <w:rPr>
          <w:rFonts w:eastAsia="仿宋"/>
          <w:bCs/>
          <w:sz w:val="32"/>
          <w:szCs w:val="32"/>
        </w:rPr>
        <w:t>4件次。</w:t>
      </w:r>
      <w:r>
        <w:rPr>
          <w:rFonts w:hint="eastAsia" w:eastAsia="仿宋"/>
          <w:bCs/>
          <w:sz w:val="32"/>
          <w:szCs w:val="32"/>
        </w:rPr>
        <w:t>成功申报为</w:t>
      </w:r>
      <w:r>
        <w:rPr>
          <w:rFonts w:eastAsia="仿宋"/>
          <w:bCs/>
          <w:sz w:val="32"/>
          <w:szCs w:val="32"/>
        </w:rPr>
        <w:t>四川省数字乡村</w:t>
      </w:r>
      <w:r>
        <w:rPr>
          <w:rFonts w:hint="eastAsia" w:eastAsia="仿宋"/>
          <w:bCs/>
          <w:sz w:val="32"/>
          <w:szCs w:val="32"/>
        </w:rPr>
        <w:t>试点</w:t>
      </w:r>
      <w:r>
        <w:rPr>
          <w:rFonts w:eastAsia="仿宋"/>
          <w:bCs/>
          <w:sz w:val="32"/>
          <w:szCs w:val="32"/>
        </w:rPr>
        <w:t>地区</w:t>
      </w:r>
      <w:r>
        <w:rPr>
          <w:rFonts w:hint="eastAsia" w:eastAsia="仿宋"/>
          <w:bCs/>
          <w:sz w:val="32"/>
          <w:szCs w:val="32"/>
        </w:rPr>
        <w:t>，加快网络综合治理数字化应用场景建设。开展网络安全和网络生态治理联合检查行动3次，落实网络应急响应机制，全县网络安全形势总体平稳向好。</w:t>
      </w:r>
    </w:p>
    <w:p>
      <w:pPr>
        <w:spacing w:line="560" w:lineRule="exact"/>
        <w:ind w:firstLine="660"/>
        <w:jc w:val="left"/>
        <w:rPr>
          <w:rFonts w:eastAsia="仿宋"/>
          <w:bCs/>
          <w:sz w:val="32"/>
          <w:szCs w:val="32"/>
        </w:rPr>
      </w:pPr>
      <w:r>
        <w:rPr>
          <w:rFonts w:hint="eastAsia" w:eastAsia="仿宋"/>
          <w:bCs/>
          <w:sz w:val="32"/>
          <w:szCs w:val="32"/>
        </w:rPr>
        <w:t>4、坚持全县参与、全域创建，细化提升创文点位288个，精心准备网报资料180余项。提高创建标准，投入资金540余万元持续提升创文成果，精心布置景观小品21个，改造提升老旧小区32个，全城全域10米以内可见公益广告，市场超市、医院学校、街道路段规范有序，交通秩序、市容环境提升有力。完成中央文明办对全县28类45个实地点位的复查测评。实现新时代文明实践中心、所、站</w:t>
      </w:r>
      <w:r>
        <w:rPr>
          <w:rFonts w:eastAsia="仿宋"/>
          <w:bCs/>
          <w:sz w:val="32"/>
          <w:szCs w:val="32"/>
        </w:rPr>
        <w:t>100%全</w:t>
      </w:r>
      <w:r>
        <w:rPr>
          <w:rFonts w:hint="eastAsia" w:eastAsia="仿宋"/>
          <w:bCs/>
          <w:sz w:val="32"/>
          <w:szCs w:val="32"/>
        </w:rPr>
        <w:t>覆盖，全县共创建省级文明单位（含最佳）7个、市</w:t>
      </w:r>
      <w:r>
        <w:rPr>
          <w:rFonts w:hint="eastAsia" w:eastAsia="仿宋"/>
          <w:bCs/>
          <w:sz w:val="32"/>
          <w:szCs w:val="32"/>
          <w:lang w:eastAsia="zh-CN"/>
        </w:rPr>
        <w:t>级</w:t>
      </w:r>
      <w:r>
        <w:rPr>
          <w:rFonts w:hint="eastAsia" w:eastAsia="仿宋"/>
          <w:bCs/>
          <w:sz w:val="32"/>
          <w:szCs w:val="32"/>
        </w:rPr>
        <w:t>文明单位（含标兵）54个、县级文明单位33个；创建</w:t>
      </w:r>
      <w:r>
        <w:rPr>
          <w:rFonts w:eastAsia="仿宋"/>
          <w:bCs/>
          <w:sz w:val="32"/>
          <w:szCs w:val="32"/>
        </w:rPr>
        <w:t>全国文明村</w:t>
      </w:r>
      <w:r>
        <w:rPr>
          <w:rFonts w:hint="eastAsia" w:eastAsia="仿宋"/>
          <w:bCs/>
          <w:sz w:val="32"/>
          <w:szCs w:val="32"/>
        </w:rPr>
        <w:t>镇3</w:t>
      </w:r>
      <w:r>
        <w:rPr>
          <w:rFonts w:eastAsia="仿宋"/>
          <w:bCs/>
          <w:sz w:val="32"/>
          <w:szCs w:val="32"/>
        </w:rPr>
        <w:t>个、省级文明村</w:t>
      </w:r>
      <w:r>
        <w:rPr>
          <w:rFonts w:hint="eastAsia" w:eastAsia="仿宋"/>
          <w:bCs/>
          <w:sz w:val="32"/>
          <w:szCs w:val="32"/>
        </w:rPr>
        <w:t>镇5</w:t>
      </w:r>
      <w:r>
        <w:rPr>
          <w:rFonts w:eastAsia="仿宋"/>
          <w:bCs/>
          <w:sz w:val="32"/>
          <w:szCs w:val="32"/>
        </w:rPr>
        <w:t>个</w:t>
      </w:r>
      <w:r>
        <w:rPr>
          <w:rFonts w:hint="eastAsia" w:eastAsia="仿宋"/>
          <w:bCs/>
          <w:sz w:val="32"/>
          <w:szCs w:val="32"/>
        </w:rPr>
        <w:t>、</w:t>
      </w:r>
      <w:r>
        <w:rPr>
          <w:rFonts w:eastAsia="仿宋"/>
          <w:bCs/>
          <w:sz w:val="32"/>
          <w:szCs w:val="32"/>
        </w:rPr>
        <w:t>市</w:t>
      </w:r>
      <w:r>
        <w:rPr>
          <w:rFonts w:hint="eastAsia" w:eastAsia="仿宋"/>
          <w:bCs/>
          <w:sz w:val="32"/>
          <w:szCs w:val="32"/>
        </w:rPr>
        <w:t>级</w:t>
      </w:r>
      <w:r>
        <w:rPr>
          <w:rFonts w:eastAsia="仿宋"/>
          <w:bCs/>
          <w:sz w:val="32"/>
          <w:szCs w:val="32"/>
        </w:rPr>
        <w:t>文明村</w:t>
      </w:r>
      <w:r>
        <w:rPr>
          <w:rFonts w:hint="eastAsia" w:eastAsia="仿宋"/>
          <w:bCs/>
          <w:sz w:val="32"/>
          <w:szCs w:val="32"/>
        </w:rPr>
        <w:t>镇33</w:t>
      </w:r>
      <w:r>
        <w:rPr>
          <w:rFonts w:eastAsia="仿宋"/>
          <w:bCs/>
          <w:sz w:val="32"/>
          <w:szCs w:val="32"/>
        </w:rPr>
        <w:t>个</w:t>
      </w:r>
      <w:r>
        <w:rPr>
          <w:rFonts w:hint="eastAsia" w:eastAsia="仿宋"/>
          <w:bCs/>
          <w:sz w:val="32"/>
          <w:szCs w:val="32"/>
        </w:rPr>
        <w:t>、县级文明村镇35个；</w:t>
      </w:r>
      <w:r>
        <w:rPr>
          <w:rFonts w:eastAsia="仿宋"/>
          <w:bCs/>
          <w:sz w:val="32"/>
          <w:szCs w:val="32"/>
        </w:rPr>
        <w:t>创建省级文明校园1个</w:t>
      </w:r>
      <w:r>
        <w:rPr>
          <w:rFonts w:hint="eastAsia" w:eastAsia="仿宋"/>
          <w:bCs/>
          <w:sz w:val="32"/>
          <w:szCs w:val="32"/>
        </w:rPr>
        <w:t>、</w:t>
      </w:r>
      <w:r>
        <w:rPr>
          <w:rFonts w:eastAsia="仿宋"/>
          <w:bCs/>
          <w:sz w:val="32"/>
          <w:szCs w:val="32"/>
        </w:rPr>
        <w:t>市级文明校园</w:t>
      </w:r>
      <w:r>
        <w:rPr>
          <w:rFonts w:hint="eastAsia" w:eastAsia="仿宋"/>
          <w:bCs/>
          <w:sz w:val="32"/>
          <w:szCs w:val="32"/>
        </w:rPr>
        <w:t>13</w:t>
      </w:r>
      <w:r>
        <w:rPr>
          <w:rFonts w:eastAsia="仿宋"/>
          <w:bCs/>
          <w:sz w:val="32"/>
          <w:szCs w:val="32"/>
        </w:rPr>
        <w:t>个</w:t>
      </w:r>
      <w:r>
        <w:rPr>
          <w:rFonts w:hint="eastAsia" w:eastAsia="仿宋"/>
          <w:bCs/>
          <w:sz w:val="32"/>
          <w:szCs w:val="32"/>
        </w:rPr>
        <w:t>、县级文明校园5个。</w:t>
      </w:r>
    </w:p>
    <w:p>
      <w:pPr>
        <w:spacing w:line="560" w:lineRule="exact"/>
        <w:ind w:firstLine="660"/>
        <w:jc w:val="left"/>
        <w:rPr>
          <w:rFonts w:eastAsia="仿宋"/>
          <w:bCs/>
          <w:sz w:val="32"/>
          <w:szCs w:val="32"/>
        </w:rPr>
      </w:pPr>
      <w:r>
        <w:rPr>
          <w:rFonts w:hint="eastAsia" w:eastAsia="仿宋"/>
          <w:bCs/>
          <w:sz w:val="32"/>
          <w:szCs w:val="32"/>
        </w:rPr>
        <w:t>5、完成第四届米易县道</w:t>
      </w:r>
      <w:r>
        <w:rPr>
          <w:rFonts w:eastAsia="仿宋"/>
          <w:bCs/>
          <w:sz w:val="32"/>
          <w:szCs w:val="32"/>
        </w:rPr>
        <w:t>德模范评选工作，共评选出12名道德模范，向上推荐身边好人12名，其中</w:t>
      </w:r>
      <w:r>
        <w:rPr>
          <w:rFonts w:hint="eastAsia" w:eastAsia="仿宋"/>
          <w:bCs/>
          <w:sz w:val="32"/>
          <w:szCs w:val="32"/>
        </w:rPr>
        <w:t>2</w:t>
      </w:r>
      <w:r>
        <w:rPr>
          <w:rFonts w:eastAsia="仿宋"/>
          <w:bCs/>
          <w:sz w:val="32"/>
          <w:szCs w:val="32"/>
        </w:rPr>
        <w:t>人入选四川好人。</w:t>
      </w:r>
      <w:r>
        <w:rPr>
          <w:rFonts w:hint="eastAsia" w:eastAsia="仿宋"/>
          <w:bCs/>
          <w:sz w:val="32"/>
          <w:szCs w:val="32"/>
        </w:rPr>
        <w:t>创新开展文明单位与村（社区）实践站结对共建模式，为实践站阵地优化、活动开展、志愿服务力量注入新鲜血液。全县共成立新时代文明实践志愿服务队142支，注册志愿者1.2万余人，开展活动1200余场，受益群众达8万余人。</w:t>
      </w:r>
    </w:p>
    <w:p>
      <w:pPr>
        <w:spacing w:line="560" w:lineRule="exact"/>
        <w:ind w:firstLine="660"/>
        <w:jc w:val="left"/>
        <w:rPr>
          <w:rFonts w:eastAsia="仿宋"/>
          <w:bCs/>
          <w:sz w:val="32"/>
          <w:szCs w:val="32"/>
        </w:rPr>
      </w:pPr>
      <w:r>
        <w:rPr>
          <w:rFonts w:hint="eastAsia" w:eastAsia="仿宋"/>
          <w:bCs/>
          <w:sz w:val="32"/>
          <w:szCs w:val="32"/>
        </w:rPr>
        <w:t>6、利用传统节日开展线上线下文艺活动300余场。常态举办“清凉度假·在米易”、“花开四季·相约米易”等系列宣传推介活动，持续打造灯会等春节系</w:t>
      </w:r>
      <w:r>
        <w:rPr>
          <w:rFonts w:eastAsia="仿宋"/>
          <w:bCs/>
          <w:sz w:val="32"/>
          <w:szCs w:val="32"/>
        </w:rPr>
        <w:t>列活动品牌。</w:t>
      </w:r>
      <w:r>
        <w:rPr>
          <w:rFonts w:hint="eastAsia" w:eastAsia="仿宋"/>
          <w:bCs/>
          <w:sz w:val="32"/>
          <w:szCs w:val="32"/>
        </w:rPr>
        <w:t>积极申请中央、省级配套资金，加强农村、社区、学校公益电影放映。打造城市书房点位9个，培育“网红+”业态精品点位1个，储备点位7个。完成作品版权登记880余件，对发行出版单位、出版物市场开展监督管理和行政检查70余家次。结合乡村振兴总体安排部署，成功创建县级样板村镇19个、市级样板村镇3个，争创省级样板镇。</w:t>
      </w:r>
    </w:p>
    <w:p>
      <w:pPr>
        <w:pStyle w:val="4"/>
        <w:rPr>
          <w:rStyle w:val="34"/>
          <w:b w:val="0"/>
          <w:bCs w:val="0"/>
        </w:rPr>
      </w:pPr>
      <w:bookmarkStart w:id="39" w:name="_Toc149229117"/>
      <w:r>
        <w:rPr>
          <w:rFonts w:hint="eastAsia" w:ascii="黑体" w:eastAsia="黑体"/>
          <w:b w:val="0"/>
        </w:rPr>
        <w:t>二、</w:t>
      </w:r>
      <w:r>
        <w:rPr>
          <w:rFonts w:hint="eastAsia" w:ascii="黑体" w:hAnsi="黑体" w:eastAsia="黑体"/>
          <w:b w:val="0"/>
        </w:rPr>
        <w:t>机</w:t>
      </w:r>
      <w:r>
        <w:rPr>
          <w:rStyle w:val="34"/>
          <w:rFonts w:hint="eastAsia" w:ascii="黑体" w:hAnsi="黑体" w:eastAsia="黑体"/>
          <w:b w:val="0"/>
          <w:bCs w:val="0"/>
        </w:rPr>
        <w:t>构设置</w:t>
      </w:r>
      <w:bookmarkEnd w:id="37"/>
      <w:bookmarkEnd w:id="38"/>
      <w:bookmarkEnd w:id="39"/>
    </w:p>
    <w:p>
      <w:pPr>
        <w:pStyle w:val="2"/>
        <w:adjustRightInd w:val="0"/>
        <w:snapToGrid w:val="0"/>
        <w:spacing w:before="93" w:line="600" w:lineRule="exact"/>
        <w:rPr>
          <w:rFonts w:eastAsia="仿宋"/>
          <w:sz w:val="32"/>
          <w:szCs w:val="32"/>
        </w:rPr>
      </w:pPr>
      <w:r>
        <w:rPr>
          <w:rFonts w:hint="eastAsia" w:eastAsia="仿宋"/>
          <w:sz w:val="32"/>
          <w:szCs w:val="32"/>
        </w:rPr>
        <w:t xml:space="preserve">    中共米易县委宣传部下属二级</w:t>
      </w:r>
      <w:r>
        <w:rPr>
          <w:rFonts w:hint="eastAsia" w:eastAsia="仿宋"/>
          <w:sz w:val="32"/>
          <w:szCs w:val="32"/>
          <w:lang w:eastAsia="zh-CN"/>
        </w:rPr>
        <w:t>预算</w:t>
      </w:r>
      <w:r>
        <w:rPr>
          <w:rFonts w:hint="eastAsia" w:eastAsia="仿宋"/>
          <w:sz w:val="32"/>
          <w:szCs w:val="32"/>
        </w:rPr>
        <w:t>单位</w:t>
      </w:r>
      <w:r>
        <w:rPr>
          <w:rFonts w:hint="eastAsia" w:eastAsia="仿宋"/>
          <w:sz w:val="32"/>
          <w:szCs w:val="32"/>
          <w:lang w:val="en-US" w:eastAsia="zh-CN"/>
        </w:rPr>
        <w:t>0</w:t>
      </w:r>
      <w:r>
        <w:rPr>
          <w:rFonts w:hint="eastAsia" w:eastAsia="仿宋"/>
          <w:sz w:val="32"/>
          <w:szCs w:val="32"/>
        </w:rPr>
        <w:t>个，其中行政单位0个，参照公务员法管理的事业单位0个，其他事业单位2个。</w:t>
      </w:r>
    </w:p>
    <w:p>
      <w:pPr>
        <w:pStyle w:val="2"/>
        <w:adjustRightInd w:val="0"/>
        <w:snapToGrid w:val="0"/>
        <w:spacing w:before="93" w:line="600" w:lineRule="exact"/>
        <w:ind w:firstLine="640"/>
        <w:rPr>
          <w:rFonts w:hint="eastAsia" w:eastAsia="仿宋"/>
          <w:sz w:val="32"/>
          <w:szCs w:val="32"/>
          <w:lang w:eastAsia="zh-CN"/>
        </w:rPr>
      </w:pPr>
      <w:r>
        <w:rPr>
          <w:rFonts w:hint="eastAsia" w:eastAsia="仿宋"/>
          <w:sz w:val="32"/>
          <w:szCs w:val="32"/>
        </w:rPr>
        <w:t>纳入中共米易县委宣传部2022年度部门决算编制范围的二级</w:t>
      </w:r>
      <w:r>
        <w:rPr>
          <w:rFonts w:hint="eastAsia" w:eastAsia="仿宋"/>
          <w:sz w:val="32"/>
          <w:szCs w:val="32"/>
          <w:lang w:eastAsia="zh-CN"/>
        </w:rPr>
        <w:t>预算</w:t>
      </w:r>
      <w:r>
        <w:rPr>
          <w:rFonts w:hint="eastAsia" w:eastAsia="仿宋"/>
          <w:sz w:val="32"/>
          <w:szCs w:val="32"/>
        </w:rPr>
        <w:t>单位包括：</w:t>
      </w:r>
      <w:r>
        <w:rPr>
          <w:rFonts w:hint="eastAsia" w:eastAsia="仿宋"/>
          <w:sz w:val="32"/>
          <w:szCs w:val="32"/>
          <w:lang w:eastAsia="zh-CN"/>
        </w:rPr>
        <w:t>无</w:t>
      </w:r>
    </w:p>
    <w:p>
      <w:pPr>
        <w:pStyle w:val="2"/>
        <w:adjustRightInd w:val="0"/>
        <w:snapToGrid w:val="0"/>
        <w:spacing w:before="93" w:line="600" w:lineRule="exact"/>
        <w:ind w:firstLine="640"/>
        <w:rPr>
          <w:rFonts w:hint="eastAsia" w:eastAsia="仿宋"/>
          <w:sz w:val="32"/>
          <w:szCs w:val="32"/>
          <w:lang w:eastAsia="zh-CN"/>
        </w:rPr>
      </w:pPr>
      <w:r>
        <w:rPr>
          <w:rFonts w:hint="eastAsia" w:eastAsia="仿宋"/>
          <w:sz w:val="32"/>
          <w:szCs w:val="32"/>
        </w:rPr>
        <w:t>纳入中共米易县委宣传部2022年度部门决算编制范围的二级单位包括：</w:t>
      </w:r>
    </w:p>
    <w:p>
      <w:pPr>
        <w:pStyle w:val="2"/>
        <w:adjustRightInd w:val="0"/>
        <w:snapToGrid w:val="0"/>
        <w:spacing w:before="93" w:line="600" w:lineRule="exact"/>
        <w:rPr>
          <w:rFonts w:eastAsia="仿宋"/>
          <w:sz w:val="32"/>
          <w:szCs w:val="32"/>
        </w:rPr>
      </w:pPr>
      <w:r>
        <w:rPr>
          <w:rFonts w:hint="eastAsia" w:eastAsia="仿宋"/>
          <w:sz w:val="32"/>
          <w:szCs w:val="32"/>
        </w:rPr>
        <w:t xml:space="preserve">    1.</w:t>
      </w:r>
      <w:r>
        <w:rPr>
          <w:rFonts w:eastAsia="仿宋"/>
          <w:sz w:val="32"/>
          <w:szCs w:val="32"/>
        </w:rPr>
        <w:t>中共米易县委对外宣传</w:t>
      </w:r>
      <w:r>
        <w:rPr>
          <w:rFonts w:hint="eastAsia" w:eastAsia="仿宋"/>
          <w:sz w:val="32"/>
          <w:szCs w:val="32"/>
        </w:rPr>
        <w:t>服务</w:t>
      </w:r>
      <w:r>
        <w:rPr>
          <w:rFonts w:eastAsia="仿宋"/>
          <w:sz w:val="32"/>
          <w:szCs w:val="32"/>
        </w:rPr>
        <w:t>中心</w:t>
      </w:r>
      <w:r>
        <w:rPr>
          <w:rFonts w:hint="eastAsia" w:eastAsia="仿宋"/>
          <w:sz w:val="32"/>
          <w:szCs w:val="32"/>
        </w:rPr>
        <w:t>，</w:t>
      </w:r>
    </w:p>
    <w:p>
      <w:pPr>
        <w:pStyle w:val="2"/>
        <w:adjustRightInd w:val="0"/>
        <w:snapToGrid w:val="0"/>
        <w:spacing w:before="93" w:line="600" w:lineRule="exact"/>
        <w:rPr>
          <w:rFonts w:ascii="仿宋" w:hAnsi="仿宋" w:eastAsia="仿宋"/>
          <w:sz w:val="32"/>
          <w:szCs w:val="32"/>
        </w:rPr>
      </w:pPr>
      <w:r>
        <w:rPr>
          <w:rFonts w:hint="eastAsia" w:eastAsia="仿宋"/>
          <w:sz w:val="32"/>
          <w:szCs w:val="32"/>
        </w:rPr>
        <w:t xml:space="preserve">    2.</w:t>
      </w:r>
      <w:r>
        <w:rPr>
          <w:rFonts w:eastAsia="仿宋"/>
          <w:sz w:val="32"/>
          <w:szCs w:val="32"/>
        </w:rPr>
        <w:t>米易县新</w:t>
      </w:r>
      <w:r>
        <w:rPr>
          <w:rFonts w:hint="eastAsia" w:eastAsia="仿宋"/>
          <w:sz w:val="32"/>
          <w:szCs w:val="32"/>
        </w:rPr>
        <w:t>时代</w:t>
      </w:r>
      <w:r>
        <w:rPr>
          <w:rFonts w:eastAsia="仿宋"/>
          <w:sz w:val="32"/>
          <w:szCs w:val="32"/>
        </w:rPr>
        <w:t>文明实践服务中心。</w:t>
      </w:r>
    </w:p>
    <w:p>
      <w:pPr>
        <w:widowControl/>
        <w:jc w:val="left"/>
        <w:rPr>
          <w:rFonts w:ascii="仿宋" w:hAnsi="仿宋" w:eastAsia="仿宋"/>
          <w:kern w:val="0"/>
          <w:sz w:val="32"/>
          <w:szCs w:val="32"/>
        </w:rPr>
      </w:pPr>
    </w:p>
    <w:p>
      <w:pPr>
        <w:pStyle w:val="2"/>
        <w:spacing w:before="93"/>
      </w:pPr>
    </w:p>
    <w:p>
      <w:pPr>
        <w:pStyle w:val="2"/>
        <w:spacing w:before="93"/>
      </w:pPr>
    </w:p>
    <w:p>
      <w:pPr>
        <w:pStyle w:val="3"/>
        <w:ind w:right="440"/>
        <w:jc w:val="center"/>
        <w:rPr>
          <w:rStyle w:val="33"/>
          <w:rFonts w:ascii="黑体" w:hAnsi="黑体" w:eastAsia="黑体"/>
          <w:b w:val="0"/>
          <w:bCs/>
        </w:rPr>
      </w:pPr>
      <w:bookmarkStart w:id="40" w:name="_Toc149229118"/>
      <w:bookmarkStart w:id="41" w:name="_Toc15377204"/>
      <w:bookmarkStart w:id="42" w:name="_Toc15396602"/>
      <w:r>
        <w:rPr>
          <w:rFonts w:hint="eastAsia" w:ascii="黑体" w:hAnsi="黑体" w:eastAsia="黑体"/>
          <w:b w:val="0"/>
        </w:rPr>
        <w:t>第二部分 2022年度</w:t>
      </w:r>
      <w:r>
        <w:rPr>
          <w:rStyle w:val="33"/>
          <w:rFonts w:hint="eastAsia" w:ascii="黑体" w:hAnsi="黑体" w:eastAsia="黑体"/>
          <w:b w:val="0"/>
          <w:bCs/>
        </w:rPr>
        <w:t>部门决算情况说明</w:t>
      </w:r>
      <w:bookmarkEnd w:id="40"/>
      <w:bookmarkEnd w:id="41"/>
      <w:bookmarkEnd w:id="42"/>
    </w:p>
    <w:p/>
    <w:p>
      <w:pPr>
        <w:pStyle w:val="32"/>
        <w:numPr>
          <w:ilvl w:val="0"/>
          <w:numId w:val="1"/>
        </w:numPr>
        <w:spacing w:line="600" w:lineRule="exact"/>
        <w:ind w:firstLineChars="0"/>
        <w:outlineLvl w:val="1"/>
        <w:rPr>
          <w:rStyle w:val="34"/>
          <w:rFonts w:ascii="黑体" w:hAnsi="黑体" w:eastAsia="黑体"/>
          <w:b w:val="0"/>
        </w:rPr>
      </w:pPr>
      <w:bookmarkStart w:id="43" w:name="_Toc15396603"/>
      <w:bookmarkStart w:id="44" w:name="_Toc15377205"/>
      <w:bookmarkStart w:id="45" w:name="_Toc149229119"/>
      <w:r>
        <w:rPr>
          <w:rFonts w:hint="eastAsia" w:ascii="黑体" w:hAnsi="黑体" w:eastAsia="黑体"/>
          <w:sz w:val="32"/>
          <w:szCs w:val="32"/>
        </w:rPr>
        <w:t>收</w:t>
      </w:r>
      <w:r>
        <w:rPr>
          <w:rStyle w:val="34"/>
          <w:rFonts w:hint="eastAsia" w:ascii="黑体" w:hAnsi="黑体" w:eastAsia="黑体"/>
          <w:b w:val="0"/>
        </w:rPr>
        <w:t>入支出决算总体情况说明</w:t>
      </w:r>
      <w:bookmarkEnd w:id="43"/>
      <w:bookmarkEnd w:id="44"/>
      <w:bookmarkEnd w:id="45"/>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2022年度收、支总计798.68万元。与2021年相比，收、支总计各增加123.43万元，增长18.28</w:t>
      </w:r>
      <w:r>
        <w:rPr>
          <w:rFonts w:ascii="仿宋" w:hAnsi="仿宋" w:eastAsia="仿宋"/>
          <w:sz w:val="32"/>
          <w:szCs w:val="32"/>
        </w:rPr>
        <w:t>%</w:t>
      </w:r>
      <w:r>
        <w:rPr>
          <w:rFonts w:hint="eastAsia" w:ascii="仿宋" w:hAnsi="仿宋" w:eastAsia="仿宋"/>
          <w:sz w:val="32"/>
          <w:szCs w:val="32"/>
        </w:rPr>
        <w:t>。主要变动原因是项目资金清算增加。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drawing>
          <wp:inline distT="0" distB="0" distL="0" distR="0">
            <wp:extent cx="4752975" cy="22669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2"/>
        <w:numPr>
          <w:ilvl w:val="0"/>
          <w:numId w:val="1"/>
        </w:numPr>
        <w:spacing w:line="600" w:lineRule="exact"/>
        <w:ind w:firstLineChars="0"/>
        <w:outlineLvl w:val="1"/>
        <w:rPr>
          <w:rStyle w:val="34"/>
          <w:rFonts w:ascii="黑体" w:hAnsi="黑体" w:eastAsia="黑体"/>
          <w:b w:val="0"/>
        </w:rPr>
      </w:pPr>
      <w:bookmarkStart w:id="46" w:name="_Toc15396604"/>
      <w:bookmarkStart w:id="47" w:name="_Toc149229120"/>
      <w:bookmarkStart w:id="48" w:name="_Toc15377206"/>
      <w:r>
        <w:rPr>
          <w:rFonts w:hint="eastAsia" w:ascii="黑体" w:hAnsi="黑体" w:eastAsia="黑体"/>
          <w:sz w:val="32"/>
          <w:szCs w:val="32"/>
        </w:rPr>
        <w:t>收</w:t>
      </w:r>
      <w:r>
        <w:rPr>
          <w:rStyle w:val="34"/>
          <w:rFonts w:hint="eastAsia" w:ascii="黑体" w:hAnsi="黑体" w:eastAsia="黑体"/>
          <w:b w:val="0"/>
        </w:rPr>
        <w:t>入决算情况说明</w:t>
      </w:r>
      <w:bookmarkEnd w:id="46"/>
      <w:bookmarkEnd w:id="47"/>
      <w:bookmarkEnd w:id="48"/>
    </w:p>
    <w:p>
      <w:pPr>
        <w:spacing w:line="600" w:lineRule="exact"/>
        <w:ind w:firstLine="640" w:firstLineChars="200"/>
        <w:outlineLvl w:val="1"/>
        <w:rPr>
          <w:rFonts w:ascii="仿宋" w:hAnsi="仿宋" w:eastAsia="仿宋"/>
          <w:sz w:val="32"/>
          <w:szCs w:val="32"/>
        </w:rPr>
      </w:pPr>
      <w:bookmarkStart w:id="49" w:name="_Toc149229121"/>
      <w:r>
        <w:rPr>
          <w:rFonts w:ascii="仿宋" w:hAnsi="仿宋" w:eastAsia="仿宋"/>
          <w:sz w:val="32"/>
          <w:szCs w:val="32"/>
        </w:rPr>
        <w:t>20</w:t>
      </w:r>
      <w:r>
        <w:rPr>
          <w:rFonts w:hint="eastAsia" w:ascii="仿宋" w:hAnsi="仿宋" w:eastAsia="仿宋"/>
          <w:sz w:val="32"/>
          <w:szCs w:val="32"/>
        </w:rPr>
        <w:t>22年本年收入合计797.64万元，其中：一般公共预算财政拨款收入797.64万元，占100</w:t>
      </w:r>
      <w:r>
        <w:rPr>
          <w:rFonts w:ascii="仿宋" w:hAnsi="仿宋" w:eastAsia="仿宋"/>
          <w:sz w:val="32"/>
          <w:szCs w:val="32"/>
        </w:rPr>
        <w:t>%</w:t>
      </w:r>
      <w:r>
        <w:rPr>
          <w:rFonts w:hint="eastAsia" w:ascii="仿宋" w:hAnsi="仿宋" w:eastAsia="仿宋"/>
          <w:sz w:val="32"/>
          <w:szCs w:val="32"/>
        </w:rPr>
        <w:t>。</w:t>
      </w:r>
      <w:bookmarkEnd w:id="49"/>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drawing>
          <wp:inline distT="0" distB="0" distL="0" distR="0">
            <wp:extent cx="3781425" cy="249555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2"/>
        <w:numPr>
          <w:ilvl w:val="0"/>
          <w:numId w:val="1"/>
        </w:numPr>
        <w:spacing w:line="600" w:lineRule="exact"/>
        <w:ind w:firstLineChars="0"/>
        <w:outlineLvl w:val="1"/>
        <w:rPr>
          <w:rStyle w:val="34"/>
          <w:rFonts w:ascii="黑体" w:hAnsi="黑体" w:eastAsia="黑体"/>
          <w:b w:val="0"/>
        </w:rPr>
      </w:pPr>
      <w:bookmarkStart w:id="50" w:name="_Toc15396605"/>
      <w:bookmarkStart w:id="51" w:name="_Toc149229122"/>
      <w:bookmarkStart w:id="52" w:name="_Toc15377207"/>
      <w:r>
        <w:rPr>
          <w:rFonts w:hint="eastAsia" w:ascii="黑体" w:hAnsi="黑体" w:eastAsia="黑体"/>
          <w:sz w:val="32"/>
          <w:szCs w:val="32"/>
        </w:rPr>
        <w:t>支</w:t>
      </w:r>
      <w:r>
        <w:rPr>
          <w:rStyle w:val="34"/>
          <w:rFonts w:hint="eastAsia" w:ascii="黑体" w:hAnsi="黑体" w:eastAsia="黑体"/>
          <w:b w:val="0"/>
        </w:rPr>
        <w:t>出决算情况说明</w:t>
      </w:r>
      <w:bookmarkEnd w:id="50"/>
      <w:bookmarkEnd w:id="51"/>
      <w:bookmarkEnd w:id="52"/>
    </w:p>
    <w:p>
      <w:pPr>
        <w:spacing w:line="600" w:lineRule="exact"/>
        <w:ind w:firstLine="640" w:firstLineChars="200"/>
        <w:outlineLvl w:val="1"/>
        <w:rPr>
          <w:rFonts w:eastAsia="仿宋"/>
          <w:sz w:val="32"/>
          <w:szCs w:val="32"/>
        </w:rPr>
      </w:pPr>
      <w:bookmarkStart w:id="53" w:name="_Toc149229123"/>
      <w:r>
        <w:rPr>
          <w:rFonts w:ascii="仿宋" w:hAnsi="仿宋" w:eastAsia="仿宋"/>
          <w:sz w:val="32"/>
          <w:szCs w:val="32"/>
        </w:rPr>
        <w:t>20</w:t>
      </w:r>
      <w:r>
        <w:rPr>
          <w:rFonts w:hint="eastAsia" w:ascii="仿宋" w:hAnsi="仿宋" w:eastAsia="仿宋"/>
          <w:sz w:val="32"/>
          <w:szCs w:val="32"/>
        </w:rPr>
        <w:t>22年本年支出合计798.67万元，其中：基本支出246.82万元，占30.9</w:t>
      </w:r>
      <w:r>
        <w:rPr>
          <w:rFonts w:ascii="仿宋" w:hAnsi="仿宋" w:eastAsia="仿宋"/>
          <w:sz w:val="32"/>
          <w:szCs w:val="32"/>
        </w:rPr>
        <w:t>%</w:t>
      </w:r>
      <w:r>
        <w:rPr>
          <w:rFonts w:hint="eastAsia" w:ascii="仿宋" w:hAnsi="仿宋" w:eastAsia="仿宋"/>
          <w:sz w:val="32"/>
          <w:szCs w:val="32"/>
        </w:rPr>
        <w:t>；项目支出551.85万元，占69.1</w:t>
      </w:r>
      <w:r>
        <w:rPr>
          <w:rFonts w:ascii="仿宋" w:hAnsi="仿宋" w:eastAsia="仿宋"/>
          <w:sz w:val="32"/>
          <w:szCs w:val="32"/>
        </w:rPr>
        <w:t>%</w:t>
      </w:r>
      <w:r>
        <w:rPr>
          <w:rFonts w:hint="eastAsia" w:ascii="仿宋" w:hAnsi="仿宋" w:eastAsia="仿宋"/>
          <w:sz w:val="32"/>
          <w:szCs w:val="32"/>
        </w:rPr>
        <w:t>。</w:t>
      </w:r>
      <w:r>
        <w:rPr>
          <w:rFonts w:eastAsia="仿宋"/>
          <w:spacing w:val="6"/>
          <w:sz w:val="32"/>
          <w:szCs w:val="32"/>
        </w:rPr>
        <w:t>年末结转和结余</w:t>
      </w:r>
      <w:r>
        <w:rPr>
          <w:rFonts w:hint="eastAsia" w:eastAsia="仿宋"/>
          <w:spacing w:val="6"/>
          <w:sz w:val="32"/>
          <w:szCs w:val="32"/>
        </w:rPr>
        <w:t>23</w:t>
      </w:r>
      <w:r>
        <w:rPr>
          <w:rFonts w:eastAsia="仿宋"/>
          <w:spacing w:val="6"/>
          <w:sz w:val="32"/>
          <w:szCs w:val="32"/>
        </w:rPr>
        <w:t>元。</w:t>
      </w:r>
      <w:bookmarkEnd w:id="53"/>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2"/>
        <w:spacing w:before="93"/>
      </w:pPr>
      <w:r>
        <w:drawing>
          <wp:inline distT="0" distB="0" distL="0" distR="0">
            <wp:extent cx="3867150" cy="211455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4"/>
          <w:rFonts w:ascii="黑体" w:hAnsi="黑体" w:eastAsia="黑体"/>
          <w:b w:val="0"/>
        </w:rPr>
      </w:pPr>
      <w:bookmarkStart w:id="54" w:name="_Toc149229124"/>
      <w:bookmarkStart w:id="55" w:name="_Toc15396606"/>
      <w:bookmarkStart w:id="56" w:name="_Toc15377208"/>
      <w:r>
        <w:rPr>
          <w:rFonts w:hint="eastAsia" w:ascii="黑体" w:hAnsi="黑体" w:eastAsia="黑体"/>
          <w:sz w:val="32"/>
          <w:szCs w:val="32"/>
        </w:rPr>
        <w:t>四、财</w:t>
      </w:r>
      <w:r>
        <w:rPr>
          <w:rStyle w:val="34"/>
          <w:rFonts w:hint="eastAsia" w:ascii="黑体" w:hAnsi="黑体" w:eastAsia="黑体"/>
          <w:b w:val="0"/>
        </w:rPr>
        <w:t>政拨款收入支出决算总体情况说明</w:t>
      </w:r>
      <w:bookmarkEnd w:id="54"/>
      <w:bookmarkEnd w:id="55"/>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22年财政拨款收、支总计798.68万元。与</w:t>
      </w:r>
      <w:r>
        <w:rPr>
          <w:rFonts w:ascii="仿宋" w:hAnsi="仿宋" w:eastAsia="仿宋"/>
          <w:sz w:val="32"/>
          <w:szCs w:val="32"/>
        </w:rPr>
        <w:t>20</w:t>
      </w:r>
      <w:r>
        <w:rPr>
          <w:rFonts w:hint="eastAsia" w:ascii="仿宋" w:hAnsi="仿宋" w:eastAsia="仿宋"/>
          <w:sz w:val="32"/>
          <w:szCs w:val="32"/>
        </w:rPr>
        <w:t>21年相比，财政拨款收、支总计各增加123.43万元，增长18.28</w:t>
      </w:r>
      <w:r>
        <w:rPr>
          <w:rFonts w:ascii="仿宋" w:hAnsi="仿宋" w:eastAsia="仿宋"/>
          <w:sz w:val="32"/>
          <w:szCs w:val="32"/>
        </w:rPr>
        <w:t>%</w:t>
      </w:r>
      <w:r>
        <w:rPr>
          <w:rFonts w:hint="eastAsia" w:ascii="仿宋" w:hAnsi="仿宋" w:eastAsia="仿宋"/>
          <w:sz w:val="32"/>
          <w:szCs w:val="32"/>
        </w:rPr>
        <w:t>。主要变动原因是项目资金清算增加。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r>
        <w:drawing>
          <wp:inline distT="0" distB="0" distL="0" distR="0">
            <wp:extent cx="3924300" cy="22098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4"/>
          <w:rFonts w:ascii="黑体" w:hAnsi="黑体" w:eastAsia="黑体"/>
          <w:b w:val="0"/>
        </w:rPr>
      </w:pPr>
      <w:bookmarkStart w:id="57" w:name="_Toc149229125"/>
      <w:bookmarkStart w:id="58" w:name="_Toc15396607"/>
      <w:bookmarkStart w:id="59" w:name="_Toc15377209"/>
      <w:r>
        <w:rPr>
          <w:rFonts w:hint="eastAsia" w:ascii="黑体" w:hAnsi="黑体" w:eastAsia="黑体"/>
          <w:sz w:val="32"/>
          <w:szCs w:val="32"/>
        </w:rPr>
        <w:t>五、</w:t>
      </w:r>
      <w:r>
        <w:rPr>
          <w:rFonts w:hint="eastAsia" w:ascii="黑体" w:hAnsi="黑体" w:eastAsia="黑体"/>
          <w:b/>
          <w:sz w:val="32"/>
          <w:szCs w:val="32"/>
        </w:rPr>
        <w:t>一</w:t>
      </w:r>
      <w:r>
        <w:rPr>
          <w:rStyle w:val="34"/>
          <w:rFonts w:hint="eastAsia" w:ascii="黑体" w:hAnsi="黑体" w:eastAsia="黑体"/>
          <w:b w:val="0"/>
        </w:rPr>
        <w:t>般公共预算财政拨款支出决算情况说明</w:t>
      </w:r>
      <w:bookmarkEnd w:id="57"/>
      <w:bookmarkEnd w:id="58"/>
      <w:bookmarkEnd w:id="59"/>
    </w:p>
    <w:p>
      <w:pPr>
        <w:spacing w:line="600" w:lineRule="exact"/>
        <w:ind w:firstLine="643" w:firstLineChars="200"/>
        <w:outlineLvl w:val="2"/>
        <w:rPr>
          <w:rFonts w:ascii="仿宋" w:hAnsi="仿宋" w:eastAsia="仿宋"/>
          <w:b/>
          <w:sz w:val="32"/>
          <w:szCs w:val="32"/>
        </w:rPr>
      </w:pPr>
      <w:bookmarkStart w:id="60" w:name="_Toc149229126"/>
      <w:bookmarkStart w:id="61" w:name="_Toc15377210"/>
      <w:r>
        <w:rPr>
          <w:rFonts w:hint="eastAsia" w:ascii="仿宋" w:hAnsi="仿宋" w:eastAsia="仿宋"/>
          <w:b/>
          <w:sz w:val="32"/>
          <w:szCs w:val="32"/>
        </w:rPr>
        <w:t>（一）一般公共预算财政拨款支出决算总体情况</w:t>
      </w:r>
      <w:bookmarkEnd w:id="60"/>
      <w:bookmarkEnd w:id="6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22年一般公共预算财政拨款支出798.67万元，占本年支出合计的100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21年相比，一般公共预算财政拨款支出增加212.65万元，增长36.29</w:t>
      </w:r>
      <w:r>
        <w:rPr>
          <w:rFonts w:ascii="仿宋" w:hAnsi="仿宋" w:eastAsia="仿宋"/>
          <w:sz w:val="32"/>
          <w:szCs w:val="32"/>
        </w:rPr>
        <w:t>%</w:t>
      </w:r>
      <w:r>
        <w:rPr>
          <w:rFonts w:hint="eastAsia" w:ascii="仿宋" w:hAnsi="仿宋" w:eastAsia="仿宋"/>
          <w:sz w:val="32"/>
          <w:szCs w:val="32"/>
        </w:rPr>
        <w:t>。主要变动原因是项目资金来源全为一般公共预算财政拨款。</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pStyle w:val="2"/>
        <w:spacing w:before="93"/>
      </w:pPr>
      <w: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62" w:name="_Toc149229127"/>
      <w:bookmarkStart w:id="63" w:name="_Toc15377211"/>
      <w:r>
        <w:rPr>
          <w:rFonts w:hint="eastAsia" w:ascii="仿宋" w:hAnsi="仿宋" w:eastAsia="仿宋"/>
          <w:b/>
          <w:sz w:val="32"/>
          <w:szCs w:val="32"/>
        </w:rPr>
        <w:t>（二）一般公共预算财政拨款支出决算结构情况</w:t>
      </w:r>
      <w:bookmarkEnd w:id="62"/>
      <w:bookmarkEnd w:id="6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22年一般公共预算财政拨款支出798.67万元，主要用于以下方面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248.38万元，占31.1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Cs/>
          <w:sz w:val="32"/>
          <w:szCs w:val="32"/>
        </w:rPr>
        <w:t>482.29万元</w:t>
      </w:r>
      <w:r>
        <w:rPr>
          <w:rFonts w:hint="eastAsia" w:ascii="仿宋" w:hAnsi="仿宋" w:eastAsia="仿宋"/>
          <w:b/>
          <w:bCs/>
          <w:sz w:val="32"/>
          <w:szCs w:val="32"/>
        </w:rPr>
        <w:t>，占60.39</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28.43万元，占3.55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19.47万元，占2.44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20.1万元，占2.52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r>
        <w:drawing>
          <wp:inline distT="0" distB="0" distL="0" distR="0">
            <wp:extent cx="4924425" cy="2171700"/>
            <wp:effectExtent l="1905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64" w:name="_Toc15377212"/>
      <w:bookmarkStart w:id="65" w:name="_Toc149229128"/>
      <w:r>
        <w:rPr>
          <w:rFonts w:hint="eastAsia" w:ascii="仿宋" w:hAnsi="仿宋" w:eastAsia="仿宋"/>
          <w:b/>
          <w:sz w:val="32"/>
          <w:szCs w:val="32"/>
        </w:rPr>
        <w:t>（三）一般公共预算财政拨款支出决算具体情况</w:t>
      </w:r>
      <w:bookmarkEnd w:id="64"/>
      <w:bookmarkEnd w:id="65"/>
    </w:p>
    <w:p>
      <w:pPr>
        <w:spacing w:line="600" w:lineRule="exact"/>
        <w:ind w:firstLine="643" w:firstLineChars="200"/>
        <w:outlineLvl w:val="2"/>
        <w:rPr>
          <w:rFonts w:ascii="仿宋" w:hAnsi="仿宋" w:eastAsia="仿宋"/>
          <w:sz w:val="32"/>
          <w:szCs w:val="32"/>
        </w:rPr>
      </w:pPr>
      <w:bookmarkStart w:id="66" w:name="_Toc15377213"/>
      <w:bookmarkStart w:id="67" w:name="_Toc15378460"/>
      <w:bookmarkStart w:id="68" w:name="_Toc149229129"/>
      <w:bookmarkStart w:id="69" w:name="_Toc15377444"/>
      <w:r>
        <w:rPr>
          <w:rFonts w:hint="eastAsia" w:ascii="仿宋" w:hAnsi="仿宋" w:eastAsia="仿宋"/>
          <w:b/>
          <w:sz w:val="32"/>
          <w:szCs w:val="32"/>
        </w:rPr>
        <w:t>2022年一般公共预算支出决算数为798.67万元</w:t>
      </w:r>
      <w:r>
        <w:rPr>
          <w:rFonts w:hint="eastAsia" w:ascii="仿宋" w:hAnsi="仿宋" w:eastAsia="仿宋"/>
          <w:sz w:val="32"/>
          <w:szCs w:val="32"/>
        </w:rPr>
        <w:t>，</w:t>
      </w:r>
      <w:r>
        <w:rPr>
          <w:rStyle w:val="22"/>
          <w:rFonts w:hint="eastAsia" w:ascii="仿宋" w:hAnsi="仿宋" w:eastAsia="仿宋"/>
          <w:bCs/>
          <w:sz w:val="32"/>
          <w:szCs w:val="32"/>
        </w:rPr>
        <w:t>完成预算100</w:t>
      </w:r>
      <w:r>
        <w:rPr>
          <w:rStyle w:val="22"/>
          <w:rFonts w:ascii="仿宋" w:hAnsi="仿宋" w:eastAsia="仿宋"/>
          <w:bCs/>
          <w:sz w:val="32"/>
          <w:szCs w:val="32"/>
        </w:rPr>
        <w:t>%</w:t>
      </w:r>
      <w:r>
        <w:rPr>
          <w:rStyle w:val="22"/>
          <w:rFonts w:hint="eastAsia" w:ascii="仿宋" w:hAnsi="仿宋" w:eastAsia="仿宋"/>
          <w:bCs/>
          <w:sz w:val="32"/>
          <w:szCs w:val="32"/>
        </w:rPr>
        <w:t>。其中：</w:t>
      </w:r>
      <w:bookmarkEnd w:id="66"/>
      <w:bookmarkEnd w:id="67"/>
      <w:bookmarkEnd w:id="68"/>
      <w:bookmarkEnd w:id="69"/>
    </w:p>
    <w:p>
      <w:pPr>
        <w:spacing w:line="600" w:lineRule="exact"/>
        <w:ind w:firstLine="643" w:firstLineChars="200"/>
        <w:rPr>
          <w:rFonts w:ascii="仿宋" w:hAnsi="仿宋" w:eastAsia="仿宋"/>
          <w:b/>
          <w:sz w:val="32"/>
          <w:szCs w:val="32"/>
        </w:rPr>
      </w:pPr>
      <w:r>
        <w:rPr>
          <w:rStyle w:val="22"/>
          <w:rFonts w:ascii="仿宋" w:hAnsi="仿宋" w:eastAsia="仿宋"/>
          <w:bCs/>
          <w:sz w:val="32"/>
          <w:szCs w:val="32"/>
        </w:rPr>
        <w:t>1.</w:t>
      </w:r>
      <w:r>
        <w:rPr>
          <w:rStyle w:val="22"/>
          <w:rFonts w:hint="eastAsia" w:ascii="仿宋" w:hAnsi="仿宋" w:eastAsia="仿宋"/>
          <w:bCs/>
          <w:sz w:val="32"/>
          <w:szCs w:val="32"/>
        </w:rPr>
        <w:t>一般公共服务（类）宣传事务（款）行政运行（项）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支出决算为120.89万元，完成预算100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 w:hAnsi="仿宋" w:eastAsia="仿宋"/>
          <w:b/>
          <w:bCs/>
          <w:sz w:val="32"/>
          <w:szCs w:val="32"/>
        </w:rPr>
        <w:t>一般公共服务（类）宣传事务（款）事业运行（项）</w:t>
      </w:r>
      <w:r>
        <w:rPr>
          <w:rFonts w:ascii="仿宋" w:hAnsi="仿宋" w:eastAsia="仿宋"/>
          <w:b/>
          <w:bCs/>
          <w:sz w:val="32"/>
          <w:szCs w:val="32"/>
        </w:rPr>
        <w:t>:</w:t>
      </w:r>
      <w:r>
        <w:rPr>
          <w:rFonts w:ascii="仿宋" w:hAnsi="仿宋" w:eastAsia="仿宋"/>
          <w:bCs/>
          <w:sz w:val="32"/>
          <w:szCs w:val="32"/>
        </w:rPr>
        <w:t xml:space="preserve"> </w:t>
      </w:r>
      <w:r>
        <w:rPr>
          <w:rFonts w:hint="eastAsia" w:ascii="仿宋" w:hAnsi="仿宋" w:eastAsia="仿宋"/>
          <w:bCs/>
          <w:sz w:val="32"/>
          <w:szCs w:val="32"/>
        </w:rPr>
        <w:t>支出决算为57.93万元，完成预算100</w:t>
      </w:r>
      <w:r>
        <w:rPr>
          <w:rFonts w:ascii="仿宋" w:hAnsi="仿宋" w:eastAsia="仿宋"/>
          <w:bCs/>
          <w:sz w:val="32"/>
          <w:szCs w:val="32"/>
        </w:rPr>
        <w:t>%</w:t>
      </w:r>
      <w:r>
        <w:rPr>
          <w:rFonts w:hint="eastAsia" w:ascii="仿宋" w:hAnsi="仿宋" w:eastAsia="仿宋"/>
          <w:bCs/>
          <w:sz w:val="32"/>
          <w:szCs w:val="32"/>
        </w:rPr>
        <w:t>；</w:t>
      </w:r>
      <w:r>
        <w:rPr>
          <w:rStyle w:val="22"/>
          <w:rFonts w:hint="eastAsia" w:ascii="仿宋" w:hAnsi="仿宋" w:eastAsia="仿宋"/>
          <w:bCs/>
          <w:sz w:val="32"/>
          <w:szCs w:val="32"/>
        </w:rPr>
        <w:t>一般公共服务（类）宣传事务（款）一般行政管理事务（项）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支出决算为68.19万元，完成预算100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22"/>
          <w:rFonts w:ascii="仿宋" w:hAnsi="仿宋" w:eastAsia="仿宋"/>
          <w:bCs/>
          <w:sz w:val="32"/>
          <w:szCs w:val="32"/>
        </w:rPr>
        <w:t>2.</w:t>
      </w:r>
      <w:r>
        <w:rPr>
          <w:rStyle w:val="22"/>
          <w:rFonts w:hint="eastAsia" w:ascii="仿宋" w:hAnsi="仿宋" w:eastAsia="仿宋"/>
          <w:bCs/>
          <w:sz w:val="32"/>
          <w:szCs w:val="32"/>
        </w:rPr>
        <w:t>文化旅游体育与传媒（类）文化和旅游（款）文化活动（项）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支出决算为247.45万元，完成预算100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文化旅游体育与传媒（类）文化和旅游（款）其他文化和旅游支出（项）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支出决算为5.6万元，完成预算100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文化旅游体育与传媒（类）新闻出版电影（款）电影（项）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支出决算为10.43万元，完成预算100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文化旅游体育与传媒（类）其他文化旅游体育与传媒支出（款）宣传文化发展专项支出（项）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支出决算为67.48万元，完成预算100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文化旅游体育与传媒（类）其他文化旅游体育与传媒支出（款）其他文化旅游体育与传媒支出（项）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支出决算为151.33万元，完成预算100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22"/>
          <w:rFonts w:hint="eastAsia" w:ascii="仿宋" w:hAnsi="仿宋" w:eastAsia="仿宋"/>
          <w:bCs/>
          <w:sz w:val="32"/>
          <w:szCs w:val="32"/>
        </w:rPr>
        <w:t>3</w:t>
      </w:r>
      <w:r>
        <w:rPr>
          <w:rStyle w:val="22"/>
          <w:rFonts w:ascii="仿宋" w:hAnsi="仿宋" w:eastAsia="仿宋"/>
          <w:bCs/>
          <w:sz w:val="32"/>
          <w:szCs w:val="32"/>
        </w:rPr>
        <w:t>.</w:t>
      </w:r>
      <w:r>
        <w:rPr>
          <w:rStyle w:val="22"/>
          <w:rFonts w:hint="eastAsia" w:ascii="仿宋" w:hAnsi="仿宋" w:eastAsia="仿宋"/>
          <w:bCs/>
          <w:sz w:val="32"/>
          <w:szCs w:val="32"/>
        </w:rPr>
        <w:t>社会保障和就业（类）行政事业单位养老（款）行政单位离退休（项）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支出决算为8.22万元，完成预算100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社会保障和就业（类）行政事业单位养老（款）机关事业单位基本养老保险缴费（项）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支出决算为15.21万元，完成预算100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社会保障和就业（类）行政事业单位养老（款）机关事业单位职业年金缴费（项）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支出决算为3.97万元，完成预算100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Style w:val="22"/>
          <w:rFonts w:hint="eastAsia" w:ascii="仿宋" w:hAnsi="仿宋" w:eastAsia="仿宋"/>
          <w:bCs/>
          <w:sz w:val="32"/>
          <w:szCs w:val="32"/>
        </w:rPr>
        <w:t>社会保障和就业（类）其他社会保障和就业（款）其他社会保障和就业（项）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支出决算为1.03万元，完成预算100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22"/>
          <w:rFonts w:hint="eastAsia" w:ascii="仿宋" w:hAnsi="仿宋" w:eastAsia="仿宋"/>
          <w:bCs/>
          <w:sz w:val="32"/>
          <w:szCs w:val="32"/>
        </w:rPr>
        <w:t>4</w:t>
      </w:r>
      <w:r>
        <w:rPr>
          <w:rStyle w:val="22"/>
          <w:rFonts w:ascii="仿宋" w:hAnsi="仿宋" w:eastAsia="仿宋"/>
          <w:bCs/>
          <w:sz w:val="32"/>
          <w:szCs w:val="32"/>
        </w:rPr>
        <w:t>.</w:t>
      </w: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（类）行政事业单位医疗（款）行政单位医疗（项）</w:t>
      </w:r>
      <w:r>
        <w:rPr>
          <w:rStyle w:val="22"/>
          <w:rFonts w:ascii="仿宋" w:hAnsi="仿宋" w:eastAsia="仿宋"/>
          <w:bCs/>
          <w:sz w:val="32"/>
          <w:szCs w:val="32"/>
        </w:rPr>
        <w:t>:</w:t>
      </w:r>
      <w:r>
        <w:rPr>
          <w:rStyle w:val="22"/>
          <w:rFonts w:hint="eastAsia" w:ascii="仿宋" w:hAnsi="仿宋" w:eastAsia="仿宋"/>
          <w:b w:val="0"/>
          <w:bCs/>
          <w:sz w:val="32"/>
          <w:szCs w:val="32"/>
        </w:rPr>
        <w:t>支出决算为8.1万元，完成预算100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（类）行政事业单位医疗（款）事业单位医疗（项）</w:t>
      </w:r>
      <w:r>
        <w:rPr>
          <w:rStyle w:val="22"/>
          <w:rFonts w:ascii="仿宋" w:hAnsi="仿宋" w:eastAsia="仿宋"/>
          <w:bCs/>
          <w:sz w:val="32"/>
          <w:szCs w:val="32"/>
        </w:rPr>
        <w:t>:</w:t>
      </w:r>
      <w:r>
        <w:rPr>
          <w:rStyle w:val="22"/>
          <w:rFonts w:hint="eastAsia" w:ascii="仿宋" w:hAnsi="仿宋" w:eastAsia="仿宋"/>
          <w:b w:val="0"/>
          <w:bCs/>
          <w:sz w:val="32"/>
          <w:szCs w:val="32"/>
        </w:rPr>
        <w:t>支出决算为3.9万元，完成预算100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（类）行政事业单位医疗（款）公务员医疗补助（项）</w:t>
      </w:r>
      <w:r>
        <w:rPr>
          <w:rStyle w:val="22"/>
          <w:rFonts w:ascii="仿宋" w:hAnsi="仿宋" w:eastAsia="仿宋"/>
          <w:bCs/>
          <w:sz w:val="32"/>
          <w:szCs w:val="32"/>
        </w:rPr>
        <w:t>:</w:t>
      </w:r>
      <w:r>
        <w:rPr>
          <w:rStyle w:val="22"/>
          <w:rFonts w:hint="eastAsia" w:ascii="仿宋" w:hAnsi="仿宋" w:eastAsia="仿宋"/>
          <w:b w:val="0"/>
          <w:bCs/>
          <w:sz w:val="32"/>
          <w:szCs w:val="32"/>
        </w:rPr>
        <w:t>支出决算为7.47万元，完成预算100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22"/>
          <w:rFonts w:hint="eastAsia" w:ascii="仿宋" w:hAnsi="仿宋" w:eastAsia="仿宋"/>
          <w:bCs/>
          <w:sz w:val="32"/>
          <w:szCs w:val="32"/>
        </w:rPr>
        <w:t>5.</w:t>
      </w:r>
      <w:r>
        <w:rPr>
          <w:rStyle w:val="22"/>
          <w:rFonts w:hint="eastAsia"/>
          <w:b w:val="0"/>
        </w:rPr>
        <w:t xml:space="preserve"> </w:t>
      </w:r>
      <w:r>
        <w:rPr>
          <w:rFonts w:hint="eastAsia" w:ascii="仿宋" w:hAnsi="仿宋" w:eastAsia="仿宋"/>
          <w:b/>
          <w:bCs/>
          <w:sz w:val="32"/>
          <w:szCs w:val="32"/>
        </w:rPr>
        <w:t>住房保障</w:t>
      </w:r>
      <w:r>
        <w:rPr>
          <w:rStyle w:val="22"/>
          <w:rFonts w:hint="eastAsia" w:ascii="仿宋" w:hAnsi="仿宋" w:eastAsia="仿宋"/>
          <w:bCs/>
          <w:sz w:val="32"/>
          <w:szCs w:val="32"/>
        </w:rPr>
        <w:t>（类）住房改革（款）住房公积金（项）</w:t>
      </w:r>
      <w:r>
        <w:rPr>
          <w:rStyle w:val="22"/>
          <w:rFonts w:ascii="仿宋" w:hAnsi="仿宋" w:eastAsia="仿宋"/>
          <w:bCs/>
          <w:sz w:val="32"/>
          <w:szCs w:val="32"/>
        </w:rPr>
        <w:t>:</w:t>
      </w:r>
      <w:r>
        <w:rPr>
          <w:rStyle w:val="22"/>
          <w:rFonts w:hint="eastAsia" w:ascii="仿宋" w:hAnsi="仿宋" w:eastAsia="仿宋"/>
          <w:b w:val="0"/>
          <w:bCs/>
          <w:sz w:val="32"/>
          <w:szCs w:val="32"/>
        </w:rPr>
        <w:t>支出决算为20.1万元，完成预算100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p>
    <w:p>
      <w:pPr>
        <w:tabs>
          <w:tab w:val="right" w:pos="8306"/>
        </w:tabs>
        <w:spacing w:line="600" w:lineRule="exact"/>
        <w:ind w:firstLine="640"/>
        <w:outlineLvl w:val="1"/>
        <w:rPr>
          <w:rStyle w:val="34"/>
        </w:rPr>
      </w:pPr>
      <w:bookmarkStart w:id="70" w:name="_Toc15377214"/>
      <w:bookmarkStart w:id="71" w:name="_Toc15396608"/>
      <w:bookmarkStart w:id="72" w:name="_Toc14922913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4"/>
          <w:rFonts w:hint="eastAsia" w:ascii="黑体" w:hAnsi="黑体" w:eastAsia="黑体"/>
          <w:b w:val="0"/>
        </w:rPr>
        <w:t>般公共预算财政拨款基本支出决算情况说明</w:t>
      </w:r>
      <w:bookmarkEnd w:id="70"/>
      <w:bookmarkEnd w:id="71"/>
      <w:bookmarkEnd w:id="72"/>
      <w:r>
        <w:rPr>
          <w:rStyle w:val="34"/>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22年一般公共预算财政拨款基本支出246.82万元，其中：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人员经费230.94万元，主要包括：基本工资、津贴补贴、奖金、绩效工资、机关事业单位基本养老保险缴费、职业年金缴费、其他社会保障缴费、其他工资福利支出、生活补助、医疗费补助、住房公积金等。</w:t>
      </w:r>
      <w:r>
        <w:rPr>
          <w:rFonts w:ascii="仿宋" w:hAnsi="仿宋" w:eastAsia="仿宋"/>
          <w:sz w:val="32"/>
          <w:szCs w:val="32"/>
        </w:rPr>
        <w:br w:type="textWrapping"/>
      </w:r>
      <w:r>
        <w:rPr>
          <w:rFonts w:hint="eastAsia" w:ascii="仿宋" w:hAnsi="仿宋" w:eastAsia="仿宋"/>
          <w:sz w:val="32"/>
          <w:szCs w:val="32"/>
        </w:rPr>
        <w:t>　　公用经费15.88万元，主要包括：办公费、邮电费、差旅费、培训费、公务接待费、委托业务费、福利费、其他交通费、其他商品和服务支出等。</w:t>
      </w:r>
    </w:p>
    <w:p>
      <w:pPr>
        <w:spacing w:line="600" w:lineRule="exact"/>
        <w:ind w:firstLine="640"/>
        <w:outlineLvl w:val="1"/>
        <w:rPr>
          <w:rStyle w:val="34"/>
          <w:rFonts w:ascii="黑体" w:hAnsi="黑体" w:eastAsia="黑体"/>
          <w:b w:val="0"/>
        </w:rPr>
      </w:pPr>
      <w:bookmarkStart w:id="73" w:name="_Toc15396609"/>
      <w:bookmarkStart w:id="74" w:name="_Toc15377215"/>
      <w:bookmarkStart w:id="75" w:name="_Toc149229131"/>
      <w:r>
        <w:rPr>
          <w:rFonts w:hint="eastAsia" w:ascii="黑体" w:eastAsia="黑体"/>
          <w:sz w:val="32"/>
          <w:szCs w:val="32"/>
        </w:rPr>
        <w:t>七、</w:t>
      </w:r>
      <w:r>
        <w:rPr>
          <w:rStyle w:val="34"/>
          <w:rFonts w:hint="eastAsia" w:ascii="黑体" w:hAnsi="黑体" w:eastAsia="黑体"/>
          <w:b w:val="0"/>
        </w:rPr>
        <w:t>财政拨款</w:t>
      </w:r>
      <w:r>
        <w:rPr>
          <w:rStyle w:val="34"/>
          <w:rFonts w:hint="eastAsia" w:ascii="黑体" w:hAnsi="黑体" w:eastAsia="黑体"/>
        </w:rPr>
        <w:t>“</w:t>
      </w:r>
      <w:r>
        <w:rPr>
          <w:rStyle w:val="34"/>
          <w:rFonts w:hint="eastAsia" w:ascii="黑体" w:hAnsi="黑体" w:eastAsia="黑体"/>
          <w:b w:val="0"/>
        </w:rPr>
        <w:t>三公”经费支出决算情况说明</w:t>
      </w:r>
      <w:bookmarkEnd w:id="73"/>
      <w:bookmarkEnd w:id="74"/>
      <w:bookmarkEnd w:id="75"/>
    </w:p>
    <w:p>
      <w:pPr>
        <w:spacing w:line="600" w:lineRule="exact"/>
        <w:ind w:firstLine="640"/>
        <w:outlineLvl w:val="2"/>
        <w:rPr>
          <w:rFonts w:ascii="仿宋" w:hAnsi="仿宋" w:eastAsia="仿宋"/>
          <w:b/>
          <w:sz w:val="32"/>
          <w:szCs w:val="32"/>
        </w:rPr>
      </w:pPr>
      <w:bookmarkStart w:id="76" w:name="_Toc15377216"/>
      <w:bookmarkStart w:id="77" w:name="_Toc149229132"/>
      <w:r>
        <w:rPr>
          <w:rFonts w:hint="eastAsia" w:ascii="仿宋" w:hAnsi="仿宋" w:eastAsia="仿宋"/>
          <w:b/>
          <w:sz w:val="32"/>
          <w:szCs w:val="32"/>
        </w:rPr>
        <w:t>（一）“三公”经费财政拨款支出决算总体情况说明</w:t>
      </w:r>
      <w:bookmarkEnd w:id="76"/>
      <w:bookmarkEnd w:id="7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22年“三公”经费财政拨款支出决算为0.36万元，完成预算100</w:t>
      </w:r>
      <w:r>
        <w:rPr>
          <w:rFonts w:ascii="仿宋" w:hAnsi="仿宋" w:eastAsia="仿宋"/>
          <w:sz w:val="32"/>
          <w:szCs w:val="32"/>
        </w:rPr>
        <w:t>%</w:t>
      </w:r>
      <w:r>
        <w:rPr>
          <w:rFonts w:hint="eastAsia" w:ascii="仿宋" w:hAnsi="仿宋" w:eastAsia="仿宋"/>
          <w:sz w:val="32"/>
          <w:szCs w:val="32"/>
        </w:rPr>
        <w:t>，较上年增加0.24万元，增长200%</w:t>
      </w:r>
      <w:r>
        <w:rPr>
          <w:rFonts w:hint="eastAsia" w:ascii="仿宋" w:hAnsi="仿宋" w:eastAsia="仿宋"/>
          <w:sz w:val="32"/>
          <w:szCs w:val="32"/>
          <w:lang w:eastAsia="zh-CN"/>
        </w:rPr>
        <w:t>，</w:t>
      </w:r>
      <w:r>
        <w:rPr>
          <w:rFonts w:hint="eastAsia" w:ascii="仿宋_GB2312" w:eastAsia="仿宋_GB2312"/>
          <w:sz w:val="32"/>
          <w:szCs w:val="32"/>
        </w:rPr>
        <w:t>主要原因是去年未审核清算支付的公务接待资金在今年支付</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78" w:name="_Toc15377217"/>
      <w:bookmarkStart w:id="79" w:name="_Toc149229133"/>
      <w:r>
        <w:rPr>
          <w:rFonts w:hint="eastAsia" w:ascii="仿宋" w:hAnsi="仿宋" w:eastAsia="仿宋"/>
          <w:b/>
          <w:sz w:val="32"/>
          <w:szCs w:val="32"/>
        </w:rPr>
        <w:t>（二）“三公”经费财政拨款支出决算具体情况说明</w:t>
      </w:r>
      <w:bookmarkEnd w:id="78"/>
      <w:bookmarkEnd w:id="7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；公务接待费支出决算0.36万元，占100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drawing>
          <wp:inline distT="0" distB="0" distL="0" distR="0">
            <wp:extent cx="4419600" cy="24003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22"/>
          <w:rFonts w:hint="eastAsia" w:ascii="仿宋" w:hAnsi="仿宋" w:eastAsia="仿宋"/>
          <w:b w:val="0"/>
          <w:bCs/>
          <w:sz w:val="32"/>
          <w:szCs w:val="32"/>
        </w:rPr>
        <w:t>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21年持平。</w:t>
      </w:r>
    </w:p>
    <w:p>
      <w:pPr>
        <w:spacing w:line="600" w:lineRule="exact"/>
        <w:ind w:firstLine="640"/>
        <w:rPr>
          <w:rFonts w:hint="eastAsia"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22"/>
          <w:rFonts w:hint="eastAsia" w:ascii="仿宋" w:hAnsi="仿宋" w:eastAsia="仿宋"/>
          <w:b w:val="0"/>
          <w:bCs/>
          <w:sz w:val="32"/>
          <w:szCs w:val="32"/>
        </w:rPr>
        <w:t>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21年持平。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0.36万元，</w:t>
      </w:r>
      <w:r>
        <w:rPr>
          <w:rStyle w:val="22"/>
          <w:rFonts w:hint="eastAsia" w:ascii="仿宋" w:hAnsi="仿宋" w:eastAsia="仿宋"/>
          <w:b w:val="0"/>
          <w:bCs/>
          <w:sz w:val="32"/>
          <w:szCs w:val="32"/>
        </w:rPr>
        <w:t>完成预算100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21年增加0.24万元，增长200</w:t>
      </w:r>
      <w:r>
        <w:rPr>
          <w:rFonts w:ascii="仿宋_GB2312" w:eastAsia="仿宋_GB2312"/>
          <w:sz w:val="32"/>
          <w:szCs w:val="32"/>
        </w:rPr>
        <w:t>%</w:t>
      </w:r>
      <w:r>
        <w:rPr>
          <w:rFonts w:hint="eastAsia" w:ascii="仿宋_GB2312" w:eastAsia="仿宋_GB2312"/>
          <w:sz w:val="32"/>
          <w:szCs w:val="32"/>
        </w:rPr>
        <w:t>。主要原因是去年未审核清算支付的公务接待资金在今年支付。其中：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0.36</w:t>
      </w:r>
      <w:r>
        <w:rPr>
          <w:rFonts w:hint="eastAsia" w:ascii="仿宋_GB2312" w:eastAsia="仿宋_GB2312"/>
          <w:sz w:val="32"/>
          <w:szCs w:val="32"/>
        </w:rPr>
        <w:t>万元，主要用于开展业务活动开支的用餐费等。国内公务接待4批次，29人次（不包括陪同人员），共计支出0.36万元，具体内容包括：市委宣传部到米易调研文化产业培育和发展、城市书房建设等工作接待费0.06万元，眉山市委宣传部到我县调研文化产业发展和文旅融合项目建设接待费0.18万元，四川日报攀枝花记者站到我县采访项目攻坚突破年接待费用0.04万元，省委宣传部到我县调研出版物市场清查等接待费0.08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4"/>
          <w:rFonts w:ascii="黑体" w:hAnsi="黑体" w:eastAsia="黑体"/>
        </w:rPr>
      </w:pPr>
      <w:bookmarkStart w:id="80" w:name="_Toc15396610"/>
      <w:bookmarkStart w:id="81" w:name="_Toc15377218"/>
      <w:bookmarkStart w:id="82" w:name="_Toc149229134"/>
      <w:r>
        <w:rPr>
          <w:rFonts w:hint="eastAsia" w:ascii="黑体" w:eastAsia="黑体"/>
          <w:sz w:val="32"/>
          <w:szCs w:val="32"/>
        </w:rPr>
        <w:t>八、</w:t>
      </w:r>
      <w:r>
        <w:rPr>
          <w:rStyle w:val="34"/>
          <w:rFonts w:hint="eastAsia" w:ascii="黑体" w:hAnsi="黑体" w:eastAsia="黑体"/>
          <w:b w:val="0"/>
        </w:rPr>
        <w:t>政府性基金预算支出决算情况说明</w:t>
      </w:r>
      <w:bookmarkEnd w:id="80"/>
      <w:bookmarkEnd w:id="81"/>
      <w:bookmarkEnd w:id="8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4"/>
          <w:rFonts w:ascii="黑体" w:hAnsi="黑体" w:eastAsia="黑体"/>
          <w:b w:val="0"/>
        </w:rPr>
      </w:pPr>
      <w:bookmarkStart w:id="83" w:name="_Toc15377219"/>
      <w:bookmarkStart w:id="84" w:name="_Toc149229135"/>
      <w:bookmarkStart w:id="85" w:name="_Toc15396611"/>
      <w:r>
        <w:rPr>
          <w:rStyle w:val="34"/>
          <w:rFonts w:hint="eastAsia" w:ascii="黑体" w:hAnsi="黑体" w:eastAsia="黑体"/>
          <w:b w:val="0"/>
        </w:rPr>
        <w:t>国有资本经营预算支出决算情况说明</w:t>
      </w:r>
      <w:bookmarkEnd w:id="83"/>
      <w:bookmarkEnd w:id="84"/>
      <w:bookmarkEnd w:id="8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4"/>
          <w:rFonts w:ascii="黑体" w:hAnsi="黑体" w:eastAsia="黑体"/>
          <w:b w:val="0"/>
        </w:rPr>
      </w:pPr>
      <w:bookmarkStart w:id="86" w:name="_Toc15396612"/>
      <w:bookmarkStart w:id="87" w:name="_Toc149229136"/>
      <w:bookmarkStart w:id="88" w:name="_Toc15377221"/>
      <w:r>
        <w:rPr>
          <w:rStyle w:val="34"/>
          <w:rFonts w:hint="eastAsia" w:ascii="黑体" w:hAnsi="黑体" w:eastAsia="黑体"/>
          <w:b w:val="0"/>
        </w:rPr>
        <w:t>其他重要事项的情况说明</w:t>
      </w:r>
      <w:bookmarkEnd w:id="86"/>
      <w:bookmarkEnd w:id="87"/>
      <w:bookmarkEnd w:id="88"/>
    </w:p>
    <w:p>
      <w:pPr>
        <w:spacing w:line="600" w:lineRule="exact"/>
        <w:ind w:firstLine="643" w:firstLineChars="200"/>
        <w:outlineLvl w:val="2"/>
        <w:rPr>
          <w:rFonts w:ascii="仿宋" w:hAnsi="仿宋" w:eastAsia="仿宋"/>
          <w:sz w:val="32"/>
          <w:szCs w:val="32"/>
        </w:rPr>
      </w:pPr>
      <w:bookmarkStart w:id="89" w:name="_Toc149229137"/>
      <w:bookmarkStart w:id="90" w:name="_Toc15377222"/>
      <w:r>
        <w:rPr>
          <w:rFonts w:hint="eastAsia" w:ascii="仿宋" w:hAnsi="仿宋" w:eastAsia="仿宋"/>
          <w:b/>
          <w:sz w:val="32"/>
          <w:szCs w:val="32"/>
        </w:rPr>
        <w:t>（一）机关运行经费支出情况</w:t>
      </w:r>
      <w:bookmarkEnd w:id="89"/>
      <w:bookmarkEnd w:id="9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22年，县委宣传部机关运行经费支出15.88万元，比</w:t>
      </w:r>
      <w:r>
        <w:rPr>
          <w:rFonts w:ascii="仿宋_GB2312" w:eastAsia="仿宋_GB2312"/>
          <w:sz w:val="32"/>
          <w:szCs w:val="32"/>
        </w:rPr>
        <w:t>20</w:t>
      </w:r>
      <w:r>
        <w:rPr>
          <w:rFonts w:hint="eastAsia" w:ascii="仿宋_GB2312" w:eastAsia="仿宋_GB2312"/>
          <w:sz w:val="32"/>
          <w:szCs w:val="32"/>
        </w:rPr>
        <w:t>21年减少1.11万元，下降6.53</w:t>
      </w:r>
      <w:r>
        <w:rPr>
          <w:rFonts w:ascii="仿宋_GB2312" w:eastAsia="仿宋_GB2312"/>
          <w:sz w:val="32"/>
          <w:szCs w:val="32"/>
        </w:rPr>
        <w:t>%</w:t>
      </w:r>
      <w:r>
        <w:rPr>
          <w:rFonts w:hint="eastAsia" w:ascii="仿宋_GB2312" w:eastAsia="仿宋_GB2312"/>
          <w:sz w:val="32"/>
          <w:szCs w:val="32"/>
        </w:rPr>
        <w:t>。</w:t>
      </w:r>
      <w:r>
        <w:rPr>
          <w:rFonts w:eastAsia="仿宋_GB2312"/>
          <w:sz w:val="32"/>
          <w:szCs w:val="32"/>
        </w:rPr>
        <w:t>主要原因是资金未审核清算支付</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1" w:name="_Toc15377223"/>
      <w:bookmarkStart w:id="92" w:name="_Toc149229138"/>
      <w:r>
        <w:rPr>
          <w:rFonts w:hint="eastAsia" w:ascii="仿宋" w:hAnsi="仿宋" w:eastAsia="仿宋"/>
          <w:b/>
          <w:sz w:val="32"/>
          <w:szCs w:val="32"/>
        </w:rPr>
        <w:t>（二）政府采购支出情况</w:t>
      </w:r>
      <w:bookmarkEnd w:id="91"/>
      <w:bookmarkEnd w:id="9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22年，中共米易县委宣传部政府采购支出总额0万元，其中：政府采购货物支出0万元、政府采购工程支出0万元、政府采购服务支出0万元。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3" w:name="_Toc149229139"/>
      <w:bookmarkStart w:id="94" w:name="_Toc15377224"/>
      <w:r>
        <w:rPr>
          <w:rFonts w:hint="eastAsia" w:ascii="仿宋" w:hAnsi="仿宋" w:eastAsia="仿宋"/>
          <w:b/>
          <w:sz w:val="32"/>
          <w:szCs w:val="32"/>
        </w:rPr>
        <w:t>（三）国有资产占有使用情况</w:t>
      </w:r>
      <w:bookmarkEnd w:id="93"/>
      <w:bookmarkEnd w:id="9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日，县委宣传部共有车辆0辆，其中：主要领导干部用车0辆、机要通信用车0辆、应急保障用车0辆、其他用车0辆。单价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5" w:name="_Toc149229140"/>
      <w:r>
        <w:rPr>
          <w:rFonts w:hint="eastAsia" w:ascii="仿宋" w:hAnsi="仿宋" w:eastAsia="仿宋"/>
          <w:b/>
          <w:sz w:val="32"/>
          <w:szCs w:val="32"/>
        </w:rPr>
        <w:t>（四）预算绩效管理情况</w:t>
      </w:r>
      <w:bookmarkEnd w:id="95"/>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县委宣传部</w:t>
      </w:r>
      <w:r>
        <w:rPr>
          <w:rFonts w:hint="eastAsia" w:ascii="仿宋_GB2312" w:hAnsi="仿宋_GB2312" w:eastAsia="仿宋_GB2312" w:cs="仿宋_GB2312"/>
          <w:sz w:val="32"/>
          <w:szCs w:val="32"/>
        </w:rPr>
        <w:t>在2022年度预算编制阶段，组织对</w:t>
      </w:r>
      <w:r>
        <w:rPr>
          <w:rFonts w:hint="eastAsia" w:ascii="仿宋_GB2312" w:hAnsi="仿宋_GB2312" w:eastAsia="仿宋_GB2312" w:cs="仿宋_GB2312"/>
          <w:sz w:val="32"/>
          <w:szCs w:val="32"/>
          <w:lang w:eastAsia="zh-CN"/>
        </w:rPr>
        <w:t>行政工资性支出、事业工资性支出、公用经费、</w:t>
      </w:r>
      <w:r>
        <w:rPr>
          <w:rFonts w:hint="eastAsia" w:ascii="仿宋_GB2312" w:hAnsi="仿宋_GB2312" w:eastAsia="仿宋_GB2312" w:cs="仿宋_GB2312"/>
          <w:sz w:val="32"/>
          <w:szCs w:val="32"/>
        </w:rPr>
        <w:t>编外聘用人员工资项目、创文办劳务人员经费项目等</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中共米易县委宣传部部门整体（含部门预算项目）绩效自评报告、新时代文明实践中心建设项目、农村公益电影放映补助项目等专项预算项目绩效自评报告，其中，中共米易县委宣传部部门整体（含部门预算项目）绩效自评得分为89分，绩效自评综述：2022年中共米易县委宣传部整体上完成了年初设定的绩效目标，保障了部门的正常运转，促进了宣传、文化、精神文明建设等方面事业的发展，充分发挥了财政资金的经济效益和社会效益。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3"/>
          <w:rFonts w:ascii="黑体" w:hAnsi="黑体" w:eastAsia="黑体"/>
          <w:b w:val="0"/>
        </w:rPr>
      </w:pPr>
      <w:bookmarkStart w:id="96" w:name="_Toc15396613"/>
      <w:bookmarkStart w:id="97" w:name="_Toc15377225"/>
      <w:bookmarkStart w:id="98" w:name="_Toc149229141"/>
      <w:r>
        <w:rPr>
          <w:rFonts w:hint="eastAsia" w:ascii="黑体" w:hAnsi="黑体" w:eastAsia="黑体"/>
          <w:sz w:val="44"/>
          <w:szCs w:val="44"/>
        </w:rPr>
        <w:t>名</w:t>
      </w:r>
      <w:r>
        <w:rPr>
          <w:rStyle w:val="33"/>
          <w:rFonts w:hint="eastAsia" w:ascii="黑体" w:hAnsi="黑体" w:eastAsia="黑体"/>
          <w:b w:val="0"/>
        </w:rPr>
        <w:t>词解释</w:t>
      </w:r>
      <w:bookmarkEnd w:id="96"/>
      <w:bookmarkEnd w:id="97"/>
      <w:bookmarkEnd w:id="98"/>
    </w:p>
    <w:p>
      <w:pPr>
        <w:spacing w:line="600" w:lineRule="exact"/>
        <w:jc w:val="left"/>
        <w:rPr>
          <w:rFonts w:ascii="宋体"/>
          <w:b/>
          <w:sz w:val="44"/>
          <w:szCs w:val="44"/>
        </w:rPr>
      </w:pPr>
    </w:p>
    <w:p>
      <w:pPr>
        <w:pStyle w:val="31"/>
        <w:rPr>
          <w:rFonts w:ascii="仿宋_GB2312" w:eastAsia="仿宋_GB231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w:t>
      </w:r>
      <w:r>
        <w:rPr>
          <w:rFonts w:hint="eastAsia" w:ascii="仿宋_GB2312" w:eastAsia="仿宋_GB2312"/>
          <w:sz w:val="32"/>
          <w:szCs w:val="32"/>
        </w:rPr>
        <w:t>财政拨款收入：指单位从同级财政部门取得的财政预算资金。</w:t>
      </w:r>
    </w:p>
    <w:p>
      <w:pPr>
        <w:pStyle w:val="31"/>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1"/>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3</w:t>
      </w:r>
      <w:r>
        <w:rPr>
          <w:rFonts w:hint="eastAsia" w:ascii="Times New Roman" w:hAnsi="Times New Roman" w:eastAsia="仿宋_GB2312" w:cs="Times New Roman"/>
          <w:sz w:val="32"/>
          <w:szCs w:val="32"/>
        </w:rPr>
        <w:t>.</w:t>
      </w:r>
      <w:r>
        <w:rPr>
          <w:rFonts w:hint="eastAsia" w:ascii="仿宋_GB2312" w:eastAsia="仿宋_GB2312"/>
          <w:sz w:val="32"/>
          <w:szCs w:val="32"/>
        </w:rPr>
        <w:t>年末结转和结余：指单位按有关规定结转到下年或以后年度继续使用的资金。</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仿宋_GB2312" w:eastAsia="仿宋_GB2312"/>
          <w:sz w:val="32"/>
          <w:szCs w:val="32"/>
        </w:rPr>
        <w:t>一般公共服务（类）宣传事务（款）行政运行（项）：指中国共产党宣传部门行政单位的基本支出。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仿宋_GB2312" w:eastAsia="仿宋_GB2312"/>
          <w:sz w:val="32"/>
          <w:szCs w:val="32"/>
        </w:rPr>
        <w:t>一般公共服务（类）宣传事务（款）一般行政管理事务（项）：指中国共产党宣传部门行 政单位未单独设置项级科目的其他项目支出。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仿宋_GB2312" w:eastAsia="仿宋_GB2312"/>
          <w:sz w:val="32"/>
          <w:szCs w:val="32"/>
        </w:rPr>
        <w:t>一般公共服务（类）宣传事务（款）事业运行（项）：指中国共产党宣传部门事业单位的基本支出，不包括行政单位后勤服务中心、医务室等附属事业单位。</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仿宋_GB2312" w:eastAsia="仿宋_GB2312"/>
          <w:sz w:val="32"/>
          <w:szCs w:val="32"/>
        </w:rPr>
        <w:t>文化体育与传媒（类）文化和旅游（款）文化活动（项）：指政府在举办大型文化艺术活动的支出。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仿宋_GB2312" w:eastAsia="仿宋_GB2312"/>
          <w:sz w:val="32"/>
          <w:szCs w:val="32"/>
        </w:rPr>
        <w:t>文化体育与传媒（类）文化和旅游（款）其他文化和旅游（项）：反映其他用于文化和旅游方面的支出等。</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仿宋_GB2312" w:eastAsia="仿宋_GB2312"/>
          <w:sz w:val="32"/>
          <w:szCs w:val="32"/>
        </w:rPr>
        <w:t>文化体育与传媒（类）新闻出版电影（款）电影（项）：指政府在电影制片、发行、放映等方面的支出。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w:t>
      </w:r>
      <w:r>
        <w:rPr>
          <w:rFonts w:hint="eastAsia" w:ascii="仿宋_GB2312" w:eastAsia="仿宋_GB2312"/>
          <w:sz w:val="32"/>
          <w:szCs w:val="32"/>
        </w:rPr>
        <w:t>文化体育与传媒（类）其他文化旅游体育与传媒（款）宣传文化发展专项（项）：反映按照国家有关政策支持宣传文化单位发展的专项支出。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仿宋_GB2312" w:eastAsia="仿宋_GB2312"/>
          <w:sz w:val="32"/>
          <w:szCs w:val="32"/>
        </w:rPr>
        <w:t>文化体育与传媒（类）其他文化旅游体育与传媒支出（款）其他文化旅游体育与传媒（项）：反映其他用于文化旅游体育与传媒方面的支出。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仿宋_GB2312" w:eastAsia="仿宋_GB2312"/>
          <w:sz w:val="32"/>
          <w:szCs w:val="32"/>
        </w:rPr>
        <w:t>社会保障和就业（类）行政事业单位养老</w:t>
      </w:r>
      <w:r>
        <w:rPr>
          <w:rFonts w:hint="eastAsia" w:ascii="仿宋_GB2312" w:eastAsia="仿宋_GB2312"/>
          <w:spacing w:val="-6"/>
          <w:sz w:val="32"/>
          <w:szCs w:val="32"/>
        </w:rPr>
        <w:t>（款）行政单位离退休（项）：指行政单位开支的离退休经费。</w:t>
      </w:r>
    </w:p>
    <w:p>
      <w:pPr>
        <w:pStyle w:val="31"/>
        <w:spacing w:line="560" w:lineRule="exact"/>
        <w:rPr>
          <w:rFonts w:ascii="仿宋_GB2312" w:eastAsia="仿宋_GB2312"/>
          <w:spacing w:val="-6"/>
          <w:sz w:val="32"/>
          <w:szCs w:val="32"/>
        </w:rPr>
      </w:pPr>
      <w:r>
        <w:rPr>
          <w:rFonts w:hint="eastAsia" w:ascii="仿宋_GB2312" w:eastAsia="仿宋_GB2312"/>
          <w:sz w:val="32"/>
          <w:szCs w:val="32"/>
        </w:rPr>
        <w:t xml:space="preserve">    </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仿宋_GB2312" w:eastAsia="仿宋_GB2312"/>
          <w:sz w:val="32"/>
          <w:szCs w:val="32"/>
        </w:rPr>
        <w:t>社会保障和就业（类）行政事业单位养老（款）机关事业单位基本养老保险缴费（项）：指机关</w:t>
      </w:r>
      <w:r>
        <w:rPr>
          <w:rFonts w:hint="eastAsia" w:ascii="仿宋_GB2312" w:eastAsia="仿宋_GB2312"/>
          <w:spacing w:val="-6"/>
          <w:sz w:val="32"/>
          <w:szCs w:val="32"/>
        </w:rPr>
        <w:t>事业单位实施养老保险制度由单位缴纳的基本养老保险支出。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仿宋_GB2312" w:eastAsia="仿宋_GB2312"/>
          <w:sz w:val="32"/>
          <w:szCs w:val="32"/>
        </w:rPr>
        <w:t>社会保障和就业（类）行政事业单位养老（款）机关事业单位职业年金缴费（项）：反映机关事业单位实施养老保险制度由单位实际缴纳的职业年金支出。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w:t>
      </w:r>
      <w:r>
        <w:rPr>
          <w:rFonts w:hint="eastAsia" w:ascii="仿宋_GB2312" w:eastAsia="仿宋_GB2312"/>
          <w:sz w:val="32"/>
          <w:szCs w:val="32"/>
        </w:rPr>
        <w:t>社会保障和就业（类）其他社会保障和就业支出（款）其他社会保障和就业支出（项）：反映其他用于社会保障和就业方面的支出。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仿宋_GB2312" w:eastAsia="仿宋_GB2312"/>
          <w:sz w:val="32"/>
          <w:szCs w:val="32"/>
        </w:rPr>
        <w:t>卫生健康支出（类）行政事业单位医疗（款）行政单位医疗（项）：指财政部门安排的行政单位基本医疗保险缴费经费，未参加医疗保险的行政单位的公费医疗经费，按国家规定享受离休人员、红军老战士待遇人员的医疗经费。</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仿宋_GB2312" w:eastAsia="仿宋_GB2312"/>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仿宋_GB2312" w:eastAsia="仿宋_GB2312"/>
          <w:sz w:val="32"/>
          <w:szCs w:val="32"/>
        </w:rPr>
        <w:t>卫生健康支出（类）行政事业单位医疗（款）公务员医疗补助（项）：指财政部门安排的公务员医疗补助经费。</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仿宋_GB2312" w:eastAsia="仿宋_GB2312"/>
          <w:sz w:val="32"/>
          <w:szCs w:val="32"/>
        </w:rPr>
        <w:t>基本支出：指为保障机构正常运转、完成日常工作任务而发生的人员支出和公用支出。</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31"/>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3"/>
          <w:rFonts w:ascii="黑体" w:hAnsi="黑体" w:eastAsia="黑体"/>
          <w:b w:val="0"/>
        </w:rPr>
      </w:pPr>
      <w:bookmarkStart w:id="99" w:name="_Toc15377226"/>
      <w:r>
        <w:rPr>
          <w:rFonts w:ascii="宋体"/>
          <w:b/>
          <w:sz w:val="44"/>
          <w:szCs w:val="44"/>
        </w:rPr>
        <w:br w:type="page"/>
      </w:r>
      <w:bookmarkStart w:id="100" w:name="_Toc149229142"/>
      <w:bookmarkStart w:id="101" w:name="_Toc15396614"/>
      <w:r>
        <w:rPr>
          <w:rFonts w:hint="eastAsia" w:ascii="黑体" w:hAnsi="黑体" w:eastAsia="黑体"/>
          <w:sz w:val="44"/>
          <w:szCs w:val="44"/>
        </w:rPr>
        <w:t>第</w:t>
      </w:r>
      <w:r>
        <w:rPr>
          <w:rStyle w:val="33"/>
          <w:rFonts w:hint="eastAsia" w:ascii="黑体" w:hAnsi="黑体" w:eastAsia="黑体"/>
          <w:b w:val="0"/>
        </w:rPr>
        <w:t>四部分 附件</w:t>
      </w:r>
      <w:bookmarkEnd w:id="100"/>
      <w:bookmarkEnd w:id="101"/>
    </w:p>
    <w:p>
      <w:pPr>
        <w:spacing w:line="572" w:lineRule="exact"/>
        <w:jc w:val="left"/>
        <w:outlineLvl w:val="0"/>
        <w:rPr>
          <w:rFonts w:eastAsia="仿宋"/>
          <w:bCs/>
          <w:sz w:val="32"/>
          <w:szCs w:val="32"/>
        </w:rPr>
      </w:pPr>
      <w:bookmarkStart w:id="102" w:name="_Toc149229143"/>
      <w:r>
        <w:rPr>
          <w:rFonts w:hint="eastAsia" w:eastAsia="仿宋"/>
          <w:bCs/>
          <w:sz w:val="32"/>
          <w:szCs w:val="32"/>
        </w:rPr>
        <w:t>附件1</w:t>
      </w:r>
      <w:bookmarkEnd w:id="102"/>
    </w:p>
    <w:p>
      <w:pPr>
        <w:widowControl/>
        <w:spacing w:line="560" w:lineRule="exact"/>
        <w:contextualSpacing/>
        <w:jc w:val="center"/>
        <w:rPr>
          <w:rFonts w:hint="eastAsia" w:ascii="宋体" w:hAnsi="宋体"/>
          <w:b/>
          <w:sz w:val="44"/>
          <w:szCs w:val="44"/>
          <w:shd w:val="clear" w:color="auto" w:fill="FFFFFF"/>
        </w:rPr>
      </w:pPr>
      <w:r>
        <w:rPr>
          <w:rFonts w:hint="eastAsia" w:ascii="宋体" w:hAnsi="宋体"/>
          <w:b/>
          <w:sz w:val="44"/>
          <w:szCs w:val="44"/>
          <w:shd w:val="clear" w:color="auto" w:fill="FFFFFF"/>
        </w:rPr>
        <w:t>2022年中共米易县委宣传部</w:t>
      </w:r>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p>
    <w:p>
      <w:pPr>
        <w:pStyle w:val="2"/>
        <w:spacing w:before="93"/>
        <w:rPr>
          <w:rFonts w:ascii="Times New Roman" w:eastAsia="仿宋"/>
          <w:bCs/>
          <w:kern w:val="2"/>
          <w:sz w:val="32"/>
          <w:szCs w:val="32"/>
        </w:rPr>
      </w:pPr>
      <w:r>
        <w:rPr>
          <w:rFonts w:hint="eastAsia" w:ascii="Times New Roman" w:eastAsia="仿宋"/>
          <w:bCs/>
          <w:kern w:val="2"/>
          <w:sz w:val="32"/>
          <w:szCs w:val="32"/>
        </w:rPr>
        <w:t xml:space="preserve">    </w:t>
      </w:r>
      <w:r>
        <w:rPr>
          <w:rFonts w:ascii="Times New Roman" w:eastAsia="仿宋"/>
          <w:bCs/>
          <w:kern w:val="2"/>
          <w:sz w:val="32"/>
          <w:szCs w:val="32"/>
        </w:rPr>
        <w:t>县委宣传部共有4个内设机构，分别是：办公室、宣传和思想政治教育股、精神文明建设股、文化新闻出版电影管理股，有2个下属事业单位：中共米易县委对外宣传服务中心、米易县新时代文明实践服务中心。</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pStyle w:val="2"/>
        <w:spacing w:before="93"/>
        <w:rPr>
          <w:rFonts w:ascii="Times New Roman" w:eastAsia="仿宋"/>
          <w:bCs/>
          <w:kern w:val="2"/>
          <w:sz w:val="32"/>
          <w:szCs w:val="32"/>
        </w:rPr>
      </w:pPr>
      <w:r>
        <w:rPr>
          <w:rFonts w:hint="eastAsia" w:ascii="Times New Roman" w:eastAsia="仿宋"/>
          <w:bCs/>
          <w:kern w:val="2"/>
          <w:sz w:val="32"/>
          <w:szCs w:val="32"/>
        </w:rPr>
        <w:t xml:space="preserve">    1.</w:t>
      </w:r>
      <w:r>
        <w:rPr>
          <w:rFonts w:ascii="Times New Roman" w:eastAsia="仿宋"/>
          <w:bCs/>
          <w:kern w:val="2"/>
          <w:sz w:val="32"/>
          <w:szCs w:val="32"/>
        </w:rPr>
        <w:t>机构职能</w:t>
      </w:r>
    </w:p>
    <w:p>
      <w:pPr>
        <w:widowControl/>
        <w:snapToGrid w:val="0"/>
        <w:spacing w:line="560" w:lineRule="exact"/>
        <w:ind w:firstLine="640"/>
        <w:rPr>
          <w:rFonts w:eastAsia="仿宋"/>
          <w:bCs/>
          <w:sz w:val="32"/>
          <w:szCs w:val="32"/>
        </w:rPr>
      </w:pPr>
      <w:r>
        <w:rPr>
          <w:rFonts w:hint="eastAsia" w:eastAsia="仿宋"/>
          <w:bCs/>
          <w:sz w:val="32"/>
          <w:szCs w:val="32"/>
        </w:rPr>
        <w:t>(</w:t>
      </w:r>
      <w:r>
        <w:rPr>
          <w:rFonts w:eastAsia="仿宋"/>
          <w:bCs/>
          <w:sz w:val="32"/>
          <w:szCs w:val="32"/>
        </w:rPr>
        <w:t>1</w:t>
      </w:r>
      <w:r>
        <w:rPr>
          <w:rFonts w:hint="eastAsia" w:eastAsia="仿宋"/>
          <w:bCs/>
          <w:sz w:val="32"/>
          <w:szCs w:val="32"/>
        </w:rPr>
        <w:t>)</w:t>
      </w:r>
      <w:r>
        <w:rPr>
          <w:rFonts w:eastAsia="仿宋"/>
          <w:bCs/>
          <w:sz w:val="32"/>
          <w:szCs w:val="32"/>
        </w:rPr>
        <w:t>负责组织、指导全县理论研究、理论学习、理论宣传和社会科学规划等工作。</w:t>
      </w:r>
    </w:p>
    <w:p>
      <w:pPr>
        <w:widowControl/>
        <w:snapToGrid w:val="0"/>
        <w:spacing w:line="560" w:lineRule="exact"/>
        <w:ind w:firstLine="640"/>
        <w:rPr>
          <w:rFonts w:eastAsia="仿宋"/>
          <w:bCs/>
          <w:sz w:val="32"/>
          <w:szCs w:val="32"/>
        </w:rPr>
      </w:pPr>
      <w:r>
        <w:rPr>
          <w:rFonts w:hint="eastAsia" w:eastAsia="仿宋"/>
          <w:bCs/>
          <w:sz w:val="32"/>
          <w:szCs w:val="32"/>
        </w:rPr>
        <w:t>(2)</w:t>
      </w:r>
      <w:r>
        <w:rPr>
          <w:rFonts w:eastAsia="仿宋"/>
          <w:bCs/>
          <w:sz w:val="32"/>
          <w:szCs w:val="32"/>
        </w:rPr>
        <w:t>负责规划、部署全县性的宣传思想工作，会同有关部门研究和改进基层宣传思想工作；负责指导、协调和组织全县社会宣传工作。</w:t>
      </w:r>
    </w:p>
    <w:p>
      <w:pPr>
        <w:widowControl/>
        <w:snapToGrid w:val="0"/>
        <w:spacing w:line="560" w:lineRule="exact"/>
        <w:ind w:firstLine="640"/>
        <w:rPr>
          <w:rFonts w:eastAsia="仿宋"/>
          <w:bCs/>
          <w:sz w:val="32"/>
          <w:szCs w:val="32"/>
        </w:rPr>
      </w:pPr>
      <w:r>
        <w:rPr>
          <w:rFonts w:hint="eastAsia" w:eastAsia="仿宋"/>
          <w:bCs/>
          <w:sz w:val="32"/>
          <w:szCs w:val="32"/>
        </w:rPr>
        <w:t>(3)</w:t>
      </w:r>
      <w:r>
        <w:rPr>
          <w:rFonts w:eastAsia="仿宋"/>
          <w:bCs/>
          <w:sz w:val="32"/>
          <w:szCs w:val="32"/>
        </w:rPr>
        <w:t>负责指导、监督、管理和协调全县新闻宣传、出版工作，对县级新闻媒体实施方针政策的指导；负责指导、监督和管理全县网络新闻宣传。联系中央、省、市各级新闻单位。</w:t>
      </w:r>
    </w:p>
    <w:p>
      <w:pPr>
        <w:widowControl/>
        <w:snapToGrid w:val="0"/>
        <w:spacing w:line="560" w:lineRule="exact"/>
        <w:ind w:firstLine="640"/>
        <w:rPr>
          <w:rFonts w:eastAsia="仿宋"/>
          <w:bCs/>
          <w:sz w:val="32"/>
          <w:szCs w:val="32"/>
        </w:rPr>
      </w:pPr>
      <w:r>
        <w:rPr>
          <w:rFonts w:hint="eastAsia" w:eastAsia="仿宋"/>
          <w:bCs/>
          <w:sz w:val="32"/>
          <w:szCs w:val="32"/>
        </w:rPr>
        <w:t>(4)</w:t>
      </w:r>
      <w:r>
        <w:rPr>
          <w:rFonts w:eastAsia="仿宋"/>
          <w:bCs/>
          <w:sz w:val="32"/>
          <w:szCs w:val="32"/>
        </w:rPr>
        <w:t>负责全县对外宣传工作的总体规划，组织协调、指导和管理全县的外宣工作。</w:t>
      </w:r>
    </w:p>
    <w:p>
      <w:pPr>
        <w:widowControl/>
        <w:snapToGrid w:val="0"/>
        <w:spacing w:line="560" w:lineRule="exact"/>
        <w:ind w:firstLine="640"/>
        <w:rPr>
          <w:rFonts w:eastAsia="仿宋"/>
          <w:bCs/>
          <w:sz w:val="32"/>
          <w:szCs w:val="32"/>
        </w:rPr>
      </w:pPr>
      <w:r>
        <w:rPr>
          <w:rFonts w:hint="eastAsia" w:eastAsia="仿宋"/>
          <w:bCs/>
          <w:sz w:val="32"/>
          <w:szCs w:val="32"/>
        </w:rPr>
        <w:t>(5)</w:t>
      </w:r>
      <w:r>
        <w:rPr>
          <w:rFonts w:eastAsia="仿宋"/>
          <w:bCs/>
          <w:sz w:val="32"/>
          <w:szCs w:val="32"/>
        </w:rPr>
        <w:t>负责从宏观上指导文化艺术工作、精神产品的生产和文化市场的管理，对县文广旅局、县融媒体中心、县文联等宣传思想文化单位有关工作进行协调指导。</w:t>
      </w:r>
    </w:p>
    <w:p>
      <w:pPr>
        <w:widowControl/>
        <w:snapToGrid w:val="0"/>
        <w:spacing w:line="560" w:lineRule="exact"/>
        <w:ind w:firstLine="640"/>
        <w:rPr>
          <w:rFonts w:eastAsia="仿宋"/>
          <w:bCs/>
          <w:sz w:val="32"/>
          <w:szCs w:val="32"/>
        </w:rPr>
      </w:pPr>
      <w:r>
        <w:rPr>
          <w:rFonts w:hint="eastAsia" w:eastAsia="仿宋"/>
          <w:bCs/>
          <w:sz w:val="32"/>
          <w:szCs w:val="32"/>
        </w:rPr>
        <w:t>(6)</w:t>
      </w:r>
      <w:r>
        <w:rPr>
          <w:rFonts w:eastAsia="仿宋"/>
          <w:bCs/>
          <w:sz w:val="32"/>
          <w:szCs w:val="32"/>
        </w:rPr>
        <w:t>负责全县群众性精神文明创建工作的规划和组织实施；协调、指导和监督全县文明城市、文明单位、文明村镇、社区、行业、未成年人思想道德建设等各类群众性精神文明创建活动。</w:t>
      </w:r>
    </w:p>
    <w:p>
      <w:pPr>
        <w:widowControl/>
        <w:snapToGrid w:val="0"/>
        <w:spacing w:line="560" w:lineRule="exact"/>
        <w:ind w:firstLine="640"/>
        <w:rPr>
          <w:rFonts w:eastAsia="仿宋"/>
          <w:bCs/>
          <w:sz w:val="32"/>
          <w:szCs w:val="32"/>
        </w:rPr>
      </w:pPr>
      <w:r>
        <w:rPr>
          <w:rFonts w:hint="eastAsia" w:eastAsia="仿宋"/>
          <w:bCs/>
          <w:sz w:val="32"/>
          <w:szCs w:val="32"/>
        </w:rPr>
        <w:t>(7)</w:t>
      </w:r>
      <w:r>
        <w:rPr>
          <w:rFonts w:eastAsia="仿宋"/>
          <w:bCs/>
          <w:sz w:val="32"/>
          <w:szCs w:val="32"/>
        </w:rPr>
        <w:t>完成县委交办的其它任务。</w:t>
      </w:r>
    </w:p>
    <w:p>
      <w:pPr>
        <w:spacing w:line="560" w:lineRule="exact"/>
        <w:ind w:firstLine="640"/>
        <w:rPr>
          <w:rFonts w:eastAsia="仿宋"/>
          <w:bCs/>
          <w:sz w:val="32"/>
          <w:szCs w:val="32"/>
        </w:rPr>
      </w:pPr>
      <w:r>
        <w:rPr>
          <w:rFonts w:hint="eastAsia" w:eastAsia="仿宋"/>
          <w:bCs/>
          <w:sz w:val="32"/>
          <w:szCs w:val="32"/>
        </w:rPr>
        <w:t>2.</w:t>
      </w:r>
      <w:r>
        <w:rPr>
          <w:rFonts w:eastAsia="仿宋"/>
          <w:bCs/>
          <w:sz w:val="32"/>
          <w:szCs w:val="32"/>
        </w:rPr>
        <w:t>人员概况</w:t>
      </w:r>
    </w:p>
    <w:p>
      <w:pPr>
        <w:spacing w:line="560" w:lineRule="exact"/>
        <w:ind w:firstLine="640"/>
        <w:rPr>
          <w:rFonts w:eastAsia="仿宋"/>
          <w:bCs/>
          <w:sz w:val="32"/>
          <w:szCs w:val="32"/>
        </w:rPr>
      </w:pPr>
      <w:r>
        <w:rPr>
          <w:rFonts w:eastAsia="仿宋"/>
          <w:bCs/>
          <w:sz w:val="32"/>
          <w:szCs w:val="32"/>
        </w:rPr>
        <w:t>县委宣传部共有行政编制7名，机关后勤编制1名，事业编制9名。2022年年末实有在职行政人员7名，机关后勤1名，事业人员5名，退休人员5名。因公车改革，现有车辆0辆。</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pPr>
        <w:spacing w:line="560" w:lineRule="exact"/>
        <w:ind w:firstLine="640" w:firstLineChars="200"/>
        <w:rPr>
          <w:rFonts w:eastAsia="仿宋"/>
          <w:bCs/>
          <w:sz w:val="32"/>
          <w:szCs w:val="32"/>
        </w:rPr>
      </w:pPr>
      <w:r>
        <w:rPr>
          <w:rFonts w:hint="eastAsia" w:eastAsia="仿宋"/>
          <w:bCs/>
          <w:sz w:val="32"/>
          <w:szCs w:val="32"/>
        </w:rPr>
        <w:t>1、</w:t>
      </w:r>
      <w:r>
        <w:rPr>
          <w:rFonts w:eastAsia="仿宋"/>
          <w:bCs/>
          <w:sz w:val="32"/>
          <w:szCs w:val="32"/>
        </w:rPr>
        <w:t>制发2022年党委（党组）理论学习中心专题安排意见，</w:t>
      </w:r>
      <w:r>
        <w:rPr>
          <w:rFonts w:hint="eastAsia" w:eastAsia="仿宋"/>
          <w:bCs/>
          <w:sz w:val="32"/>
          <w:szCs w:val="32"/>
        </w:rPr>
        <w:t>县委理论学习中心组带头开展学习11次、集中学习研讨6次，带动</w:t>
      </w:r>
      <w:r>
        <w:rPr>
          <w:rFonts w:eastAsia="仿宋"/>
          <w:bCs/>
          <w:sz w:val="32"/>
          <w:szCs w:val="32"/>
        </w:rPr>
        <w:t>各级</w:t>
      </w:r>
      <w:r>
        <w:rPr>
          <w:rFonts w:hint="eastAsia" w:eastAsia="仿宋"/>
          <w:bCs/>
          <w:sz w:val="32"/>
          <w:szCs w:val="32"/>
        </w:rPr>
        <w:t>党委（党组）</w:t>
      </w:r>
      <w:r>
        <w:rPr>
          <w:rFonts w:eastAsia="仿宋"/>
          <w:bCs/>
          <w:sz w:val="32"/>
          <w:szCs w:val="32"/>
        </w:rPr>
        <w:t>理论学习中心组</w:t>
      </w:r>
      <w:r>
        <w:rPr>
          <w:rFonts w:hint="eastAsia" w:eastAsia="仿宋"/>
          <w:bCs/>
          <w:sz w:val="32"/>
          <w:szCs w:val="32"/>
        </w:rPr>
        <w:t>开展</w:t>
      </w:r>
      <w:r>
        <w:rPr>
          <w:rFonts w:eastAsia="仿宋"/>
          <w:bCs/>
          <w:sz w:val="32"/>
          <w:szCs w:val="32"/>
        </w:rPr>
        <w:t>学习</w:t>
      </w:r>
      <w:r>
        <w:rPr>
          <w:rFonts w:hint="eastAsia" w:eastAsia="仿宋"/>
          <w:bCs/>
          <w:sz w:val="32"/>
          <w:szCs w:val="32"/>
        </w:rPr>
        <w:t>547场。选拔54名党员干部组建列席旁听人员库，开展列席旁听35次。18个县委宣讲分队开展专题宣讲9</w:t>
      </w:r>
      <w:r>
        <w:rPr>
          <w:rFonts w:eastAsia="仿宋"/>
          <w:bCs/>
          <w:sz w:val="32"/>
          <w:szCs w:val="32"/>
        </w:rPr>
        <w:t>00</w:t>
      </w:r>
      <w:r>
        <w:rPr>
          <w:rFonts w:hint="eastAsia" w:eastAsia="仿宋"/>
          <w:bCs/>
          <w:sz w:val="32"/>
          <w:szCs w:val="32"/>
        </w:rPr>
        <w:t>余场次、覆盖群众6万余人次。开设专题专栏，深入宣传各项决策部署。开展线上线下理论宣传宣讲活动，“米易讲堂”基层理论宣讲比赛网络展示评比吸引16万余人次参与。</w:t>
      </w:r>
    </w:p>
    <w:p>
      <w:pPr>
        <w:spacing w:line="560" w:lineRule="exact"/>
        <w:ind w:firstLine="640" w:firstLineChars="200"/>
        <w:rPr>
          <w:rFonts w:eastAsia="仿宋"/>
          <w:bCs/>
          <w:sz w:val="32"/>
          <w:szCs w:val="32"/>
        </w:rPr>
      </w:pPr>
      <w:r>
        <w:rPr>
          <w:rFonts w:hint="eastAsia" w:eastAsia="仿宋"/>
          <w:bCs/>
          <w:sz w:val="32"/>
          <w:szCs w:val="32"/>
        </w:rPr>
        <w:t>2、</w:t>
      </w:r>
      <w:r>
        <w:rPr>
          <w:rFonts w:eastAsia="仿宋"/>
          <w:bCs/>
          <w:sz w:val="32"/>
          <w:szCs w:val="32"/>
        </w:rPr>
        <w:t>联合川报、川台参与重大主题宣传，</w:t>
      </w:r>
      <w:r>
        <w:rPr>
          <w:rFonts w:hint="eastAsia" w:eastAsia="仿宋"/>
          <w:bCs/>
          <w:sz w:val="32"/>
          <w:szCs w:val="32"/>
        </w:rPr>
        <w:t>今年以来累计在中央、省、市主流媒体刊载稿件</w:t>
      </w:r>
      <w:r>
        <w:rPr>
          <w:rFonts w:eastAsia="仿宋"/>
          <w:bCs/>
          <w:sz w:val="32"/>
          <w:szCs w:val="32"/>
        </w:rPr>
        <w:t>1426</w:t>
      </w:r>
      <w:r>
        <w:rPr>
          <w:rFonts w:hint="eastAsia" w:eastAsia="仿宋"/>
          <w:bCs/>
          <w:sz w:val="32"/>
          <w:szCs w:val="32"/>
        </w:rPr>
        <w:t>篇。在县级媒体开设</w:t>
      </w:r>
      <w:r>
        <w:rPr>
          <w:rFonts w:eastAsia="仿宋"/>
          <w:bCs/>
          <w:sz w:val="32"/>
          <w:szCs w:val="32"/>
        </w:rPr>
        <w:t>专栏</w:t>
      </w:r>
      <w:r>
        <w:rPr>
          <w:rFonts w:hint="eastAsia" w:eastAsia="仿宋"/>
          <w:bCs/>
          <w:sz w:val="32"/>
          <w:szCs w:val="32"/>
        </w:rPr>
        <w:t>35</w:t>
      </w:r>
      <w:r>
        <w:rPr>
          <w:rFonts w:eastAsia="仿宋"/>
          <w:bCs/>
          <w:sz w:val="32"/>
          <w:szCs w:val="32"/>
        </w:rPr>
        <w:t>个</w:t>
      </w:r>
      <w:r>
        <w:rPr>
          <w:rFonts w:hint="eastAsia" w:eastAsia="仿宋"/>
          <w:bCs/>
          <w:sz w:val="32"/>
          <w:szCs w:val="32"/>
        </w:rPr>
        <w:t>，拍摄制作宣传推介米易短视频200余个，“学习强国”平台采用稿件、短视频共163条（个）。组织开展群众性宣传教育活动，挖掘聚集本土</w:t>
      </w:r>
      <w:r>
        <w:rPr>
          <w:rFonts w:eastAsia="仿宋"/>
          <w:bCs/>
          <w:sz w:val="32"/>
          <w:szCs w:val="32"/>
        </w:rPr>
        <w:t>10名</w:t>
      </w:r>
      <w:r>
        <w:rPr>
          <w:rFonts w:hint="eastAsia" w:eastAsia="仿宋"/>
          <w:bCs/>
          <w:sz w:val="32"/>
          <w:szCs w:val="32"/>
        </w:rPr>
        <w:t>“</w:t>
      </w:r>
      <w:r>
        <w:rPr>
          <w:rFonts w:eastAsia="仿宋"/>
          <w:bCs/>
          <w:sz w:val="32"/>
          <w:szCs w:val="32"/>
        </w:rPr>
        <w:t>网红</w:t>
      </w:r>
      <w:r>
        <w:rPr>
          <w:rFonts w:hint="eastAsia" w:eastAsia="仿宋"/>
          <w:bCs/>
          <w:sz w:val="32"/>
          <w:szCs w:val="32"/>
        </w:rPr>
        <w:t>”</w:t>
      </w:r>
      <w:r>
        <w:rPr>
          <w:rFonts w:eastAsia="仿宋"/>
          <w:bCs/>
          <w:sz w:val="32"/>
          <w:szCs w:val="32"/>
        </w:rPr>
        <w:t>，引导积极参与传播、点赞米易正能量。</w:t>
      </w:r>
      <w:r>
        <w:rPr>
          <w:rFonts w:hint="eastAsia" w:eastAsia="仿宋"/>
          <w:bCs/>
          <w:sz w:val="32"/>
          <w:szCs w:val="32"/>
        </w:rPr>
        <w:t>“阳光米易”客</w:t>
      </w:r>
      <w:r>
        <w:rPr>
          <w:rFonts w:eastAsia="仿宋"/>
          <w:bCs/>
          <w:sz w:val="32"/>
          <w:szCs w:val="32"/>
        </w:rPr>
        <w:t>户端推送信息4311条</w:t>
      </w:r>
      <w:r>
        <w:rPr>
          <w:rFonts w:hint="eastAsia" w:eastAsia="仿宋"/>
          <w:bCs/>
          <w:sz w:val="32"/>
          <w:szCs w:val="32"/>
        </w:rPr>
        <w:t>，“阳光米易”政</w:t>
      </w:r>
      <w:r>
        <w:rPr>
          <w:rFonts w:eastAsia="仿宋"/>
          <w:bCs/>
          <w:sz w:val="32"/>
          <w:szCs w:val="32"/>
        </w:rPr>
        <w:t>务微信公众号共推送图文信息303期2234条</w:t>
      </w:r>
      <w:r>
        <w:rPr>
          <w:rFonts w:hint="eastAsia" w:eastAsia="仿宋"/>
          <w:bCs/>
          <w:sz w:val="32"/>
          <w:szCs w:val="32"/>
        </w:rPr>
        <w:t>，“阳光米易”</w:t>
      </w:r>
      <w:r>
        <w:rPr>
          <w:rFonts w:eastAsia="仿宋"/>
          <w:bCs/>
          <w:sz w:val="32"/>
          <w:szCs w:val="32"/>
        </w:rPr>
        <w:t>政务微博共推送信息2428条；拍摄制作抖音</w:t>
      </w:r>
      <w:r>
        <w:rPr>
          <w:rFonts w:hint="eastAsia" w:eastAsia="仿宋"/>
          <w:bCs/>
          <w:sz w:val="32"/>
          <w:szCs w:val="32"/>
        </w:rPr>
        <w:t>短视频</w:t>
      </w:r>
      <w:r>
        <w:rPr>
          <w:rFonts w:eastAsia="仿宋"/>
          <w:bCs/>
          <w:sz w:val="32"/>
          <w:szCs w:val="32"/>
        </w:rPr>
        <w:t>300余</w:t>
      </w:r>
      <w:r>
        <w:rPr>
          <w:rFonts w:hint="eastAsia" w:eastAsia="仿宋"/>
          <w:bCs/>
          <w:sz w:val="32"/>
          <w:szCs w:val="32"/>
        </w:rPr>
        <w:t>个</w:t>
      </w:r>
      <w:r>
        <w:rPr>
          <w:rFonts w:eastAsia="仿宋"/>
          <w:bCs/>
          <w:sz w:val="32"/>
          <w:szCs w:val="32"/>
        </w:rPr>
        <w:t>，总观看量达</w:t>
      </w:r>
      <w:r>
        <w:rPr>
          <w:rFonts w:hint="eastAsia" w:eastAsia="仿宋"/>
          <w:bCs/>
          <w:sz w:val="32"/>
          <w:szCs w:val="32"/>
        </w:rPr>
        <w:t>4</w:t>
      </w:r>
      <w:r>
        <w:rPr>
          <w:rFonts w:eastAsia="仿宋"/>
          <w:bCs/>
          <w:sz w:val="32"/>
          <w:szCs w:val="32"/>
        </w:rPr>
        <w:t>00</w:t>
      </w:r>
      <w:r>
        <w:rPr>
          <w:rFonts w:hint="eastAsia" w:eastAsia="仿宋"/>
          <w:bCs/>
          <w:sz w:val="32"/>
          <w:szCs w:val="32"/>
        </w:rPr>
        <w:t>余</w:t>
      </w:r>
      <w:r>
        <w:rPr>
          <w:rFonts w:eastAsia="仿宋"/>
          <w:bCs/>
          <w:sz w:val="32"/>
          <w:szCs w:val="32"/>
        </w:rPr>
        <w:t>万人次；电视台播发新闻1300</w:t>
      </w:r>
      <w:r>
        <w:rPr>
          <w:rFonts w:hint="eastAsia" w:eastAsia="仿宋"/>
          <w:bCs/>
          <w:sz w:val="32"/>
          <w:szCs w:val="32"/>
        </w:rPr>
        <w:t>余</w:t>
      </w:r>
      <w:r>
        <w:rPr>
          <w:rFonts w:eastAsia="仿宋"/>
          <w:bCs/>
          <w:sz w:val="32"/>
          <w:szCs w:val="32"/>
        </w:rPr>
        <w:t>条；制作播出电台节目305期。</w:t>
      </w:r>
    </w:p>
    <w:p>
      <w:pPr>
        <w:spacing w:line="560" w:lineRule="exact"/>
        <w:ind w:firstLine="640" w:firstLineChars="200"/>
        <w:rPr>
          <w:rFonts w:eastAsia="仿宋"/>
          <w:bCs/>
          <w:sz w:val="32"/>
          <w:szCs w:val="32"/>
        </w:rPr>
      </w:pPr>
      <w:r>
        <w:rPr>
          <w:rFonts w:hint="eastAsia" w:eastAsia="仿宋"/>
          <w:bCs/>
          <w:sz w:val="32"/>
          <w:szCs w:val="32"/>
        </w:rPr>
        <w:t>3、制发意识形态工作</w:t>
      </w:r>
      <w:r>
        <w:rPr>
          <w:rFonts w:eastAsia="仿宋"/>
          <w:bCs/>
          <w:sz w:val="32"/>
          <w:szCs w:val="32"/>
        </w:rPr>
        <w:t>6</w:t>
      </w:r>
      <w:r>
        <w:rPr>
          <w:rFonts w:hint="eastAsia" w:eastAsia="仿宋"/>
          <w:bCs/>
          <w:sz w:val="32"/>
          <w:szCs w:val="32"/>
        </w:rPr>
        <w:t>项制度并强化执行落实。组织开展重点领域意识形态分析研判3次，</w:t>
      </w:r>
      <w:r>
        <w:rPr>
          <w:rFonts w:eastAsia="仿宋"/>
          <w:bCs/>
          <w:sz w:val="32"/>
          <w:szCs w:val="32"/>
        </w:rPr>
        <w:t>专项督查</w:t>
      </w:r>
      <w:r>
        <w:rPr>
          <w:rFonts w:hint="eastAsia" w:eastAsia="仿宋"/>
          <w:bCs/>
          <w:sz w:val="32"/>
          <w:szCs w:val="32"/>
        </w:rPr>
        <w:t>1次，实地督查12个党委（党组）。采取线上线下相结合方式开展意识形态工作培训</w:t>
      </w:r>
      <w:r>
        <w:rPr>
          <w:rFonts w:eastAsia="仿宋"/>
          <w:bCs/>
          <w:sz w:val="32"/>
          <w:szCs w:val="32"/>
        </w:rPr>
        <w:t>5</w:t>
      </w:r>
      <w:r>
        <w:rPr>
          <w:rFonts w:hint="eastAsia" w:eastAsia="仿宋"/>
          <w:bCs/>
          <w:sz w:val="32"/>
          <w:szCs w:val="32"/>
        </w:rPr>
        <w:t>期、应知应会测试</w:t>
      </w:r>
      <w:r>
        <w:rPr>
          <w:rFonts w:eastAsia="仿宋"/>
          <w:bCs/>
          <w:sz w:val="32"/>
          <w:szCs w:val="32"/>
        </w:rPr>
        <w:t>5788人次</w:t>
      </w:r>
      <w:r>
        <w:rPr>
          <w:rFonts w:hint="eastAsia" w:eastAsia="仿宋"/>
          <w:bCs/>
          <w:sz w:val="32"/>
          <w:szCs w:val="32"/>
        </w:rPr>
        <w:t>，考察干部意识形态方面情况70人次，审批备案</w:t>
      </w:r>
      <w:r>
        <w:rPr>
          <w:rFonts w:eastAsia="仿宋"/>
          <w:bCs/>
          <w:sz w:val="32"/>
          <w:szCs w:val="32"/>
        </w:rPr>
        <w:t>4件次。</w:t>
      </w:r>
      <w:r>
        <w:rPr>
          <w:rFonts w:hint="eastAsia" w:eastAsia="仿宋"/>
          <w:bCs/>
          <w:sz w:val="32"/>
          <w:szCs w:val="32"/>
        </w:rPr>
        <w:t>成功申报为</w:t>
      </w:r>
      <w:r>
        <w:rPr>
          <w:rFonts w:eastAsia="仿宋"/>
          <w:bCs/>
          <w:sz w:val="32"/>
          <w:szCs w:val="32"/>
        </w:rPr>
        <w:t>四川省数字乡村</w:t>
      </w:r>
      <w:r>
        <w:rPr>
          <w:rFonts w:hint="eastAsia" w:eastAsia="仿宋"/>
          <w:bCs/>
          <w:sz w:val="32"/>
          <w:szCs w:val="32"/>
        </w:rPr>
        <w:t>试点</w:t>
      </w:r>
      <w:r>
        <w:rPr>
          <w:rFonts w:eastAsia="仿宋"/>
          <w:bCs/>
          <w:sz w:val="32"/>
          <w:szCs w:val="32"/>
        </w:rPr>
        <w:t>地区</w:t>
      </w:r>
      <w:r>
        <w:rPr>
          <w:rFonts w:hint="eastAsia" w:eastAsia="仿宋"/>
          <w:bCs/>
          <w:sz w:val="32"/>
          <w:szCs w:val="32"/>
        </w:rPr>
        <w:t>，加快网络综合治理数字化应用场景建设。开展网络安全和网络生态治理联合检查行动3次，落实网络应急响应机制，全县网络安全形势总体平稳向好。</w:t>
      </w:r>
    </w:p>
    <w:p>
      <w:pPr>
        <w:spacing w:line="560" w:lineRule="exact"/>
        <w:ind w:firstLine="660"/>
        <w:jc w:val="left"/>
        <w:rPr>
          <w:rFonts w:eastAsia="仿宋"/>
          <w:bCs/>
          <w:sz w:val="32"/>
          <w:szCs w:val="32"/>
        </w:rPr>
      </w:pPr>
      <w:r>
        <w:rPr>
          <w:rFonts w:hint="eastAsia" w:eastAsia="仿宋"/>
          <w:bCs/>
          <w:sz w:val="32"/>
          <w:szCs w:val="32"/>
        </w:rPr>
        <w:t>4、坚持全县参与、全域创建，细化提升创文点位288个，精心准备网报资料180余项。提高创建标准，投入资金540余万元持续提升创文成果，精心布置景观小品21个，改造提升老旧小区32个，全城全域10米以内可见公益广告，市场超市、医院学校、街道路段规范有序，交通秩序、市容环境提升有力。完成中央文明办对全县28类45个实地点位的复查测评。实现新时代文明实践中心、所、站</w:t>
      </w:r>
      <w:r>
        <w:rPr>
          <w:rFonts w:eastAsia="仿宋"/>
          <w:bCs/>
          <w:sz w:val="32"/>
          <w:szCs w:val="32"/>
        </w:rPr>
        <w:t>100%全</w:t>
      </w:r>
      <w:r>
        <w:rPr>
          <w:rFonts w:hint="eastAsia" w:eastAsia="仿宋"/>
          <w:bCs/>
          <w:sz w:val="32"/>
          <w:szCs w:val="32"/>
        </w:rPr>
        <w:t>覆盖，全县共创建省级文明单位（含最佳）7个、市</w:t>
      </w:r>
      <w:r>
        <w:rPr>
          <w:rFonts w:hint="eastAsia" w:eastAsia="仿宋"/>
          <w:bCs/>
          <w:sz w:val="32"/>
          <w:szCs w:val="32"/>
          <w:lang w:eastAsia="zh-CN"/>
        </w:rPr>
        <w:t>级</w:t>
      </w:r>
      <w:r>
        <w:rPr>
          <w:rFonts w:hint="eastAsia" w:eastAsia="仿宋"/>
          <w:bCs/>
          <w:sz w:val="32"/>
          <w:szCs w:val="32"/>
        </w:rPr>
        <w:t>文明单位（含标兵）54个、县级文明单位33个；创建</w:t>
      </w:r>
      <w:r>
        <w:rPr>
          <w:rFonts w:eastAsia="仿宋"/>
          <w:bCs/>
          <w:sz w:val="32"/>
          <w:szCs w:val="32"/>
        </w:rPr>
        <w:t>全国文明村</w:t>
      </w:r>
      <w:r>
        <w:rPr>
          <w:rFonts w:hint="eastAsia" w:eastAsia="仿宋"/>
          <w:bCs/>
          <w:sz w:val="32"/>
          <w:szCs w:val="32"/>
        </w:rPr>
        <w:t>镇3</w:t>
      </w:r>
      <w:r>
        <w:rPr>
          <w:rFonts w:eastAsia="仿宋"/>
          <w:bCs/>
          <w:sz w:val="32"/>
          <w:szCs w:val="32"/>
        </w:rPr>
        <w:t>个、省级文明村</w:t>
      </w:r>
      <w:r>
        <w:rPr>
          <w:rFonts w:hint="eastAsia" w:eastAsia="仿宋"/>
          <w:bCs/>
          <w:sz w:val="32"/>
          <w:szCs w:val="32"/>
        </w:rPr>
        <w:t>镇5</w:t>
      </w:r>
      <w:r>
        <w:rPr>
          <w:rFonts w:eastAsia="仿宋"/>
          <w:bCs/>
          <w:sz w:val="32"/>
          <w:szCs w:val="32"/>
        </w:rPr>
        <w:t>个</w:t>
      </w:r>
      <w:r>
        <w:rPr>
          <w:rFonts w:hint="eastAsia" w:eastAsia="仿宋"/>
          <w:bCs/>
          <w:sz w:val="32"/>
          <w:szCs w:val="32"/>
        </w:rPr>
        <w:t>、</w:t>
      </w:r>
      <w:r>
        <w:rPr>
          <w:rFonts w:eastAsia="仿宋"/>
          <w:bCs/>
          <w:sz w:val="32"/>
          <w:szCs w:val="32"/>
        </w:rPr>
        <w:t>市</w:t>
      </w:r>
      <w:r>
        <w:rPr>
          <w:rFonts w:hint="eastAsia" w:eastAsia="仿宋"/>
          <w:bCs/>
          <w:sz w:val="32"/>
          <w:szCs w:val="32"/>
        </w:rPr>
        <w:t>级</w:t>
      </w:r>
      <w:r>
        <w:rPr>
          <w:rFonts w:eastAsia="仿宋"/>
          <w:bCs/>
          <w:sz w:val="32"/>
          <w:szCs w:val="32"/>
        </w:rPr>
        <w:t>文明村</w:t>
      </w:r>
      <w:r>
        <w:rPr>
          <w:rFonts w:hint="eastAsia" w:eastAsia="仿宋"/>
          <w:bCs/>
          <w:sz w:val="32"/>
          <w:szCs w:val="32"/>
        </w:rPr>
        <w:t>镇33</w:t>
      </w:r>
      <w:r>
        <w:rPr>
          <w:rFonts w:eastAsia="仿宋"/>
          <w:bCs/>
          <w:sz w:val="32"/>
          <w:szCs w:val="32"/>
        </w:rPr>
        <w:t>个</w:t>
      </w:r>
      <w:r>
        <w:rPr>
          <w:rFonts w:hint="eastAsia" w:eastAsia="仿宋"/>
          <w:bCs/>
          <w:sz w:val="32"/>
          <w:szCs w:val="32"/>
        </w:rPr>
        <w:t>、县级文明村镇35个；</w:t>
      </w:r>
      <w:r>
        <w:rPr>
          <w:rFonts w:eastAsia="仿宋"/>
          <w:bCs/>
          <w:sz w:val="32"/>
          <w:szCs w:val="32"/>
        </w:rPr>
        <w:t>创建省级文明校园1个</w:t>
      </w:r>
      <w:r>
        <w:rPr>
          <w:rFonts w:hint="eastAsia" w:eastAsia="仿宋"/>
          <w:bCs/>
          <w:sz w:val="32"/>
          <w:szCs w:val="32"/>
        </w:rPr>
        <w:t>、</w:t>
      </w:r>
      <w:r>
        <w:rPr>
          <w:rFonts w:eastAsia="仿宋"/>
          <w:bCs/>
          <w:sz w:val="32"/>
          <w:szCs w:val="32"/>
        </w:rPr>
        <w:t>市级文明校园</w:t>
      </w:r>
      <w:r>
        <w:rPr>
          <w:rFonts w:hint="eastAsia" w:eastAsia="仿宋"/>
          <w:bCs/>
          <w:sz w:val="32"/>
          <w:szCs w:val="32"/>
        </w:rPr>
        <w:t>13</w:t>
      </w:r>
      <w:r>
        <w:rPr>
          <w:rFonts w:eastAsia="仿宋"/>
          <w:bCs/>
          <w:sz w:val="32"/>
          <w:szCs w:val="32"/>
        </w:rPr>
        <w:t>个</w:t>
      </w:r>
      <w:r>
        <w:rPr>
          <w:rFonts w:hint="eastAsia" w:eastAsia="仿宋"/>
          <w:bCs/>
          <w:sz w:val="32"/>
          <w:szCs w:val="32"/>
        </w:rPr>
        <w:t>、县级文明校园5个。</w:t>
      </w:r>
    </w:p>
    <w:p>
      <w:pPr>
        <w:spacing w:line="560" w:lineRule="exact"/>
        <w:ind w:firstLine="660"/>
        <w:jc w:val="left"/>
        <w:rPr>
          <w:rFonts w:eastAsia="仿宋"/>
          <w:bCs/>
          <w:sz w:val="32"/>
          <w:szCs w:val="32"/>
        </w:rPr>
      </w:pPr>
      <w:r>
        <w:rPr>
          <w:rFonts w:hint="eastAsia" w:eastAsia="仿宋"/>
          <w:bCs/>
          <w:sz w:val="32"/>
          <w:szCs w:val="32"/>
        </w:rPr>
        <w:t>5、完成第四届米易县道</w:t>
      </w:r>
      <w:r>
        <w:rPr>
          <w:rFonts w:eastAsia="仿宋"/>
          <w:bCs/>
          <w:sz w:val="32"/>
          <w:szCs w:val="32"/>
        </w:rPr>
        <w:t>德模范评选工作，共评选出12名道德模范，向上推荐身边好人12名，其中</w:t>
      </w:r>
      <w:r>
        <w:rPr>
          <w:rFonts w:hint="eastAsia" w:eastAsia="仿宋"/>
          <w:bCs/>
          <w:sz w:val="32"/>
          <w:szCs w:val="32"/>
        </w:rPr>
        <w:t>2</w:t>
      </w:r>
      <w:r>
        <w:rPr>
          <w:rFonts w:eastAsia="仿宋"/>
          <w:bCs/>
          <w:sz w:val="32"/>
          <w:szCs w:val="32"/>
        </w:rPr>
        <w:t>人入选四川好人。</w:t>
      </w:r>
      <w:r>
        <w:rPr>
          <w:rFonts w:hint="eastAsia" w:eastAsia="仿宋"/>
          <w:bCs/>
          <w:sz w:val="32"/>
          <w:szCs w:val="32"/>
        </w:rPr>
        <w:t>创新开展文明单位与村（社区）实践站结对共建模式，为实践站阵地优化、活动开展、志愿服务力量注入新鲜血液。全县共成立新时代文明实践志愿服务队142支，注册志愿者1.2万余人，开展活动1200余场，受益群众达8万余人。</w:t>
      </w:r>
    </w:p>
    <w:p>
      <w:pPr>
        <w:spacing w:line="560" w:lineRule="exact"/>
        <w:ind w:firstLine="660"/>
        <w:jc w:val="left"/>
        <w:rPr>
          <w:rFonts w:eastAsia="仿宋"/>
          <w:bCs/>
          <w:sz w:val="32"/>
          <w:szCs w:val="32"/>
        </w:rPr>
      </w:pPr>
      <w:r>
        <w:rPr>
          <w:rFonts w:hint="eastAsia" w:eastAsia="仿宋"/>
          <w:bCs/>
          <w:sz w:val="32"/>
          <w:szCs w:val="32"/>
        </w:rPr>
        <w:t>6、利用传统节日开展线上线下文艺活动300余场。常态举办“清凉度假·在米易”、“花开四季·相约米易”等系列宣传推介活动，持续打造灯会等春节系</w:t>
      </w:r>
      <w:r>
        <w:rPr>
          <w:rFonts w:eastAsia="仿宋"/>
          <w:bCs/>
          <w:sz w:val="32"/>
          <w:szCs w:val="32"/>
        </w:rPr>
        <w:t>列活动品牌。</w:t>
      </w:r>
      <w:r>
        <w:rPr>
          <w:rFonts w:hint="eastAsia" w:eastAsia="仿宋"/>
          <w:bCs/>
          <w:sz w:val="32"/>
          <w:szCs w:val="32"/>
        </w:rPr>
        <w:t>积极申请中央、省级配套资金，加强农村、社区、学校公益电影放映。打造城市书房点位9个，培育“网红+”业态精品点位1个，储备点位7个。完成作品版权登记880余件，对发行出版单位、出版物市场开展监督管理和行政检查70余家次。结合乡村振兴总体安排部署，成功创建县级样板村镇19个、市级样板村镇3个，争创省级样板镇。</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pStyle w:val="2"/>
        <w:spacing w:before="93"/>
        <w:rPr>
          <w:lang w:val="zh-CN"/>
        </w:rPr>
      </w:pPr>
      <w:r>
        <w:rPr>
          <w:rFonts w:hint="eastAsia" w:hAnsi="仿宋_GB2312" w:cs="仿宋_GB2312"/>
          <w:sz w:val="32"/>
          <w:szCs w:val="32"/>
        </w:rPr>
        <w:t xml:space="preserve">    2022年县委宣传部整体上完成了年初设定的绩效目标，保障了部门的正常运转，促进了宣传、文化、精神文明建设等方面事业的发展，充分发挥了财政资金的经济效益和社会效益。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60" w:firstLineChars="200"/>
        <w:contextualSpacing/>
        <w:jc w:val="left"/>
        <w:rPr>
          <w:rFonts w:ascii="仿宋_GB2312" w:hAnsi="仿宋_GB2312" w:eastAsia="仿宋_GB2312" w:cs="仿宋_GB2312"/>
          <w:kern w:val="0"/>
          <w:sz w:val="32"/>
          <w:szCs w:val="32"/>
          <w:shd w:val="clear" w:color="auto" w:fill="FFFFFF"/>
        </w:rPr>
      </w:pPr>
      <w:r>
        <w:rPr>
          <w:rFonts w:hint="eastAsia" w:eastAsia="方正仿宋_GBK"/>
          <w:kern w:val="0"/>
          <w:sz w:val="33"/>
          <w:szCs w:val="33"/>
        </w:rPr>
        <w:t>1.</w:t>
      </w:r>
      <w:r>
        <w:rPr>
          <w:rFonts w:hint="eastAsia" w:ascii="仿宋_GB2312" w:hAnsi="仿宋_GB2312" w:eastAsia="仿宋_GB2312" w:cs="仿宋_GB2312"/>
          <w:kern w:val="0"/>
          <w:sz w:val="32"/>
          <w:szCs w:val="32"/>
          <w:shd w:val="clear" w:color="auto" w:fill="FFFFFF"/>
        </w:rPr>
        <w:t>部门总体收入情况</w:t>
      </w:r>
    </w:p>
    <w:p>
      <w:pPr>
        <w:snapToGrid w:val="0"/>
        <w:spacing w:line="520" w:lineRule="exact"/>
        <w:ind w:firstLine="660" w:firstLineChars="200"/>
        <w:rPr>
          <w:rFonts w:eastAsia="方正仿宋_GBK"/>
          <w:b/>
          <w:i/>
          <w:sz w:val="33"/>
          <w:szCs w:val="33"/>
        </w:rPr>
      </w:pPr>
      <w:r>
        <w:rPr>
          <w:rFonts w:eastAsia="方正仿宋_GBK"/>
          <w:color w:val="000000"/>
          <w:sz w:val="33"/>
          <w:szCs w:val="33"/>
        </w:rPr>
        <w:t>2022</w:t>
      </w:r>
      <w:r>
        <w:rPr>
          <w:rFonts w:eastAsia="方正仿宋_GBK"/>
          <w:sz w:val="33"/>
          <w:szCs w:val="33"/>
        </w:rPr>
        <w:t>年</w:t>
      </w:r>
      <w:r>
        <w:rPr>
          <w:rFonts w:hint="eastAsia" w:eastAsia="方正仿宋_GBK"/>
          <w:sz w:val="33"/>
          <w:szCs w:val="33"/>
        </w:rPr>
        <w:t>县委宣传部</w:t>
      </w:r>
      <w:r>
        <w:rPr>
          <w:rFonts w:eastAsia="方正仿宋_GBK"/>
          <w:sz w:val="33"/>
          <w:szCs w:val="33"/>
        </w:rPr>
        <w:t>年初预算收入、支出数为</w:t>
      </w:r>
      <w:r>
        <w:rPr>
          <w:rFonts w:eastAsia="方正仿宋_GBK"/>
          <w:color w:val="000000"/>
          <w:sz w:val="33"/>
          <w:szCs w:val="33"/>
        </w:rPr>
        <w:t>314</w:t>
      </w:r>
      <w:r>
        <w:rPr>
          <w:rFonts w:hint="eastAsia" w:eastAsia="方正仿宋_GBK"/>
          <w:color w:val="000000"/>
          <w:sz w:val="33"/>
          <w:szCs w:val="33"/>
        </w:rPr>
        <w:t>.</w:t>
      </w:r>
      <w:r>
        <w:rPr>
          <w:rFonts w:eastAsia="方正仿宋_GBK"/>
          <w:color w:val="000000"/>
          <w:sz w:val="33"/>
          <w:szCs w:val="33"/>
        </w:rPr>
        <w:t>3</w:t>
      </w:r>
      <w:r>
        <w:rPr>
          <w:rFonts w:hint="eastAsia" w:eastAsia="方正仿宋_GBK"/>
          <w:color w:val="000000"/>
          <w:sz w:val="33"/>
          <w:szCs w:val="33"/>
        </w:rPr>
        <w:t>3万</w:t>
      </w:r>
      <w:r>
        <w:rPr>
          <w:rFonts w:eastAsia="方正仿宋_GBK"/>
          <w:sz w:val="33"/>
          <w:szCs w:val="33"/>
        </w:rPr>
        <w:t>元，比上年增加</w:t>
      </w:r>
      <w:r>
        <w:rPr>
          <w:rFonts w:eastAsia="方正仿宋_GBK"/>
          <w:color w:val="000000"/>
          <w:sz w:val="33"/>
          <w:szCs w:val="33"/>
        </w:rPr>
        <w:t>2</w:t>
      </w:r>
      <w:r>
        <w:rPr>
          <w:rFonts w:hint="eastAsia" w:eastAsia="方正仿宋_GBK"/>
          <w:color w:val="000000"/>
          <w:sz w:val="33"/>
          <w:szCs w:val="33"/>
        </w:rPr>
        <w:t>.</w:t>
      </w:r>
      <w:r>
        <w:rPr>
          <w:rFonts w:eastAsia="方正仿宋_GBK"/>
          <w:color w:val="000000"/>
          <w:sz w:val="33"/>
          <w:szCs w:val="33"/>
        </w:rPr>
        <w:t>57</w:t>
      </w:r>
      <w:r>
        <w:rPr>
          <w:rFonts w:hint="eastAsia" w:eastAsia="方正仿宋_GBK"/>
          <w:color w:val="000000"/>
          <w:sz w:val="33"/>
          <w:szCs w:val="33"/>
        </w:rPr>
        <w:t>万</w:t>
      </w:r>
      <w:r>
        <w:rPr>
          <w:rFonts w:eastAsia="方正仿宋_GBK"/>
          <w:sz w:val="33"/>
          <w:szCs w:val="33"/>
        </w:rPr>
        <w:t>元，原因为预算项目数量增加。年度执行中因职工工资变动、增加项目经费等情况，调整预算数为</w:t>
      </w:r>
      <w:r>
        <w:rPr>
          <w:rFonts w:eastAsia="方正仿宋_GBK"/>
          <w:color w:val="000000"/>
          <w:sz w:val="33"/>
          <w:szCs w:val="33"/>
        </w:rPr>
        <w:t>797</w:t>
      </w:r>
      <w:r>
        <w:rPr>
          <w:rFonts w:hint="eastAsia" w:eastAsia="方正仿宋_GBK"/>
          <w:color w:val="000000"/>
          <w:sz w:val="33"/>
          <w:szCs w:val="33"/>
        </w:rPr>
        <w:t>.</w:t>
      </w:r>
      <w:r>
        <w:rPr>
          <w:rFonts w:eastAsia="方正仿宋_GBK"/>
          <w:color w:val="000000"/>
          <w:sz w:val="33"/>
          <w:szCs w:val="33"/>
        </w:rPr>
        <w:t>64</w:t>
      </w:r>
      <w:r>
        <w:rPr>
          <w:rFonts w:hint="eastAsia" w:eastAsia="方正仿宋_GBK"/>
          <w:color w:val="000000"/>
          <w:sz w:val="33"/>
          <w:szCs w:val="33"/>
        </w:rPr>
        <w:t>万</w:t>
      </w:r>
      <w:r>
        <w:rPr>
          <w:rFonts w:eastAsia="方正仿宋_GBK"/>
          <w:sz w:val="33"/>
          <w:szCs w:val="33"/>
        </w:rPr>
        <w:t>元</w:t>
      </w:r>
      <w:r>
        <w:rPr>
          <w:rFonts w:hint="eastAsia" w:eastAsia="方正仿宋_GBK"/>
          <w:sz w:val="33"/>
          <w:szCs w:val="33"/>
        </w:rPr>
        <w:t>，均为一般公共预算财政拨款收入</w:t>
      </w:r>
      <w:r>
        <w:rPr>
          <w:rFonts w:eastAsia="方正仿宋_GBK"/>
          <w:sz w:val="33"/>
          <w:szCs w:val="33"/>
        </w:rPr>
        <w:t>。年初结转和结余</w:t>
      </w:r>
      <w:r>
        <w:rPr>
          <w:rFonts w:eastAsia="方正仿宋_GBK"/>
          <w:color w:val="000000"/>
          <w:sz w:val="33"/>
          <w:szCs w:val="33"/>
        </w:rPr>
        <w:t>1</w:t>
      </w:r>
      <w:r>
        <w:rPr>
          <w:rFonts w:hint="eastAsia" w:eastAsia="方正仿宋_GBK"/>
          <w:color w:val="000000"/>
          <w:sz w:val="33"/>
          <w:szCs w:val="33"/>
        </w:rPr>
        <w:t>.</w:t>
      </w:r>
      <w:r>
        <w:rPr>
          <w:rFonts w:eastAsia="方正仿宋_GBK"/>
          <w:color w:val="000000"/>
          <w:sz w:val="33"/>
          <w:szCs w:val="33"/>
        </w:rPr>
        <w:t>0</w:t>
      </w:r>
      <w:r>
        <w:rPr>
          <w:rFonts w:hint="eastAsia" w:eastAsia="方正仿宋_GBK"/>
          <w:color w:val="000000"/>
          <w:sz w:val="33"/>
          <w:szCs w:val="33"/>
        </w:rPr>
        <w:t>4万</w:t>
      </w:r>
      <w:r>
        <w:rPr>
          <w:rFonts w:eastAsia="方正仿宋_GBK"/>
          <w:sz w:val="33"/>
          <w:szCs w:val="33"/>
        </w:rPr>
        <w:t>元。</w:t>
      </w:r>
    </w:p>
    <w:p>
      <w:pPr>
        <w:widowControl/>
        <w:adjustRightInd w:val="0"/>
        <w:snapToGrid w:val="0"/>
        <w:spacing w:line="560" w:lineRule="exact"/>
        <w:ind w:firstLine="660" w:firstLineChars="200"/>
        <w:contextualSpacing/>
        <w:jc w:val="left"/>
        <w:rPr>
          <w:rFonts w:ascii="仿宋_GB2312" w:hAnsi="仿宋_GB2312" w:eastAsia="仿宋_GB2312" w:cs="仿宋_GB2312"/>
          <w:kern w:val="0"/>
          <w:sz w:val="32"/>
          <w:szCs w:val="32"/>
          <w:shd w:val="clear" w:color="auto" w:fill="FFFFFF"/>
        </w:rPr>
      </w:pPr>
      <w:r>
        <w:rPr>
          <w:rFonts w:hint="eastAsia" w:eastAsia="方正仿宋_GBK"/>
          <w:kern w:val="0"/>
          <w:sz w:val="33"/>
          <w:szCs w:val="33"/>
        </w:rPr>
        <w:t>2.</w:t>
      </w:r>
      <w:r>
        <w:rPr>
          <w:rFonts w:hint="eastAsia" w:ascii="仿宋_GB2312" w:hAnsi="仿宋_GB2312" w:eastAsia="仿宋_GB2312" w:cs="仿宋_GB2312"/>
          <w:kern w:val="0"/>
          <w:sz w:val="32"/>
          <w:szCs w:val="32"/>
          <w:shd w:val="clear" w:color="auto" w:fill="FFFFFF"/>
        </w:rPr>
        <w:t>部门总体支出情况</w:t>
      </w:r>
    </w:p>
    <w:p>
      <w:pPr>
        <w:snapToGrid w:val="0"/>
        <w:spacing w:line="520" w:lineRule="exact"/>
        <w:ind w:firstLine="660" w:firstLineChars="200"/>
        <w:rPr>
          <w:rFonts w:eastAsia="方正仿宋_GBK"/>
          <w:sz w:val="33"/>
          <w:szCs w:val="33"/>
        </w:rPr>
      </w:pPr>
      <w:r>
        <w:rPr>
          <w:rFonts w:eastAsia="方正仿宋_GBK"/>
          <w:color w:val="000000"/>
          <w:sz w:val="33"/>
          <w:szCs w:val="33"/>
        </w:rPr>
        <w:t>2022</w:t>
      </w:r>
      <w:r>
        <w:rPr>
          <w:rFonts w:eastAsia="方正仿宋_GBK"/>
          <w:sz w:val="33"/>
          <w:szCs w:val="33"/>
        </w:rPr>
        <w:t>年</w:t>
      </w:r>
      <w:r>
        <w:rPr>
          <w:rFonts w:hint="eastAsia" w:eastAsia="方正仿宋_GBK"/>
          <w:sz w:val="33"/>
          <w:szCs w:val="33"/>
        </w:rPr>
        <w:t>县委宣传部</w:t>
      </w:r>
      <w:r>
        <w:rPr>
          <w:rFonts w:eastAsia="方正仿宋_GBK"/>
          <w:sz w:val="33"/>
          <w:szCs w:val="33"/>
        </w:rPr>
        <w:t>部门支出决算数为</w:t>
      </w:r>
      <w:r>
        <w:rPr>
          <w:rFonts w:eastAsia="方正仿宋_GBK"/>
          <w:color w:val="000000"/>
          <w:sz w:val="33"/>
          <w:szCs w:val="33"/>
        </w:rPr>
        <w:t>798</w:t>
      </w:r>
      <w:r>
        <w:rPr>
          <w:rFonts w:hint="eastAsia" w:eastAsia="方正仿宋_GBK"/>
          <w:color w:val="000000"/>
          <w:sz w:val="33"/>
          <w:szCs w:val="33"/>
        </w:rPr>
        <w:t>.</w:t>
      </w:r>
      <w:r>
        <w:rPr>
          <w:rFonts w:eastAsia="方正仿宋_GBK"/>
          <w:color w:val="000000"/>
          <w:sz w:val="33"/>
          <w:szCs w:val="33"/>
        </w:rPr>
        <w:t>67</w:t>
      </w:r>
      <w:r>
        <w:rPr>
          <w:rFonts w:hint="eastAsia" w:eastAsia="方正仿宋_GBK"/>
          <w:color w:val="000000"/>
          <w:sz w:val="33"/>
          <w:szCs w:val="33"/>
        </w:rPr>
        <w:t>万</w:t>
      </w:r>
      <w:r>
        <w:rPr>
          <w:rFonts w:eastAsia="方正仿宋_GBK"/>
          <w:sz w:val="33"/>
          <w:szCs w:val="33"/>
        </w:rPr>
        <w:t>元</w:t>
      </w:r>
      <w:r>
        <w:rPr>
          <w:rFonts w:hint="eastAsia" w:eastAsia="方正仿宋_GBK"/>
          <w:sz w:val="33"/>
          <w:szCs w:val="33"/>
        </w:rPr>
        <w:t>，均为一般公共预算财政拨款支出</w:t>
      </w:r>
      <w:r>
        <w:rPr>
          <w:rFonts w:eastAsia="方正仿宋_GBK"/>
          <w:sz w:val="33"/>
          <w:szCs w:val="33"/>
        </w:rPr>
        <w:t>，比上年增加</w:t>
      </w:r>
      <w:r>
        <w:rPr>
          <w:rFonts w:eastAsia="方正仿宋_GBK"/>
          <w:color w:val="000000"/>
          <w:sz w:val="33"/>
          <w:szCs w:val="33"/>
        </w:rPr>
        <w:t>123</w:t>
      </w:r>
      <w:r>
        <w:rPr>
          <w:rFonts w:hint="eastAsia" w:eastAsia="方正仿宋_GBK"/>
          <w:color w:val="000000"/>
          <w:sz w:val="33"/>
          <w:szCs w:val="33"/>
        </w:rPr>
        <w:t>.</w:t>
      </w:r>
      <w:r>
        <w:rPr>
          <w:rFonts w:eastAsia="方正仿宋_GBK"/>
          <w:color w:val="000000"/>
          <w:sz w:val="33"/>
          <w:szCs w:val="33"/>
        </w:rPr>
        <w:t>4</w:t>
      </w:r>
      <w:r>
        <w:rPr>
          <w:rFonts w:hint="eastAsia" w:eastAsia="方正仿宋_GBK"/>
          <w:color w:val="000000"/>
          <w:sz w:val="33"/>
          <w:szCs w:val="33"/>
        </w:rPr>
        <w:t>6万</w:t>
      </w:r>
      <w:r>
        <w:rPr>
          <w:rFonts w:eastAsia="方正仿宋_GBK"/>
          <w:sz w:val="33"/>
          <w:szCs w:val="33"/>
        </w:rPr>
        <w:t>元。</w:t>
      </w:r>
    </w:p>
    <w:p>
      <w:pPr>
        <w:widowControl/>
        <w:adjustRightInd w:val="0"/>
        <w:snapToGrid w:val="0"/>
        <w:spacing w:line="560" w:lineRule="exact"/>
        <w:ind w:firstLine="660" w:firstLineChars="200"/>
        <w:contextualSpacing/>
        <w:jc w:val="left"/>
        <w:rPr>
          <w:rFonts w:ascii="仿宋_GB2312" w:hAnsi="仿宋_GB2312" w:eastAsia="仿宋_GB2312" w:cs="仿宋_GB2312"/>
          <w:kern w:val="0"/>
          <w:sz w:val="32"/>
          <w:szCs w:val="32"/>
          <w:shd w:val="clear" w:color="auto" w:fill="FFFFFF"/>
        </w:rPr>
      </w:pPr>
      <w:r>
        <w:rPr>
          <w:rFonts w:hint="eastAsia" w:eastAsia="方正仿宋_GBK"/>
          <w:kern w:val="0"/>
          <w:sz w:val="33"/>
          <w:szCs w:val="33"/>
        </w:rPr>
        <w:t>3.</w:t>
      </w:r>
      <w:r>
        <w:rPr>
          <w:rFonts w:hint="eastAsia" w:ascii="仿宋_GB2312" w:hAnsi="仿宋_GB2312" w:eastAsia="仿宋_GB2312" w:cs="仿宋_GB2312"/>
          <w:kern w:val="0"/>
          <w:sz w:val="32"/>
          <w:szCs w:val="32"/>
          <w:shd w:val="clear" w:color="auto" w:fill="FFFFFF"/>
        </w:rPr>
        <w:t>部门总体结转结余情况</w:t>
      </w:r>
    </w:p>
    <w:p>
      <w:pPr>
        <w:pStyle w:val="2"/>
        <w:spacing w:before="93"/>
      </w:pPr>
      <w:r>
        <w:rPr>
          <w:rFonts w:hint="eastAsia" w:ascii="Times New Roman" w:eastAsia="方正仿宋_GBK"/>
          <w:sz w:val="33"/>
          <w:szCs w:val="33"/>
        </w:rPr>
        <w:t xml:space="preserve">    </w:t>
      </w:r>
      <w:r>
        <w:rPr>
          <w:rFonts w:ascii="Times New Roman" w:eastAsia="方正仿宋_GBK"/>
          <w:sz w:val="33"/>
          <w:szCs w:val="33"/>
        </w:rPr>
        <w:t>本年度一般公共预算财政拨款人员经费支出结转</w:t>
      </w:r>
      <w:r>
        <w:rPr>
          <w:rFonts w:hint="eastAsia" w:ascii="Times New Roman" w:eastAsia="方正仿宋_GBK"/>
          <w:sz w:val="33"/>
          <w:szCs w:val="33"/>
        </w:rPr>
        <w:t>0.00</w:t>
      </w:r>
      <w:r>
        <w:rPr>
          <w:rFonts w:ascii="Times New Roman" w:eastAsia="方正仿宋_GBK"/>
          <w:color w:val="000000"/>
          <w:sz w:val="33"/>
          <w:szCs w:val="33"/>
        </w:rPr>
        <w:t>23</w:t>
      </w:r>
      <w:r>
        <w:rPr>
          <w:rFonts w:hint="eastAsia" w:ascii="Times New Roman" w:eastAsia="方正仿宋_GBK"/>
          <w:color w:val="000000"/>
          <w:sz w:val="33"/>
          <w:szCs w:val="33"/>
        </w:rPr>
        <w:t>万</w:t>
      </w:r>
      <w:r>
        <w:rPr>
          <w:rFonts w:ascii="Times New Roman" w:eastAsia="方正仿宋_GBK"/>
          <w:sz w:val="33"/>
          <w:szCs w:val="33"/>
        </w:rPr>
        <w:t>元，为调出职工多扣个人医保，将在下年转账支出。</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60" w:firstLineChars="200"/>
        <w:contextualSpacing/>
        <w:jc w:val="left"/>
        <w:rPr>
          <w:rFonts w:ascii="仿宋_GB2312" w:hAnsi="仿宋_GB2312" w:eastAsia="仿宋_GB2312" w:cs="仿宋_GB2312"/>
          <w:kern w:val="0"/>
          <w:sz w:val="32"/>
          <w:szCs w:val="32"/>
          <w:shd w:val="clear" w:color="auto" w:fill="FFFFFF"/>
        </w:rPr>
      </w:pPr>
      <w:r>
        <w:rPr>
          <w:rFonts w:hint="eastAsia" w:eastAsia="方正仿宋_GBK"/>
          <w:kern w:val="0"/>
          <w:sz w:val="33"/>
          <w:szCs w:val="33"/>
        </w:rPr>
        <w:t>1.</w:t>
      </w:r>
      <w:r>
        <w:rPr>
          <w:rFonts w:hint="eastAsia" w:ascii="仿宋_GB2312" w:hAnsi="仿宋_GB2312" w:eastAsia="仿宋_GB2312" w:cs="仿宋_GB2312"/>
          <w:kern w:val="0"/>
          <w:sz w:val="32"/>
          <w:szCs w:val="32"/>
          <w:shd w:val="clear" w:color="auto" w:fill="FFFFFF"/>
        </w:rPr>
        <w:t>部门财政拨款收入情况</w:t>
      </w:r>
    </w:p>
    <w:p>
      <w:pPr>
        <w:snapToGrid w:val="0"/>
        <w:spacing w:line="520" w:lineRule="exact"/>
        <w:ind w:firstLine="660" w:firstLineChars="200"/>
        <w:rPr>
          <w:rFonts w:eastAsia="方正仿宋_GBK"/>
          <w:b/>
          <w:i/>
          <w:sz w:val="33"/>
          <w:szCs w:val="33"/>
        </w:rPr>
      </w:pPr>
      <w:r>
        <w:rPr>
          <w:rFonts w:eastAsia="方正仿宋_GBK"/>
          <w:color w:val="000000"/>
          <w:sz w:val="33"/>
          <w:szCs w:val="33"/>
        </w:rPr>
        <w:t>2022</w:t>
      </w:r>
      <w:r>
        <w:rPr>
          <w:rFonts w:eastAsia="方正仿宋_GBK"/>
          <w:sz w:val="33"/>
          <w:szCs w:val="33"/>
        </w:rPr>
        <w:t>年</w:t>
      </w:r>
      <w:r>
        <w:rPr>
          <w:rFonts w:hint="eastAsia" w:eastAsia="方正仿宋_GBK"/>
          <w:sz w:val="33"/>
          <w:szCs w:val="33"/>
        </w:rPr>
        <w:t>县委宣传部全年财政拨款收入</w:t>
      </w:r>
      <w:r>
        <w:rPr>
          <w:rFonts w:eastAsia="方正仿宋_GBK"/>
          <w:sz w:val="33"/>
          <w:szCs w:val="33"/>
        </w:rPr>
        <w:t>为</w:t>
      </w:r>
      <w:r>
        <w:rPr>
          <w:rFonts w:eastAsia="方正仿宋_GBK"/>
          <w:color w:val="000000"/>
          <w:sz w:val="33"/>
          <w:szCs w:val="33"/>
        </w:rPr>
        <w:t>797</w:t>
      </w:r>
      <w:r>
        <w:rPr>
          <w:rFonts w:hint="eastAsia" w:eastAsia="方正仿宋_GBK"/>
          <w:color w:val="000000"/>
          <w:sz w:val="33"/>
          <w:szCs w:val="33"/>
        </w:rPr>
        <w:t>.</w:t>
      </w:r>
      <w:r>
        <w:rPr>
          <w:rFonts w:eastAsia="方正仿宋_GBK"/>
          <w:color w:val="000000"/>
          <w:sz w:val="33"/>
          <w:szCs w:val="33"/>
        </w:rPr>
        <w:t>64</w:t>
      </w:r>
      <w:r>
        <w:rPr>
          <w:rFonts w:hint="eastAsia" w:eastAsia="方正仿宋_GBK"/>
          <w:color w:val="000000"/>
          <w:sz w:val="33"/>
          <w:szCs w:val="33"/>
        </w:rPr>
        <w:t>万</w:t>
      </w:r>
      <w:r>
        <w:rPr>
          <w:rFonts w:eastAsia="方正仿宋_GBK"/>
          <w:sz w:val="33"/>
          <w:szCs w:val="33"/>
        </w:rPr>
        <w:t>元</w:t>
      </w:r>
      <w:r>
        <w:rPr>
          <w:rFonts w:hint="eastAsia" w:eastAsia="方正仿宋_GBK"/>
          <w:sz w:val="33"/>
          <w:szCs w:val="33"/>
        </w:rPr>
        <w:t>，均为一般公共预算财政拨款收入</w:t>
      </w:r>
      <w:r>
        <w:rPr>
          <w:rFonts w:eastAsia="方正仿宋_GBK"/>
          <w:sz w:val="33"/>
          <w:szCs w:val="33"/>
        </w:rPr>
        <w:t>。年初结转和结余</w:t>
      </w:r>
      <w:r>
        <w:rPr>
          <w:rFonts w:eastAsia="方正仿宋_GBK"/>
          <w:color w:val="000000"/>
          <w:sz w:val="33"/>
          <w:szCs w:val="33"/>
        </w:rPr>
        <w:t>1</w:t>
      </w:r>
      <w:r>
        <w:rPr>
          <w:rFonts w:hint="eastAsia" w:eastAsia="方正仿宋_GBK"/>
          <w:color w:val="000000"/>
          <w:sz w:val="33"/>
          <w:szCs w:val="33"/>
        </w:rPr>
        <w:t>.</w:t>
      </w:r>
      <w:r>
        <w:rPr>
          <w:rFonts w:eastAsia="方正仿宋_GBK"/>
          <w:color w:val="000000"/>
          <w:sz w:val="33"/>
          <w:szCs w:val="33"/>
        </w:rPr>
        <w:t>0</w:t>
      </w:r>
      <w:r>
        <w:rPr>
          <w:rFonts w:hint="eastAsia" w:eastAsia="方正仿宋_GBK"/>
          <w:color w:val="000000"/>
          <w:sz w:val="33"/>
          <w:szCs w:val="33"/>
        </w:rPr>
        <w:t>4万</w:t>
      </w:r>
      <w:r>
        <w:rPr>
          <w:rFonts w:eastAsia="方正仿宋_GBK"/>
          <w:sz w:val="33"/>
          <w:szCs w:val="33"/>
        </w:rPr>
        <w:t>元。</w:t>
      </w:r>
    </w:p>
    <w:p>
      <w:pPr>
        <w:widowControl/>
        <w:adjustRightInd w:val="0"/>
        <w:snapToGrid w:val="0"/>
        <w:spacing w:line="560" w:lineRule="exact"/>
        <w:ind w:firstLine="660" w:firstLineChars="200"/>
        <w:contextualSpacing/>
        <w:jc w:val="left"/>
        <w:rPr>
          <w:rFonts w:ascii="仿宋_GB2312" w:hAnsi="仿宋_GB2312" w:eastAsia="仿宋_GB2312" w:cs="仿宋_GB2312"/>
          <w:kern w:val="0"/>
          <w:sz w:val="32"/>
          <w:szCs w:val="32"/>
          <w:shd w:val="clear" w:color="auto" w:fill="FFFFFF"/>
        </w:rPr>
      </w:pPr>
      <w:r>
        <w:rPr>
          <w:rFonts w:hint="eastAsia" w:eastAsia="方正仿宋_GBK"/>
          <w:kern w:val="0"/>
          <w:sz w:val="33"/>
          <w:szCs w:val="33"/>
        </w:rPr>
        <w:t>2.</w:t>
      </w:r>
      <w:r>
        <w:rPr>
          <w:rFonts w:hint="eastAsia" w:ascii="仿宋_GB2312" w:hAnsi="仿宋_GB2312" w:eastAsia="仿宋_GB2312" w:cs="仿宋_GB2312"/>
          <w:kern w:val="0"/>
          <w:sz w:val="32"/>
          <w:szCs w:val="32"/>
          <w:shd w:val="clear" w:color="auto" w:fill="FFFFFF"/>
        </w:rPr>
        <w:t>部门财政拨款支出情况</w:t>
      </w:r>
    </w:p>
    <w:p>
      <w:pPr>
        <w:snapToGrid w:val="0"/>
        <w:spacing w:line="520" w:lineRule="exact"/>
        <w:ind w:firstLine="660" w:firstLineChars="200"/>
        <w:rPr>
          <w:rFonts w:eastAsia="方正仿宋_GBK"/>
          <w:sz w:val="33"/>
          <w:szCs w:val="33"/>
        </w:rPr>
      </w:pPr>
      <w:r>
        <w:rPr>
          <w:rFonts w:eastAsia="方正仿宋_GBK"/>
          <w:color w:val="000000"/>
          <w:sz w:val="33"/>
          <w:szCs w:val="33"/>
        </w:rPr>
        <w:t>2022</w:t>
      </w:r>
      <w:r>
        <w:rPr>
          <w:rFonts w:eastAsia="方正仿宋_GBK"/>
          <w:sz w:val="33"/>
          <w:szCs w:val="33"/>
        </w:rPr>
        <w:t>年</w:t>
      </w:r>
      <w:r>
        <w:rPr>
          <w:rFonts w:hint="eastAsia" w:eastAsia="方正仿宋_GBK"/>
          <w:sz w:val="33"/>
          <w:szCs w:val="33"/>
        </w:rPr>
        <w:t>县委宣传部全年财政拨款支出</w:t>
      </w:r>
      <w:r>
        <w:rPr>
          <w:rFonts w:eastAsia="方正仿宋_GBK"/>
          <w:sz w:val="33"/>
          <w:szCs w:val="33"/>
        </w:rPr>
        <w:t>为</w:t>
      </w:r>
      <w:r>
        <w:rPr>
          <w:rFonts w:eastAsia="方正仿宋_GBK"/>
          <w:color w:val="000000"/>
          <w:sz w:val="33"/>
          <w:szCs w:val="33"/>
        </w:rPr>
        <w:t>798</w:t>
      </w:r>
      <w:r>
        <w:rPr>
          <w:rFonts w:hint="eastAsia" w:eastAsia="方正仿宋_GBK"/>
          <w:color w:val="000000"/>
          <w:sz w:val="33"/>
          <w:szCs w:val="33"/>
        </w:rPr>
        <w:t>.</w:t>
      </w:r>
      <w:r>
        <w:rPr>
          <w:rFonts w:eastAsia="方正仿宋_GBK"/>
          <w:color w:val="000000"/>
          <w:sz w:val="33"/>
          <w:szCs w:val="33"/>
        </w:rPr>
        <w:t>67</w:t>
      </w:r>
      <w:r>
        <w:rPr>
          <w:rFonts w:hint="eastAsia" w:eastAsia="方正仿宋_GBK"/>
          <w:color w:val="000000"/>
          <w:sz w:val="33"/>
          <w:szCs w:val="33"/>
        </w:rPr>
        <w:t>万</w:t>
      </w:r>
      <w:r>
        <w:rPr>
          <w:rFonts w:eastAsia="方正仿宋_GBK"/>
          <w:sz w:val="33"/>
          <w:szCs w:val="33"/>
        </w:rPr>
        <w:t>元</w:t>
      </w:r>
      <w:r>
        <w:rPr>
          <w:rFonts w:hint="eastAsia" w:eastAsia="方正仿宋_GBK"/>
          <w:sz w:val="33"/>
          <w:szCs w:val="33"/>
        </w:rPr>
        <w:t>，均为一般公共预算财政拨款支出</w:t>
      </w:r>
      <w:r>
        <w:rPr>
          <w:rFonts w:eastAsia="方正仿宋_GBK"/>
          <w:sz w:val="33"/>
          <w:szCs w:val="33"/>
        </w:rPr>
        <w:t>，</w:t>
      </w:r>
      <w:r>
        <w:rPr>
          <w:rFonts w:hint="eastAsia" w:eastAsia="方正仿宋_GBK"/>
          <w:sz w:val="33"/>
          <w:szCs w:val="33"/>
        </w:rPr>
        <w:t>其中：基本支出246.82万元，项目支出551.85万元</w:t>
      </w:r>
      <w:r>
        <w:rPr>
          <w:rFonts w:eastAsia="方正仿宋_GBK"/>
          <w:sz w:val="33"/>
          <w:szCs w:val="33"/>
        </w:rPr>
        <w:t>。</w:t>
      </w:r>
    </w:p>
    <w:p>
      <w:pPr>
        <w:widowControl/>
        <w:adjustRightInd w:val="0"/>
        <w:snapToGrid w:val="0"/>
        <w:spacing w:line="560" w:lineRule="exact"/>
        <w:ind w:firstLine="660" w:firstLineChars="200"/>
        <w:contextualSpacing/>
        <w:jc w:val="left"/>
        <w:rPr>
          <w:rFonts w:ascii="仿宋_GB2312" w:hAnsi="仿宋_GB2312" w:eastAsia="仿宋_GB2312" w:cs="仿宋_GB2312"/>
          <w:kern w:val="0"/>
          <w:sz w:val="32"/>
          <w:szCs w:val="32"/>
          <w:shd w:val="clear" w:color="auto" w:fill="FFFFFF"/>
        </w:rPr>
      </w:pPr>
      <w:r>
        <w:rPr>
          <w:rFonts w:hint="eastAsia" w:eastAsia="方正仿宋_GBK"/>
          <w:kern w:val="0"/>
          <w:sz w:val="33"/>
          <w:szCs w:val="33"/>
        </w:rPr>
        <w:t>3.</w:t>
      </w:r>
      <w:r>
        <w:rPr>
          <w:rFonts w:hint="eastAsia" w:ascii="仿宋_GB2312" w:hAnsi="仿宋_GB2312" w:eastAsia="仿宋_GB2312" w:cs="仿宋_GB2312"/>
          <w:kern w:val="0"/>
          <w:sz w:val="32"/>
          <w:szCs w:val="32"/>
          <w:shd w:val="clear" w:color="auto" w:fill="FFFFFF"/>
        </w:rPr>
        <w:t>部门财政拨款结转结余情况</w:t>
      </w:r>
    </w:p>
    <w:p>
      <w:pPr>
        <w:pStyle w:val="2"/>
        <w:spacing w:before="93"/>
      </w:pPr>
      <w:r>
        <w:rPr>
          <w:rFonts w:hint="eastAsia" w:ascii="Times New Roman" w:eastAsia="方正仿宋_GBK"/>
          <w:sz w:val="33"/>
          <w:szCs w:val="33"/>
        </w:rPr>
        <w:t xml:space="preserve">    </w:t>
      </w:r>
      <w:r>
        <w:rPr>
          <w:rFonts w:ascii="Times New Roman" w:eastAsia="方正仿宋_GBK"/>
          <w:sz w:val="33"/>
          <w:szCs w:val="33"/>
        </w:rPr>
        <w:t>本年度一般公共预算财政拨款人员经费支出结转</w:t>
      </w:r>
      <w:r>
        <w:rPr>
          <w:rFonts w:hint="eastAsia" w:ascii="Times New Roman" w:eastAsia="方正仿宋_GBK"/>
          <w:sz w:val="33"/>
          <w:szCs w:val="33"/>
        </w:rPr>
        <w:t>0.00</w:t>
      </w:r>
      <w:r>
        <w:rPr>
          <w:rFonts w:ascii="Times New Roman" w:eastAsia="方正仿宋_GBK"/>
          <w:color w:val="000000"/>
          <w:sz w:val="33"/>
          <w:szCs w:val="33"/>
        </w:rPr>
        <w:t>23</w:t>
      </w:r>
      <w:r>
        <w:rPr>
          <w:rFonts w:hint="eastAsia" w:ascii="Times New Roman" w:eastAsia="方正仿宋_GBK"/>
          <w:color w:val="000000"/>
          <w:sz w:val="33"/>
          <w:szCs w:val="33"/>
        </w:rPr>
        <w:t>万</w:t>
      </w:r>
      <w:r>
        <w:rPr>
          <w:rFonts w:ascii="Times New Roman" w:eastAsia="方正仿宋_GBK"/>
          <w:sz w:val="33"/>
          <w:szCs w:val="33"/>
        </w:rPr>
        <w:t>元，为调出职工多扣个人医保，将在下年转账支出。</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2022年绩效总体目标：保证机构稳定运行，满足人员经费所需，人员经费支付及时，预算执行数230.94万元，预算执行率100%，无违规发放津补贴等记录，为圆满完成全年职能目标任务提供了基础保障。</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2022年绩效总体目标：保证机构稳定运行，满足日常工作运转所需，日常公用经费支付及时，预算执行数15.88万元，预算执行率100%，为圆满完成全年职能目标任务提供了基础保障。</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2022年绩效总体目标：按照年度目标任务，</w:t>
      </w:r>
      <w:r>
        <w:rPr>
          <w:rFonts w:ascii="仿宋_GB2312" w:hAnsi="仿宋_GB2312" w:eastAsia="仿宋_GB2312" w:cs="仿宋_GB2312"/>
          <w:kern w:val="0"/>
          <w:sz w:val="32"/>
          <w:szCs w:val="32"/>
          <w:shd w:val="clear" w:color="auto" w:fill="FFFFFF"/>
        </w:rPr>
        <w:t>特定目标类项目支出强化了理论武装工作，不断创新了对外宣传工作，持续加强了公民思想道德建设，丰富我县青少年精神生活和有力有序开展了文化惠民活动。</w:t>
      </w:r>
      <w:r>
        <w:rPr>
          <w:rFonts w:hint="eastAsia" w:ascii="仿宋_GB2312" w:hAnsi="仿宋_GB2312" w:eastAsia="仿宋_GB2312" w:cs="仿宋_GB2312"/>
          <w:kern w:val="0"/>
          <w:sz w:val="32"/>
          <w:szCs w:val="32"/>
          <w:shd w:val="clear" w:color="auto" w:fill="FFFFFF"/>
        </w:rPr>
        <w:t>特定目标类项目预算执行数551.85万元，预算执行率100%，圆满完成了全年职能目标任务。</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snapToGrid w:val="0"/>
        <w:spacing w:line="560" w:lineRule="exact"/>
        <w:ind w:firstLine="640"/>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县委宣传部部门预算绩效目标要素完整，包含数量指标、质量指标、时效指标、成本指标、社会效益指标，绩效指标均已细化量化。</w:t>
      </w:r>
    </w:p>
    <w:p>
      <w:pPr>
        <w:widowControl/>
        <w:snapToGrid w:val="0"/>
        <w:spacing w:line="560" w:lineRule="exact"/>
        <w:ind w:firstLine="640"/>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年初预算批复后，单位正常运转，部门预算执行进度达到目标进度，部门绩效目标达到预期目标，其中职工工资福利支出和日常公用经费支出保障了单位的日常运转，特定目标类项目支出强化了理论武装工作，不断创新了对外宣传工作，持续加强了公民思想道德建设，丰富我县青少年精神生活和有力有序开展了文化惠民活动。</w:t>
      </w:r>
    </w:p>
    <w:p>
      <w:pPr>
        <w:widowControl/>
        <w:snapToGrid w:val="0"/>
        <w:spacing w:line="560" w:lineRule="exact"/>
        <w:ind w:firstLine="640"/>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部门预算项目年终全部执行完成，</w:t>
      </w:r>
      <w:r>
        <w:rPr>
          <w:rFonts w:hint="eastAsia" w:eastAsia="方正仿宋_GBK"/>
          <w:color w:val="000000"/>
          <w:kern w:val="0"/>
          <w:sz w:val="33"/>
          <w:szCs w:val="33"/>
          <w:shd w:val="clear" w:color="auto" w:fill="FFFFFF"/>
          <w:lang w:val="zh-CN"/>
        </w:rPr>
        <w:t>较好地完成了当年目标任务，达到了预期的社会效益</w:t>
      </w:r>
      <w:r>
        <w:rPr>
          <w:rFonts w:eastAsia="方正仿宋_GBK"/>
          <w:color w:val="000000"/>
          <w:kern w:val="0"/>
          <w:sz w:val="33"/>
          <w:szCs w:val="33"/>
          <w:shd w:val="clear" w:color="auto" w:fill="FFFFFF"/>
          <w:lang w:val="zh-CN"/>
        </w:rPr>
        <w:t>。</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snapToGrid w:val="0"/>
        <w:spacing w:line="560" w:lineRule="exact"/>
        <w:ind w:firstLine="640"/>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县委宣传部在年初根据县财政要求，在规定时间按照统一格式、内容、口径在米易县人民政府网站及时公开了预算绩效情况。做到了基础数据真实、准确、完整。严格按照“统筹兼顾、厉行节约、保障重点、注重绩效”的原则，结合当年重点工作需要，明确绩效目标，做好绩效目标管理工作，从数量、质量、成本、时效、效益等方面细化量化绩效目标，加强目标绩效管理，确保全年目标任务的完成。</w:t>
      </w:r>
    </w:p>
    <w:p>
      <w:pPr>
        <w:widowControl/>
        <w:numPr>
          <w:ilvl w:val="0"/>
          <w:numId w:val="5"/>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委宣传部根据部门预算绩效管理、专项预算项目绩效管理、绩效结果应用等指标自评准确率较高。根据年度工作计划和职能工作开展情况，科学合理的安排使用了财政资金，提高财政资金使用效益，产生良好的社会效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60" w:lineRule="exact"/>
        <w:ind w:firstLine="660" w:firstLineChars="200"/>
        <w:contextualSpacing/>
        <w:rPr>
          <w:rFonts w:eastAsia="方正仿宋_GBK"/>
          <w:color w:val="000000"/>
          <w:sz w:val="33"/>
          <w:szCs w:val="33"/>
        </w:rPr>
      </w:pPr>
      <w:r>
        <w:rPr>
          <w:rFonts w:eastAsia="方正仿宋_GBK"/>
          <w:color w:val="000000"/>
          <w:sz w:val="33"/>
          <w:szCs w:val="33"/>
        </w:rPr>
        <w:t>2022年县委宣传部将部门整体支出绩效评价作为财政预算资金使用管理的一项重要工作，切实加强预算收入管理，全面梳理内部管理流程，建立健全内部管理制度，有效提升了部门整体支出管理水平，根据部门整体支出绩效评价指标体系，自评综合得分为89分。整体上完成了年初设定的绩效目标，保障了部门的正常运转，促进了宣传事务的发展，充分发挥了财政资金的经济效益和社会效益。</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pStyle w:val="2"/>
        <w:spacing w:before="93"/>
        <w:rPr>
          <w:lang w:val="zh-CN"/>
        </w:rPr>
      </w:pPr>
      <w:r>
        <w:rPr>
          <w:rFonts w:hint="eastAsia" w:ascii="Times New Roman" w:eastAsia="方正仿宋_GBK"/>
          <w:color w:val="000000"/>
          <w:sz w:val="33"/>
          <w:szCs w:val="33"/>
        </w:rPr>
        <w:t xml:space="preserve">    </w:t>
      </w:r>
      <w:r>
        <w:rPr>
          <w:rFonts w:ascii="Times New Roman" w:eastAsia="方正仿宋_GBK"/>
          <w:color w:val="000000"/>
          <w:sz w:val="33"/>
          <w:szCs w:val="33"/>
        </w:rPr>
        <w:t>有些项目资金争取及实际支付到位进度缓慢。</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widowControl/>
        <w:adjustRightInd w:val="0"/>
        <w:snapToGrid w:val="0"/>
        <w:spacing w:line="540" w:lineRule="exact"/>
        <w:ind w:firstLine="646" w:firstLineChars="196"/>
        <w:jc w:val="left"/>
        <w:rPr>
          <w:rFonts w:eastAsia="方正仿宋_GBK"/>
          <w:color w:val="000000"/>
          <w:sz w:val="33"/>
          <w:szCs w:val="33"/>
        </w:rPr>
      </w:pPr>
      <w:r>
        <w:rPr>
          <w:rFonts w:eastAsia="方正仿宋_GBK"/>
          <w:color w:val="000000"/>
          <w:sz w:val="33"/>
          <w:szCs w:val="33"/>
        </w:rPr>
        <w:t>进一步加强与政府和财政部门的沟通和协调，确保预算资金的及时下达及支付到位。</w:t>
      </w:r>
    </w:p>
    <w:p>
      <w:pPr>
        <w:pStyle w:val="2"/>
        <w:spacing w:before="93"/>
      </w:pPr>
    </w:p>
    <w:p>
      <w:pPr>
        <w:pStyle w:val="19"/>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2022年度中国共产党米易县委员会宣传部部门预算项目支出绩效自评表</w:t>
      </w:r>
    </w:p>
    <w:p>
      <w:pPr>
        <w:pStyle w:val="19"/>
        <w:spacing w:line="560" w:lineRule="exact"/>
        <w:ind w:left="0" w:leftChars="0" w:firstLine="0" w:firstLineChars="0"/>
        <w:rPr>
          <w:rFonts w:hint="eastAsia" w:eastAsia="宋体"/>
          <w:sz w:val="32"/>
          <w:lang w:val="en-US" w:eastAsia="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9"/>
        <w:spacing w:line="578" w:lineRule="exact"/>
        <w:jc w:val="center"/>
        <w:rPr>
          <w:rFonts w:ascii="方正小标宋简体" w:hAnsi="方正小标宋简体" w:eastAsia="方正小标宋简体" w:cs="方正小标宋简体"/>
          <w:color w:val="auto"/>
          <w:kern w:val="2"/>
          <w:sz w:val="32"/>
          <w:szCs w:val="32"/>
          <w:lang w:val="en-US"/>
        </w:rPr>
      </w:pPr>
    </w:p>
    <w:p>
      <w:pPr>
        <w:spacing w:line="600" w:lineRule="exact"/>
        <w:jc w:val="center"/>
        <w:rPr>
          <w:rFonts w:eastAsia="方正小标宋简体"/>
          <w:sz w:val="40"/>
          <w:szCs w:val="40"/>
        </w:rPr>
      </w:pPr>
      <w:r>
        <w:rPr>
          <w:rFonts w:hint="eastAsia" w:eastAsia="方正小标宋简体"/>
          <w:sz w:val="40"/>
          <w:szCs w:val="40"/>
        </w:rPr>
        <w:t>中央支持地方公共文化服务体系建设补助资金</w:t>
      </w:r>
    </w:p>
    <w:p>
      <w:pPr>
        <w:spacing w:line="600" w:lineRule="exact"/>
        <w:jc w:val="center"/>
        <w:rPr>
          <w:rFonts w:eastAsia="方正小标宋简体"/>
          <w:sz w:val="40"/>
          <w:szCs w:val="40"/>
          <w:lang w:val="zh-CN"/>
        </w:rPr>
      </w:pPr>
      <w:r>
        <w:rPr>
          <w:rFonts w:hint="eastAsia" w:eastAsia="方正小标宋简体"/>
          <w:sz w:val="40"/>
          <w:szCs w:val="40"/>
        </w:rPr>
        <w:t>（农村公益电影放映）</w:t>
      </w:r>
      <w:r>
        <w:rPr>
          <w:rFonts w:eastAsia="方正小标宋简体"/>
          <w:sz w:val="40"/>
          <w:szCs w:val="40"/>
          <w:lang w:val="zh-CN"/>
        </w:rPr>
        <w:t>支出绩效自评</w:t>
      </w:r>
      <w:r>
        <w:rPr>
          <w:rFonts w:hint="eastAsia" w:eastAsia="方正小标宋简体"/>
          <w:sz w:val="40"/>
          <w:szCs w:val="40"/>
          <w:lang w:val="zh-CN"/>
        </w:rPr>
        <w:t>报</w:t>
      </w:r>
      <w:r>
        <w:rPr>
          <w:rFonts w:eastAsia="方正小标宋简体"/>
          <w:sz w:val="40"/>
          <w:szCs w:val="40"/>
          <w:lang w:val="zh-CN"/>
        </w:rPr>
        <w:t>告</w:t>
      </w:r>
    </w:p>
    <w:p>
      <w:pPr>
        <w:spacing w:line="600" w:lineRule="exact"/>
        <w:jc w:val="center"/>
        <w:rPr>
          <w:rFonts w:eastAsia="方正小标宋简体"/>
          <w:sz w:val="40"/>
          <w:szCs w:val="40"/>
          <w:lang w:val="zh-CN"/>
        </w:rPr>
      </w:pPr>
    </w:p>
    <w:p>
      <w:pPr>
        <w:widowControl/>
        <w:adjustRightInd w:val="0"/>
        <w:snapToGrid w:val="0"/>
        <w:spacing w:line="560" w:lineRule="exact"/>
        <w:ind w:firstLine="640" w:firstLineChars="200"/>
        <w:contextualSpacing/>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项目概况</w:t>
      </w:r>
    </w:p>
    <w:p>
      <w:pPr>
        <w:adjustRightInd w:val="0"/>
        <w:snapToGrid w:val="0"/>
        <w:spacing w:line="600" w:lineRule="exact"/>
        <w:ind w:left="420" w:leftChars="200"/>
        <w:rPr>
          <w:rFonts w:eastAsia="仿宋_GB2312"/>
          <w:sz w:val="32"/>
          <w:szCs w:val="32"/>
          <w:lang w:val="zh-CN"/>
        </w:rPr>
      </w:pPr>
      <w:r>
        <w:rPr>
          <w:rFonts w:hint="eastAsia" w:eastAsia="仿宋_GB2312"/>
          <w:sz w:val="32"/>
          <w:szCs w:val="32"/>
          <w:lang w:val="zh-CN"/>
        </w:rPr>
        <w:t>（一）项目基本情况</w:t>
      </w:r>
    </w:p>
    <w:p>
      <w:pPr>
        <w:adjustRightInd w:val="0"/>
        <w:snapToGrid w:val="0"/>
        <w:spacing w:line="600" w:lineRule="exact"/>
        <w:ind w:firstLine="720"/>
        <w:rPr>
          <w:rFonts w:eastAsia="仿宋_GB2312"/>
          <w:sz w:val="32"/>
          <w:szCs w:val="32"/>
          <w:lang w:val="zh-CN"/>
        </w:rPr>
      </w:pPr>
      <w:r>
        <w:rPr>
          <w:rFonts w:eastAsia="仿宋_GB2312"/>
          <w:sz w:val="32"/>
          <w:szCs w:val="32"/>
          <w:lang w:val="zh-CN"/>
        </w:rPr>
        <w:t>1.在该项目管理中的职能</w:t>
      </w:r>
    </w:p>
    <w:p>
      <w:pPr>
        <w:spacing w:line="560" w:lineRule="exact"/>
        <w:ind w:firstLine="660" w:firstLineChars="200"/>
        <w:rPr>
          <w:rFonts w:eastAsia="方正仿宋_GBK"/>
          <w:color w:val="000000"/>
          <w:sz w:val="33"/>
          <w:szCs w:val="33"/>
        </w:rPr>
      </w:pPr>
      <w:r>
        <w:rPr>
          <w:rFonts w:eastAsia="方正仿宋_GBK"/>
          <w:color w:val="000000"/>
          <w:sz w:val="33"/>
          <w:szCs w:val="33"/>
        </w:rPr>
        <w:t>负责放映工作的指导、监督、管理、考核工作，负责与承担放映任务的院线公司签订本县（区）公益电影放映目标责任书，组织相关部门检查验收，</w:t>
      </w:r>
      <w:r>
        <w:rPr>
          <w:rFonts w:hint="eastAsia" w:eastAsia="方正仿宋_GBK"/>
          <w:color w:val="000000"/>
          <w:sz w:val="33"/>
          <w:szCs w:val="33"/>
        </w:rPr>
        <w:t>核定资金、场次、照片等信息，</w:t>
      </w:r>
      <w:r>
        <w:rPr>
          <w:rFonts w:eastAsia="方正仿宋_GBK"/>
          <w:color w:val="000000"/>
          <w:sz w:val="33"/>
          <w:szCs w:val="33"/>
        </w:rPr>
        <w:t>确保放映任务顺利完成，并组织补贴发放工作。</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rPr>
        <w:t>2.</w:t>
      </w:r>
      <w:r>
        <w:rPr>
          <w:rFonts w:eastAsia="仿宋_GB2312"/>
          <w:sz w:val="32"/>
          <w:szCs w:val="32"/>
          <w:lang w:val="zh-CN"/>
        </w:rPr>
        <w:t>项目立项、资金申报的依据</w:t>
      </w:r>
    </w:p>
    <w:p>
      <w:pPr>
        <w:spacing w:beforeLines="30"/>
        <w:rPr>
          <w:rFonts w:ascii="仿宋_GB2312" w:eastAsia="方正仿宋_GBK"/>
          <w:kern w:val="0"/>
          <w:sz w:val="30"/>
          <w:szCs w:val="32"/>
        </w:rPr>
      </w:pPr>
      <w:r>
        <w:rPr>
          <w:rFonts w:hint="eastAsia" w:ascii="仿宋_GB2312" w:eastAsia="仿宋_GB2312"/>
          <w:kern w:val="0"/>
          <w:sz w:val="30"/>
          <w:szCs w:val="32"/>
        </w:rPr>
        <w:t xml:space="preserve">    </w:t>
      </w:r>
      <w:r>
        <w:rPr>
          <w:rFonts w:eastAsia="方正仿宋_GBK"/>
          <w:color w:val="000000"/>
          <w:kern w:val="0"/>
          <w:sz w:val="33"/>
          <w:szCs w:val="33"/>
        </w:rPr>
        <w:t>按照</w:t>
      </w:r>
      <w:r>
        <w:rPr>
          <w:rFonts w:hint="eastAsia" w:eastAsia="方正仿宋_GBK"/>
          <w:color w:val="000000"/>
          <w:kern w:val="0"/>
          <w:sz w:val="33"/>
          <w:szCs w:val="33"/>
          <w:lang w:val="zh-CN"/>
        </w:rPr>
        <w:t>《中共攀枝花市委宣传部攀枝花市教育和体育局攀枝花市财政局关于做好</w:t>
      </w:r>
      <w:r>
        <w:rPr>
          <w:rFonts w:hint="eastAsia" w:eastAsia="方正仿宋_GBK"/>
          <w:color w:val="000000"/>
          <w:kern w:val="0"/>
          <w:sz w:val="33"/>
          <w:szCs w:val="33"/>
        </w:rPr>
        <w:t>2022年公益电影放映工作的通知</w:t>
      </w:r>
      <w:r>
        <w:rPr>
          <w:rFonts w:hint="eastAsia" w:eastAsia="方正仿宋_GBK"/>
          <w:color w:val="000000"/>
          <w:kern w:val="0"/>
          <w:sz w:val="33"/>
          <w:szCs w:val="33"/>
          <w:lang w:val="zh-CN"/>
        </w:rPr>
        <w:t>》，</w:t>
      </w:r>
      <w:r>
        <w:rPr>
          <w:rFonts w:eastAsia="方正仿宋_GBK"/>
          <w:color w:val="000000"/>
          <w:kern w:val="0"/>
          <w:sz w:val="33"/>
          <w:szCs w:val="33"/>
        </w:rPr>
        <w:t>要求</w:t>
      </w:r>
      <w:r>
        <w:rPr>
          <w:rFonts w:hint="eastAsia" w:eastAsia="方正仿宋_GBK"/>
          <w:color w:val="000000"/>
          <w:kern w:val="0"/>
          <w:sz w:val="33"/>
          <w:szCs w:val="33"/>
        </w:rPr>
        <w:t>申报。</w:t>
      </w:r>
    </w:p>
    <w:p>
      <w:pPr>
        <w:adjustRightInd w:val="0"/>
        <w:snapToGrid w:val="0"/>
        <w:spacing w:line="600" w:lineRule="exact"/>
        <w:ind w:left="420" w:leftChars="200"/>
        <w:rPr>
          <w:rFonts w:eastAsia="方正仿宋_GBK"/>
          <w:color w:val="000000"/>
          <w:sz w:val="33"/>
          <w:szCs w:val="33"/>
          <w:lang w:val="zh-CN"/>
        </w:rPr>
      </w:pPr>
      <w:r>
        <w:rPr>
          <w:rFonts w:hint="eastAsia" w:eastAsia="仿宋_GB2312"/>
          <w:sz w:val="32"/>
          <w:szCs w:val="32"/>
        </w:rPr>
        <w:t>3.</w:t>
      </w:r>
      <w:r>
        <w:rPr>
          <w:rFonts w:eastAsia="方正仿宋_GBK"/>
          <w:color w:val="000000"/>
          <w:sz w:val="33"/>
          <w:szCs w:val="33"/>
          <w:lang w:val="zh-CN"/>
        </w:rPr>
        <w:t>资金管理办法制定情况</w:t>
      </w:r>
    </w:p>
    <w:p>
      <w:pPr>
        <w:adjustRightInd w:val="0"/>
        <w:snapToGrid w:val="0"/>
        <w:spacing w:line="600" w:lineRule="exact"/>
        <w:ind w:firstLine="660" w:firstLineChars="200"/>
        <w:rPr>
          <w:rFonts w:eastAsia="方正仿宋_GBK"/>
          <w:color w:val="000000"/>
          <w:kern w:val="0"/>
          <w:sz w:val="33"/>
          <w:szCs w:val="33"/>
          <w:lang w:val="zh-CN"/>
        </w:rPr>
      </w:pPr>
      <w:r>
        <w:rPr>
          <w:rFonts w:eastAsia="方正仿宋_GBK"/>
          <w:color w:val="000000"/>
          <w:kern w:val="0"/>
          <w:sz w:val="33"/>
          <w:szCs w:val="33"/>
          <w:lang w:val="zh-CN"/>
        </w:rPr>
        <w:t>根据</w:t>
      </w:r>
      <w:r>
        <w:rPr>
          <w:rFonts w:hint="eastAsia" w:eastAsia="方正仿宋_GBK"/>
          <w:color w:val="000000"/>
          <w:kern w:val="0"/>
          <w:sz w:val="33"/>
          <w:szCs w:val="33"/>
          <w:lang w:val="zh-CN"/>
        </w:rPr>
        <w:t>《中共攀枝花市委宣传部攀枝花市教育和体育局攀枝花市财政局关于做好</w:t>
      </w:r>
      <w:r>
        <w:rPr>
          <w:rFonts w:hint="eastAsia" w:eastAsia="方正仿宋_GBK"/>
          <w:color w:val="000000"/>
          <w:kern w:val="0"/>
          <w:sz w:val="33"/>
          <w:szCs w:val="33"/>
        </w:rPr>
        <w:t>2022年公益电影放映工作的通知</w:t>
      </w:r>
      <w:r>
        <w:rPr>
          <w:rFonts w:hint="eastAsia" w:eastAsia="方正仿宋_GBK"/>
          <w:color w:val="000000"/>
          <w:kern w:val="0"/>
          <w:sz w:val="33"/>
          <w:szCs w:val="33"/>
          <w:lang w:val="zh-CN"/>
        </w:rPr>
        <w:t>》</w:t>
      </w:r>
      <w:r>
        <w:rPr>
          <w:rFonts w:hint="eastAsia" w:eastAsia="方正仿宋_GBK"/>
          <w:color w:val="000000"/>
          <w:kern w:val="0"/>
          <w:sz w:val="33"/>
          <w:szCs w:val="33"/>
        </w:rPr>
        <w:t>。</w:t>
      </w:r>
      <w:r>
        <w:rPr>
          <w:rFonts w:eastAsia="方正仿宋_GBK"/>
          <w:color w:val="000000"/>
          <w:kern w:val="0"/>
          <w:sz w:val="33"/>
          <w:szCs w:val="33"/>
          <w:lang w:val="zh-CN"/>
        </w:rPr>
        <w:t>涉及到的工作性质制定各自资金管理办法。</w:t>
      </w:r>
    </w:p>
    <w:p>
      <w:pPr>
        <w:adjustRightInd w:val="0"/>
        <w:snapToGrid w:val="0"/>
        <w:spacing w:line="600" w:lineRule="exact"/>
        <w:ind w:firstLine="660" w:firstLineChars="200"/>
        <w:rPr>
          <w:rFonts w:eastAsia="方正仿宋_GBK"/>
          <w:color w:val="000000"/>
          <w:kern w:val="0"/>
          <w:sz w:val="33"/>
          <w:szCs w:val="33"/>
          <w:lang w:val="zh-CN"/>
        </w:rPr>
      </w:pPr>
      <w:r>
        <w:rPr>
          <w:rFonts w:hint="eastAsia" w:eastAsia="方正仿宋_GBK"/>
          <w:color w:val="000000"/>
          <w:kern w:val="0"/>
          <w:sz w:val="33"/>
          <w:szCs w:val="33"/>
        </w:rPr>
        <w:t>4.</w:t>
      </w:r>
      <w:r>
        <w:rPr>
          <w:rFonts w:eastAsia="方正仿宋_GBK"/>
          <w:color w:val="000000"/>
          <w:kern w:val="0"/>
          <w:sz w:val="33"/>
          <w:szCs w:val="33"/>
          <w:lang w:val="zh-CN"/>
        </w:rPr>
        <w:t>资金分配的原则及考虑因素</w:t>
      </w:r>
    </w:p>
    <w:p>
      <w:pPr>
        <w:spacing w:beforeLines="30"/>
        <w:ind w:firstLine="660" w:firstLineChars="200"/>
        <w:rPr>
          <w:rFonts w:eastAsia="方正仿宋_GBK"/>
          <w:color w:val="000000"/>
          <w:kern w:val="0"/>
          <w:sz w:val="33"/>
          <w:szCs w:val="33"/>
          <w:lang w:val="zh-CN"/>
        </w:rPr>
      </w:pPr>
      <w:r>
        <w:rPr>
          <w:rFonts w:eastAsia="方正仿宋_GBK"/>
          <w:color w:val="000000"/>
          <w:kern w:val="0"/>
          <w:sz w:val="33"/>
          <w:szCs w:val="33"/>
          <w:lang w:val="zh-CN"/>
        </w:rPr>
        <w:t>按照</w:t>
      </w:r>
      <w:r>
        <w:rPr>
          <w:rFonts w:hint="eastAsia" w:eastAsia="方正仿宋_GBK"/>
          <w:color w:val="000000"/>
          <w:kern w:val="0"/>
          <w:sz w:val="33"/>
          <w:szCs w:val="33"/>
          <w:lang w:val="zh-CN"/>
        </w:rPr>
        <w:t>《中共攀枝花市委宣传部攀枝花市教育和体育局攀枝花市财政局关于做好</w:t>
      </w:r>
      <w:r>
        <w:rPr>
          <w:rFonts w:hint="eastAsia" w:eastAsia="方正仿宋_GBK"/>
          <w:color w:val="000000"/>
          <w:kern w:val="0"/>
          <w:sz w:val="33"/>
          <w:szCs w:val="33"/>
        </w:rPr>
        <w:t>2022年公益电影放映工作的通知</w:t>
      </w:r>
      <w:r>
        <w:rPr>
          <w:rFonts w:hint="eastAsia" w:eastAsia="方正仿宋_GBK"/>
          <w:color w:val="000000"/>
          <w:kern w:val="0"/>
          <w:sz w:val="33"/>
          <w:szCs w:val="33"/>
          <w:lang w:val="zh-CN"/>
        </w:rPr>
        <w:t>》中规定的补贴标准实施。</w:t>
      </w:r>
    </w:p>
    <w:p>
      <w:pPr>
        <w:adjustRightInd w:val="0"/>
        <w:snapToGrid w:val="0"/>
        <w:spacing w:line="600" w:lineRule="exact"/>
        <w:ind w:left="420" w:leftChars="200"/>
        <w:rPr>
          <w:rFonts w:eastAsia="仿宋_GB2312"/>
          <w:sz w:val="32"/>
          <w:szCs w:val="32"/>
          <w:lang w:val="zh-CN"/>
        </w:rPr>
      </w:pPr>
      <w:r>
        <w:rPr>
          <w:rFonts w:hint="eastAsia" w:eastAsia="仿宋_GB2312"/>
          <w:sz w:val="32"/>
          <w:szCs w:val="32"/>
          <w:lang w:val="zh-CN"/>
        </w:rPr>
        <w:t>（二）项目绩效目标</w:t>
      </w:r>
    </w:p>
    <w:p>
      <w:pPr>
        <w:adjustRightInd w:val="0"/>
        <w:snapToGrid w:val="0"/>
        <w:spacing w:line="600" w:lineRule="exact"/>
        <w:ind w:firstLine="720"/>
        <w:rPr>
          <w:rFonts w:eastAsia="方正仿宋_GBK"/>
          <w:color w:val="000000"/>
          <w:kern w:val="0"/>
          <w:sz w:val="33"/>
          <w:szCs w:val="33"/>
          <w:lang w:val="zh-CN"/>
        </w:rPr>
      </w:pPr>
      <w:r>
        <w:rPr>
          <w:rFonts w:eastAsia="方正仿宋_GBK"/>
          <w:color w:val="000000"/>
          <w:kern w:val="0"/>
          <w:sz w:val="33"/>
          <w:szCs w:val="33"/>
          <w:lang w:val="zh-CN"/>
        </w:rPr>
        <w:t>1.项目主要内容</w:t>
      </w:r>
    </w:p>
    <w:p>
      <w:pPr>
        <w:adjustRightInd w:val="0"/>
        <w:snapToGrid w:val="0"/>
        <w:spacing w:line="600" w:lineRule="exact"/>
        <w:ind w:firstLine="720"/>
        <w:rPr>
          <w:rFonts w:eastAsia="方正仿宋_GBK"/>
          <w:color w:val="000000"/>
          <w:kern w:val="0"/>
          <w:sz w:val="33"/>
          <w:szCs w:val="33"/>
          <w:lang w:val="zh-CN"/>
        </w:rPr>
      </w:pPr>
      <w:r>
        <w:rPr>
          <w:rFonts w:hint="eastAsia" w:eastAsia="方正仿宋_GBK"/>
          <w:color w:val="000000"/>
          <w:kern w:val="0"/>
          <w:sz w:val="33"/>
          <w:szCs w:val="33"/>
          <w:lang w:val="zh-CN"/>
        </w:rPr>
        <w:t>全年农村公益电影1314场次，为了满足全县人民看电影需求。</w:t>
      </w:r>
    </w:p>
    <w:p>
      <w:pPr>
        <w:adjustRightInd w:val="0"/>
        <w:snapToGrid w:val="0"/>
        <w:spacing w:line="600" w:lineRule="exact"/>
        <w:ind w:firstLine="720"/>
        <w:rPr>
          <w:rFonts w:eastAsia="方正仿宋_GBK"/>
          <w:color w:val="000000"/>
          <w:kern w:val="0"/>
          <w:sz w:val="33"/>
          <w:szCs w:val="33"/>
          <w:lang w:val="zh-CN"/>
        </w:rPr>
      </w:pPr>
      <w:r>
        <w:rPr>
          <w:rFonts w:hint="eastAsia" w:eastAsia="方正仿宋_GBK"/>
          <w:color w:val="000000"/>
          <w:kern w:val="0"/>
          <w:sz w:val="33"/>
          <w:szCs w:val="33"/>
        </w:rPr>
        <w:t>2.</w:t>
      </w:r>
      <w:r>
        <w:rPr>
          <w:rFonts w:eastAsia="方正仿宋_GBK"/>
          <w:color w:val="000000"/>
          <w:kern w:val="0"/>
          <w:sz w:val="33"/>
          <w:szCs w:val="33"/>
          <w:lang w:val="zh-CN"/>
        </w:rPr>
        <w:t>项目应实现的具体绩效目标</w:t>
      </w:r>
    </w:p>
    <w:p>
      <w:pPr>
        <w:adjustRightInd w:val="0"/>
        <w:snapToGrid w:val="0"/>
        <w:spacing w:line="600" w:lineRule="exact"/>
        <w:ind w:firstLine="660" w:firstLineChars="200"/>
        <w:rPr>
          <w:rFonts w:eastAsia="方正仿宋_GBK"/>
          <w:sz w:val="32"/>
          <w:szCs w:val="32"/>
          <w:lang w:val="zh-CN"/>
        </w:rPr>
      </w:pPr>
      <w:r>
        <w:rPr>
          <w:rFonts w:eastAsia="方正仿宋_GBK"/>
          <w:color w:val="000000"/>
          <w:sz w:val="33"/>
          <w:szCs w:val="33"/>
        </w:rPr>
        <w:t>维护广大城乡群众电影文化权益</w:t>
      </w:r>
      <w:r>
        <w:rPr>
          <w:rFonts w:hint="eastAsia" w:eastAsia="方正仿宋_GBK"/>
          <w:color w:val="000000"/>
          <w:sz w:val="33"/>
          <w:szCs w:val="33"/>
        </w:rPr>
        <w:t>，更好地满足人民群众精神文化生活需要。</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rPr>
        <w:t>3.</w:t>
      </w:r>
      <w:r>
        <w:rPr>
          <w:rFonts w:eastAsia="方正仿宋_GBK"/>
          <w:color w:val="000000"/>
          <w:sz w:val="33"/>
          <w:szCs w:val="33"/>
          <w:lang w:val="zh-CN"/>
        </w:rPr>
        <w:t>分析评价申报内容是否与实际相符</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lang w:val="zh-CN"/>
        </w:rPr>
        <w:t>农村公益电影放映补助经费</w:t>
      </w:r>
      <w:r>
        <w:rPr>
          <w:rFonts w:eastAsia="方正仿宋_GBK"/>
          <w:color w:val="000000"/>
          <w:sz w:val="33"/>
          <w:szCs w:val="33"/>
          <w:lang w:val="zh-CN"/>
        </w:rPr>
        <w:t>申报内容与实际相符，申报目标合理可行。</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（三）项目自评步骤及方法</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lang w:val="zh-CN"/>
        </w:rPr>
        <w:t>一是确定评价对象。</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lang w:val="zh-CN"/>
        </w:rPr>
        <w:t>二是收集整理项目基础资料和财务资料。</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lang w:val="zh-CN"/>
        </w:rPr>
        <w:t>三是梳理评价重点。对项目实施薄弱环节、绩效内容进行梳理，作为评价重点和目标。</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lang w:val="zh-CN"/>
        </w:rPr>
        <w:t>四是开展项目自评。根据项目特性指标开展自评，并撰写项目支出绩效自评报告。</w:t>
      </w:r>
    </w:p>
    <w:p>
      <w:pPr>
        <w:adjustRightInd w:val="0"/>
        <w:snapToGrid w:val="0"/>
        <w:spacing w:line="600" w:lineRule="exact"/>
        <w:ind w:firstLine="720"/>
        <w:rPr>
          <w:rFonts w:eastAsia="黑体"/>
          <w:sz w:val="32"/>
          <w:szCs w:val="32"/>
        </w:rPr>
      </w:pPr>
      <w:r>
        <w:rPr>
          <w:rFonts w:eastAsia="黑体"/>
          <w:sz w:val="32"/>
          <w:szCs w:val="32"/>
        </w:rPr>
        <w:t>二、项目资金申报及使用情况</w:t>
      </w:r>
    </w:p>
    <w:p>
      <w:pPr>
        <w:adjustRightInd w:val="0"/>
        <w:snapToGrid w:val="0"/>
        <w:spacing w:line="600" w:lineRule="exact"/>
        <w:ind w:firstLine="720"/>
        <w:rPr>
          <w:rFonts w:ascii="方正仿宋_GBK" w:hAnsi="方正仿宋_GBK" w:eastAsia="方正仿宋_GBK" w:cs="方正仿宋_GBK"/>
          <w:b/>
          <w:sz w:val="32"/>
          <w:szCs w:val="32"/>
          <w:lang w:val="zh-CN"/>
        </w:rPr>
      </w:pPr>
      <w:r>
        <w:rPr>
          <w:rFonts w:hint="eastAsia" w:eastAsia="仿宋_GB2312"/>
          <w:sz w:val="32"/>
          <w:szCs w:val="32"/>
          <w:lang w:val="zh-CN"/>
        </w:rPr>
        <w:t>（一）项目资金申报及批复情况</w:t>
      </w:r>
    </w:p>
    <w:p>
      <w:pPr>
        <w:adjustRightInd w:val="0"/>
        <w:snapToGrid w:val="0"/>
        <w:spacing w:line="600" w:lineRule="exact"/>
        <w:ind w:firstLine="660" w:firstLineChars="200"/>
        <w:rPr>
          <w:rFonts w:eastAsia="方正仿宋_GBK"/>
          <w:color w:val="000000"/>
          <w:sz w:val="33"/>
          <w:szCs w:val="33"/>
          <w:lang w:val="zh-CN"/>
        </w:rPr>
      </w:pPr>
      <w:r>
        <w:rPr>
          <w:rFonts w:hint="eastAsia" w:eastAsia="方正仿宋_GBK"/>
          <w:color w:val="000000"/>
          <w:sz w:val="33"/>
          <w:szCs w:val="33"/>
          <w:lang w:val="zh-CN"/>
        </w:rPr>
        <w:t>根据工作内容申报实际发生资金，待我部实施项目的相关工作人员审核后向县政府申报项目总金额。经县政府批准后报县财政局，县财政局根据实际发生金额将指标下达到我部。</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（二）资金计划、到位及使用情况</w:t>
      </w:r>
    </w:p>
    <w:p>
      <w:pPr>
        <w:adjustRightInd w:val="0"/>
        <w:snapToGrid w:val="0"/>
        <w:spacing w:line="600" w:lineRule="exact"/>
        <w:ind w:firstLine="720"/>
        <w:rPr>
          <w:rFonts w:eastAsia="楷体_GB2312"/>
          <w:sz w:val="32"/>
          <w:szCs w:val="32"/>
          <w:lang w:val="zh-CN"/>
        </w:rPr>
      </w:pPr>
      <w:r>
        <w:rPr>
          <w:rFonts w:eastAsia="楷体_GB2312"/>
          <w:sz w:val="32"/>
          <w:szCs w:val="32"/>
          <w:lang w:val="zh-CN"/>
        </w:rPr>
        <w:t>1．资金计划</w:t>
      </w:r>
    </w:p>
    <w:p>
      <w:pPr>
        <w:spacing w:beforeLines="30"/>
        <w:rPr>
          <w:rFonts w:ascii="仿宋_GB2312" w:eastAsia="方正仿宋_GBK"/>
          <w:kern w:val="0"/>
          <w:sz w:val="30"/>
          <w:szCs w:val="32"/>
          <w:lang w:val="zh-CN"/>
        </w:rPr>
      </w:pPr>
      <w:r>
        <w:rPr>
          <w:rFonts w:hint="eastAsia" w:eastAsia="方正仿宋_GBK"/>
          <w:color w:val="000000"/>
          <w:kern w:val="0"/>
          <w:sz w:val="33"/>
          <w:szCs w:val="33"/>
        </w:rPr>
        <w:t xml:space="preserve">    </w:t>
      </w:r>
      <w:r>
        <w:rPr>
          <w:rFonts w:hint="eastAsia" w:eastAsia="方正仿宋_GBK"/>
          <w:color w:val="000000"/>
          <w:kern w:val="0"/>
          <w:sz w:val="33"/>
          <w:szCs w:val="33"/>
          <w:lang w:val="zh-CN"/>
        </w:rPr>
        <w:t>项目资金为中央、省财政资金。</w:t>
      </w:r>
      <w:r>
        <w:rPr>
          <w:rFonts w:hint="eastAsia" w:eastAsia="方正仿宋_GBK"/>
          <w:color w:val="000000"/>
          <w:kern w:val="0"/>
          <w:sz w:val="33"/>
          <w:szCs w:val="33"/>
        </w:rPr>
        <w:t>每场补助203.5元，扩权县，具体分担标准为:中央补助160元、省补助43.5元。</w:t>
      </w:r>
    </w:p>
    <w:p>
      <w:pPr>
        <w:adjustRightInd w:val="0"/>
        <w:snapToGrid w:val="0"/>
        <w:spacing w:line="600" w:lineRule="exact"/>
        <w:ind w:firstLine="640" w:firstLineChars="200"/>
        <w:rPr>
          <w:rFonts w:eastAsia="楷体_GB2312"/>
          <w:sz w:val="32"/>
          <w:szCs w:val="32"/>
          <w:lang w:val="zh-CN"/>
        </w:rPr>
      </w:pPr>
      <w:r>
        <w:rPr>
          <w:rFonts w:hint="eastAsia" w:eastAsia="楷体_GB2312"/>
          <w:sz w:val="32"/>
          <w:szCs w:val="32"/>
        </w:rPr>
        <w:t>2.</w:t>
      </w:r>
      <w:r>
        <w:rPr>
          <w:rFonts w:eastAsia="楷体_GB2312"/>
          <w:sz w:val="32"/>
          <w:szCs w:val="32"/>
          <w:lang w:val="zh-CN"/>
        </w:rPr>
        <w:t>资金到位</w:t>
      </w:r>
    </w:p>
    <w:p>
      <w:pPr>
        <w:spacing w:beforeLines="30"/>
        <w:ind w:firstLine="660" w:firstLineChars="200"/>
        <w:rPr>
          <w:rFonts w:eastAsia="方正仿宋_GBK"/>
          <w:color w:val="000000"/>
          <w:kern w:val="0"/>
          <w:sz w:val="33"/>
          <w:szCs w:val="33"/>
          <w:lang w:val="zh-CN"/>
        </w:rPr>
      </w:pPr>
      <w:r>
        <w:rPr>
          <w:rFonts w:hint="eastAsia" w:eastAsia="方正仿宋_GBK"/>
          <w:color w:val="000000"/>
          <w:kern w:val="0"/>
          <w:sz w:val="33"/>
          <w:szCs w:val="33"/>
          <w:lang w:val="zh-CN"/>
        </w:rPr>
        <w:t>项目实施完成后，县委宣传部统计放映公司实际发生费用，经向县政府、县财政局申报上级资金后，县财政局已将实际发生资金下达到我部再拨付给放映公司。</w:t>
      </w:r>
    </w:p>
    <w:p>
      <w:pPr>
        <w:numPr>
          <w:ilvl w:val="0"/>
          <w:numId w:val="6"/>
        </w:numPr>
        <w:adjustRightInd w:val="0"/>
        <w:snapToGrid w:val="0"/>
        <w:spacing w:line="600" w:lineRule="exact"/>
        <w:ind w:firstLine="720"/>
        <w:rPr>
          <w:rFonts w:eastAsia="楷体_GB2312"/>
          <w:sz w:val="32"/>
          <w:szCs w:val="32"/>
          <w:lang w:val="zh-CN"/>
        </w:rPr>
      </w:pPr>
      <w:r>
        <w:rPr>
          <w:rFonts w:eastAsia="楷体_GB2312"/>
          <w:sz w:val="32"/>
          <w:szCs w:val="32"/>
          <w:lang w:val="zh-CN"/>
        </w:rPr>
        <w:t>资金使用</w:t>
      </w:r>
    </w:p>
    <w:p>
      <w:pPr>
        <w:spacing w:beforeLines="30"/>
        <w:ind w:firstLine="660" w:firstLineChars="200"/>
        <w:rPr>
          <w:rFonts w:eastAsia="方正仿宋_GBK"/>
          <w:color w:val="000000"/>
          <w:kern w:val="0"/>
          <w:sz w:val="33"/>
          <w:szCs w:val="33"/>
          <w:lang w:val="zh-CN"/>
        </w:rPr>
      </w:pPr>
      <w:r>
        <w:rPr>
          <w:rFonts w:hint="eastAsia" w:eastAsia="方正仿宋_GBK"/>
          <w:color w:val="000000"/>
          <w:kern w:val="0"/>
          <w:sz w:val="33"/>
          <w:szCs w:val="33"/>
          <w:lang w:val="zh-CN"/>
        </w:rPr>
        <w:t>县委宣传部支出项目资金</w:t>
      </w:r>
      <w:r>
        <w:rPr>
          <w:rFonts w:hint="eastAsia" w:eastAsia="方正仿宋_GBK"/>
          <w:color w:val="000000"/>
          <w:kern w:val="0"/>
          <w:sz w:val="33"/>
          <w:szCs w:val="33"/>
        </w:rPr>
        <w:t>267399</w:t>
      </w:r>
      <w:r>
        <w:rPr>
          <w:rFonts w:hint="eastAsia" w:eastAsia="方正仿宋_GBK"/>
          <w:color w:val="000000"/>
          <w:kern w:val="0"/>
          <w:sz w:val="33"/>
          <w:szCs w:val="33"/>
          <w:lang w:val="zh-CN"/>
        </w:rPr>
        <w:t>元。资金支付范围、支付标准、支付进度、支付依据等都是合规合法。</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（三）项目财务管理情况</w:t>
      </w:r>
    </w:p>
    <w:p>
      <w:pPr>
        <w:adjustRightInd w:val="0"/>
        <w:snapToGrid w:val="0"/>
        <w:spacing w:line="600" w:lineRule="exact"/>
        <w:ind w:firstLine="720"/>
        <w:rPr>
          <w:rFonts w:eastAsia="仿宋_GB2312"/>
          <w:kern w:val="0"/>
          <w:sz w:val="32"/>
          <w:szCs w:val="32"/>
        </w:rPr>
      </w:pPr>
      <w:r>
        <w:rPr>
          <w:rFonts w:hint="eastAsia" w:eastAsia="方正仿宋_GBK"/>
          <w:color w:val="000000"/>
          <w:kern w:val="0"/>
          <w:sz w:val="33"/>
          <w:szCs w:val="33"/>
          <w:lang w:val="zh-CN"/>
        </w:rPr>
        <w:t>县委宣传部在收到财政下达指标后，按照资金的用途，及时拨付款项。财务管理制度健全，严格执行财务管理制度，账务处理及时，会计核算规范。</w:t>
      </w:r>
    </w:p>
    <w:p>
      <w:pPr>
        <w:numPr>
          <w:ilvl w:val="0"/>
          <w:numId w:val="7"/>
        </w:numPr>
        <w:adjustRightInd w:val="0"/>
        <w:snapToGrid w:val="0"/>
        <w:spacing w:line="600" w:lineRule="exact"/>
        <w:ind w:firstLine="720"/>
        <w:rPr>
          <w:rFonts w:eastAsia="黑体"/>
          <w:sz w:val="32"/>
          <w:szCs w:val="32"/>
        </w:rPr>
      </w:pPr>
      <w:r>
        <w:rPr>
          <w:rFonts w:eastAsia="黑体"/>
          <w:sz w:val="32"/>
          <w:szCs w:val="32"/>
        </w:rPr>
        <w:t>项目实施及管理情况</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（一）项目组织架构及实施流程</w:t>
      </w:r>
    </w:p>
    <w:p>
      <w:pPr>
        <w:adjustRightInd w:val="0"/>
        <w:snapToGrid w:val="0"/>
        <w:spacing w:line="600" w:lineRule="exact"/>
        <w:ind w:firstLine="720"/>
        <w:rPr>
          <w:rFonts w:eastAsia="方正仿宋_GBK"/>
          <w:color w:val="000000"/>
          <w:kern w:val="0"/>
          <w:sz w:val="33"/>
          <w:szCs w:val="33"/>
          <w:lang w:val="zh-CN"/>
        </w:rPr>
      </w:pPr>
      <w:r>
        <w:rPr>
          <w:rFonts w:hint="eastAsia" w:eastAsia="方正仿宋_GBK"/>
          <w:color w:val="000000"/>
          <w:kern w:val="0"/>
          <w:sz w:val="33"/>
          <w:szCs w:val="33"/>
          <w:lang w:val="zh-CN"/>
        </w:rPr>
        <w:t>项目由县委宣传部文新股主管，放映公司负责具体放映工作。</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（二）项目管理情况</w:t>
      </w:r>
    </w:p>
    <w:p>
      <w:pPr>
        <w:adjustRightInd w:val="0"/>
        <w:snapToGrid w:val="0"/>
        <w:spacing w:line="600" w:lineRule="exact"/>
        <w:ind w:firstLine="720"/>
        <w:rPr>
          <w:rFonts w:hint="eastAsia" w:eastAsia="方正仿宋_GBK"/>
          <w:color w:val="000000"/>
          <w:kern w:val="0"/>
          <w:sz w:val="33"/>
          <w:szCs w:val="33"/>
          <w:lang w:val="zh-CN"/>
        </w:rPr>
      </w:pPr>
      <w:r>
        <w:rPr>
          <w:rFonts w:hint="eastAsia" w:eastAsia="方正仿宋_GBK"/>
          <w:color w:val="000000"/>
          <w:kern w:val="0"/>
          <w:sz w:val="33"/>
          <w:szCs w:val="33"/>
          <w:lang w:val="zh-CN"/>
        </w:rPr>
        <w:t>资金批复后，及时与放映公司做好对接，资金管理按照规定，专款专用，严格执行从申请—审核—领导批准支付的操作程序，手续齐全，程序到位，资金使用规范，会计核算真实、准确。</w:t>
      </w:r>
    </w:p>
    <w:p>
      <w:pPr>
        <w:adjustRightInd w:val="0"/>
        <w:snapToGrid w:val="0"/>
        <w:spacing w:line="600" w:lineRule="exact"/>
        <w:ind w:firstLine="720"/>
        <w:rPr>
          <w:rFonts w:hint="eastAsia" w:ascii="方正仿宋_GBK" w:hAnsi="方正仿宋_GBK" w:eastAsia="方正仿宋_GBK" w:cs="方正仿宋_GBK"/>
          <w:b/>
          <w:sz w:val="32"/>
          <w:szCs w:val="32"/>
          <w:lang w:val="zh-CN"/>
        </w:rPr>
      </w:pPr>
      <w:r>
        <w:rPr>
          <w:rFonts w:hint="eastAsia" w:eastAsia="仿宋_GB2312"/>
          <w:sz w:val="32"/>
          <w:szCs w:val="32"/>
          <w:lang w:val="zh-CN"/>
        </w:rPr>
        <w:t>（三）项目监管情况</w:t>
      </w:r>
    </w:p>
    <w:p>
      <w:pPr>
        <w:spacing w:beforeLines="30"/>
        <w:rPr>
          <w:rFonts w:eastAsia="方正仿宋_GBK"/>
          <w:color w:val="000000"/>
          <w:kern w:val="0"/>
          <w:sz w:val="33"/>
          <w:szCs w:val="33"/>
          <w:lang w:val="zh-CN"/>
        </w:rPr>
      </w:pPr>
      <w:r>
        <w:rPr>
          <w:rFonts w:hint="eastAsia" w:eastAsia="方正仿宋_GBK"/>
          <w:color w:val="000000"/>
          <w:kern w:val="0"/>
          <w:sz w:val="33"/>
          <w:szCs w:val="33"/>
          <w:lang w:val="zh-CN"/>
        </w:rPr>
        <w:t xml:space="preserve">    县委宣传部对项目实施情况进行了日常管理和监督，放映公司对放映情况及时进行汇报，确保放映工作顺利进行及达到相关要求。</w:t>
      </w:r>
    </w:p>
    <w:p>
      <w:pPr>
        <w:adjustRightInd w:val="0"/>
        <w:snapToGrid w:val="0"/>
        <w:spacing w:line="600" w:lineRule="exact"/>
        <w:ind w:firstLine="960" w:firstLineChars="30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（一）项目完成情况</w:t>
      </w:r>
    </w:p>
    <w:p>
      <w:pPr>
        <w:adjustRightInd w:val="0"/>
        <w:snapToGrid w:val="0"/>
        <w:spacing w:line="600" w:lineRule="exact"/>
        <w:ind w:firstLine="720"/>
        <w:rPr>
          <w:rFonts w:eastAsia="方正仿宋_GBK"/>
          <w:color w:val="000000"/>
          <w:kern w:val="0"/>
          <w:sz w:val="33"/>
          <w:szCs w:val="33"/>
        </w:rPr>
      </w:pPr>
      <w:r>
        <w:rPr>
          <w:rFonts w:hint="eastAsia" w:eastAsia="方正仿宋_GBK"/>
          <w:color w:val="000000"/>
          <w:kern w:val="0"/>
          <w:sz w:val="33"/>
          <w:szCs w:val="33"/>
          <w:lang w:val="zh-CN"/>
        </w:rPr>
        <w:t>按照上级要求，</w:t>
      </w:r>
      <w:r>
        <w:rPr>
          <w:rFonts w:hint="eastAsia" w:eastAsia="方正仿宋_GBK"/>
          <w:color w:val="000000"/>
          <w:kern w:val="0"/>
          <w:sz w:val="33"/>
          <w:szCs w:val="33"/>
        </w:rPr>
        <w:t>农村公益电影放映任务</w:t>
      </w:r>
      <w:r>
        <w:rPr>
          <w:rFonts w:hint="eastAsia" w:eastAsia="方正仿宋_GBK"/>
          <w:color w:val="000000"/>
          <w:kern w:val="0"/>
          <w:sz w:val="33"/>
          <w:szCs w:val="33"/>
          <w:lang w:val="zh-CN"/>
        </w:rPr>
        <w:t>圆满完成。</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（二）项目效益情况</w:t>
      </w:r>
    </w:p>
    <w:p>
      <w:pPr>
        <w:adjustRightInd w:val="0"/>
        <w:snapToGrid w:val="0"/>
        <w:spacing w:line="600" w:lineRule="exact"/>
        <w:ind w:firstLine="720"/>
        <w:rPr>
          <w:rFonts w:eastAsia="方正仿宋_GBK"/>
          <w:color w:val="000000"/>
          <w:kern w:val="0"/>
          <w:sz w:val="33"/>
          <w:szCs w:val="33"/>
          <w:lang w:val="zh-CN"/>
        </w:rPr>
      </w:pPr>
      <w:r>
        <w:rPr>
          <w:rFonts w:hint="eastAsia" w:eastAsia="方正仿宋_GBK"/>
          <w:color w:val="000000"/>
          <w:kern w:val="0"/>
          <w:sz w:val="33"/>
          <w:szCs w:val="33"/>
          <w:lang w:val="zh-CN"/>
        </w:rPr>
        <w:t>社会效益：丰富群众精神文化生活，有效提升群众精神文化生活。</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（一）评价结论</w:t>
      </w:r>
    </w:p>
    <w:p>
      <w:pPr>
        <w:adjustRightInd w:val="0"/>
        <w:snapToGrid w:val="0"/>
        <w:spacing w:line="600" w:lineRule="exact"/>
        <w:ind w:firstLine="720"/>
        <w:rPr>
          <w:rFonts w:eastAsia="方正仿宋_GBK"/>
          <w:color w:val="000000"/>
          <w:kern w:val="0"/>
          <w:sz w:val="33"/>
          <w:szCs w:val="33"/>
          <w:lang w:val="zh-CN"/>
        </w:rPr>
      </w:pPr>
      <w:r>
        <w:rPr>
          <w:rFonts w:hint="eastAsia" w:eastAsia="方正仿宋_GBK"/>
          <w:color w:val="000000"/>
          <w:kern w:val="0"/>
          <w:sz w:val="33"/>
          <w:szCs w:val="33"/>
          <w:lang w:val="zh-CN"/>
        </w:rPr>
        <w:t>坚持因地制宜、因时制宜，组织开展多种主题放映活动，更好地满足人民群众精神文化生活需要，营造良好文化氛围。</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（二）存在的问题</w:t>
      </w:r>
    </w:p>
    <w:p>
      <w:pPr>
        <w:adjustRightInd w:val="0"/>
        <w:snapToGrid w:val="0"/>
        <w:spacing w:line="600" w:lineRule="exact"/>
        <w:ind w:firstLine="720"/>
        <w:rPr>
          <w:rFonts w:eastAsia="方正仿宋_GBK"/>
          <w:color w:val="000000"/>
          <w:kern w:val="0"/>
          <w:sz w:val="33"/>
          <w:szCs w:val="33"/>
          <w:lang w:val="zh-CN"/>
        </w:rPr>
      </w:pPr>
      <w:r>
        <w:rPr>
          <w:rFonts w:hint="eastAsia" w:eastAsia="方正仿宋_GBK"/>
          <w:color w:val="000000"/>
          <w:kern w:val="0"/>
          <w:sz w:val="33"/>
          <w:szCs w:val="33"/>
          <w:lang w:val="zh-CN"/>
        </w:rPr>
        <w:t>不能全面的满足群众的观影需求。</w:t>
      </w:r>
    </w:p>
    <w:p>
      <w:pPr>
        <w:adjustRightInd w:val="0"/>
        <w:snapToGrid w:val="0"/>
        <w:spacing w:line="600" w:lineRule="exact"/>
        <w:ind w:firstLine="720"/>
        <w:rPr>
          <w:rFonts w:hint="eastAsia" w:ascii="方正仿宋_GBK" w:hAnsi="方正仿宋_GBK" w:eastAsia="方正仿宋_GBK" w:cs="方正仿宋_GBK"/>
          <w:b/>
          <w:sz w:val="32"/>
          <w:szCs w:val="32"/>
          <w:lang w:val="zh-CN"/>
        </w:rPr>
      </w:pPr>
      <w:r>
        <w:rPr>
          <w:rFonts w:hint="eastAsia" w:eastAsia="仿宋_GB2312"/>
          <w:sz w:val="32"/>
          <w:szCs w:val="32"/>
          <w:lang w:val="zh-CN"/>
        </w:rPr>
        <w:t>（三）相关建议</w:t>
      </w:r>
    </w:p>
    <w:p>
      <w:pPr>
        <w:spacing w:beforeLines="30"/>
        <w:rPr>
          <w:rFonts w:eastAsia="方正仿宋_GBK"/>
          <w:color w:val="000000"/>
          <w:kern w:val="0"/>
          <w:sz w:val="33"/>
          <w:szCs w:val="33"/>
          <w:lang w:val="zh-CN"/>
        </w:rPr>
      </w:pPr>
      <w:r>
        <w:rPr>
          <w:rFonts w:hint="eastAsia" w:eastAsia="方正仿宋_GBK"/>
          <w:color w:val="000000"/>
          <w:kern w:val="0"/>
          <w:sz w:val="33"/>
          <w:szCs w:val="33"/>
          <w:lang w:val="zh-CN"/>
        </w:rPr>
        <w:t xml:space="preserve">    无</w:t>
      </w:r>
    </w:p>
    <w:p>
      <w:pPr>
        <w:pStyle w:val="2"/>
        <w:spacing w:before="93"/>
        <w:rPr>
          <w:rFonts w:ascii="Times New Roman" w:eastAsia="方正仿宋_GBK"/>
          <w:color w:val="000000"/>
          <w:sz w:val="33"/>
          <w:szCs w:val="33"/>
          <w:lang w:val="zh-CN"/>
        </w:rPr>
      </w:pPr>
    </w:p>
    <w:p>
      <w:pPr>
        <w:pStyle w:val="2"/>
        <w:spacing w:before="93"/>
        <w:rPr>
          <w:rFonts w:ascii="Times New Roman" w:eastAsia="方正仿宋_GBK"/>
          <w:color w:val="000000"/>
          <w:sz w:val="33"/>
          <w:szCs w:val="33"/>
          <w:lang w:val="zh-CN"/>
        </w:rPr>
      </w:pPr>
    </w:p>
    <w:tbl>
      <w:tblPr>
        <w:tblStyle w:val="20"/>
        <w:tblpPr w:leftFromText="180" w:rightFromText="180" w:vertAnchor="text" w:horzAnchor="page" w:tblpX="1399" w:tblpY="218"/>
        <w:tblOverlap w:val="never"/>
        <w:tblW w:w="9811" w:type="dxa"/>
        <w:tblInd w:w="0" w:type="dxa"/>
        <w:tblLayout w:type="fixed"/>
        <w:tblCellMar>
          <w:top w:w="0" w:type="dxa"/>
          <w:left w:w="108" w:type="dxa"/>
          <w:bottom w:w="0" w:type="dxa"/>
          <w:right w:w="108" w:type="dxa"/>
        </w:tblCellMar>
      </w:tblPr>
      <w:tblGrid>
        <w:gridCol w:w="2026"/>
        <w:gridCol w:w="1170"/>
        <w:gridCol w:w="1675"/>
        <w:gridCol w:w="1218"/>
        <w:gridCol w:w="1254"/>
        <w:gridCol w:w="2468"/>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textAlignment w:val="center"/>
              <w:rPr>
                <w:rFonts w:ascii="宋体" w:hAnsi="宋体" w:cs="宋体"/>
                <w:b/>
              </w:rPr>
            </w:pPr>
            <w:r>
              <w:rPr>
                <w:rFonts w:hint="eastAsia" w:ascii="宋体" w:hAnsi="宋体" w:cs="宋体"/>
                <w:bCs/>
                <w:sz w:val="32"/>
                <w:szCs w:val="32"/>
              </w:rPr>
              <w:t>附表：</w:t>
            </w:r>
          </w:p>
          <w:p>
            <w:pPr>
              <w:widowControl/>
              <w:jc w:val="center"/>
              <w:textAlignment w:val="center"/>
              <w:rPr>
                <w:rFonts w:ascii="宋体" w:hAnsi="宋体" w:cs="宋体"/>
                <w:b/>
              </w:rPr>
            </w:pPr>
            <w:r>
              <w:rPr>
                <w:rFonts w:hint="eastAsia" w:ascii="宋体" w:hAnsi="宋体" w:cs="宋体"/>
                <w:b/>
                <w:sz w:val="32"/>
                <w:szCs w:val="32"/>
              </w:rPr>
              <w:t>农村公益电影放映项目绩效目标自评</w:t>
            </w:r>
          </w:p>
        </w:tc>
      </w:tr>
      <w:tr>
        <w:tblPrEx>
          <w:tblCellMar>
            <w:top w:w="0" w:type="dxa"/>
            <w:left w:w="108" w:type="dxa"/>
            <w:bottom w:w="0" w:type="dxa"/>
            <w:right w:w="108" w:type="dxa"/>
          </w:tblCellMar>
        </w:tblPrEx>
        <w:trPr>
          <w:trHeight w:val="254" w:hRule="atLeast"/>
        </w:trPr>
        <w:tc>
          <w:tcPr>
            <w:tcW w:w="3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中共米易县委宣传部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FF0000"/>
                <w:sz w:val="24"/>
              </w:rPr>
            </w:pPr>
            <w:r>
              <w:rPr>
                <w:rFonts w:hint="eastAsia" w:ascii="宋体" w:hAnsi="宋体" w:cs="宋体"/>
                <w:sz w:val="24"/>
              </w:rPr>
              <w:t>县委宣传部</w:t>
            </w:r>
          </w:p>
        </w:tc>
      </w:tr>
      <w:tr>
        <w:tblPrEx>
          <w:tblCellMar>
            <w:top w:w="0" w:type="dxa"/>
            <w:left w:w="108" w:type="dxa"/>
            <w:bottom w:w="0" w:type="dxa"/>
            <w:right w:w="108" w:type="dxa"/>
          </w:tblCellMar>
        </w:tblPrEx>
        <w:trPr>
          <w:trHeight w:val="341" w:hRule="atLeast"/>
        </w:trPr>
        <w:tc>
          <w:tcPr>
            <w:tcW w:w="31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26.7399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26.7399</w:t>
            </w:r>
          </w:p>
        </w:tc>
      </w:tr>
      <w:tr>
        <w:tblPrEx>
          <w:tblCellMar>
            <w:top w:w="0" w:type="dxa"/>
            <w:left w:w="108" w:type="dxa"/>
            <w:bottom w:w="0" w:type="dxa"/>
            <w:right w:w="108" w:type="dxa"/>
          </w:tblCellMar>
        </w:tblPrEx>
        <w:trPr>
          <w:trHeight w:val="555" w:hRule="atLeast"/>
        </w:trPr>
        <w:tc>
          <w:tcPr>
            <w:tcW w:w="3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26.7399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26.7399</w:t>
            </w:r>
          </w:p>
        </w:tc>
      </w:tr>
      <w:tr>
        <w:tblPrEx>
          <w:tblCellMar>
            <w:top w:w="0" w:type="dxa"/>
            <w:left w:w="108" w:type="dxa"/>
            <w:bottom w:w="0" w:type="dxa"/>
            <w:right w:w="108" w:type="dxa"/>
          </w:tblCellMar>
        </w:tblPrEx>
        <w:trPr>
          <w:trHeight w:val="341" w:hRule="atLeast"/>
        </w:trPr>
        <w:tc>
          <w:tcPr>
            <w:tcW w:w="3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1465" w:hRule="atLeast"/>
        </w:trPr>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sz w:val="24"/>
              </w:rPr>
            </w:pPr>
            <w:r>
              <w:rPr>
                <w:rFonts w:hint="eastAsia"/>
                <w:sz w:val="24"/>
                <w:lang w:val="zh-CN"/>
              </w:rPr>
              <w:t>丰富群众精神文化生活，有效提升群众精神文化生活</w:t>
            </w:r>
            <w:r>
              <w:rPr>
                <w:rFonts w:hint="eastAsia" w:ascii="仿宋_GB2312" w:hAnsi="仿宋_GB2312" w:eastAsia="仿宋_GB2312" w:cs="仿宋_GB2312"/>
                <w:sz w:val="24"/>
              </w:rPr>
              <w:t>。</w:t>
            </w:r>
          </w:p>
        </w:tc>
        <w:tc>
          <w:tcPr>
            <w:tcW w:w="3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sz w:val="24"/>
              </w:rPr>
            </w:pPr>
            <w:r>
              <w:rPr>
                <w:rFonts w:hint="eastAsia"/>
                <w:sz w:val="24"/>
                <w:lang w:val="zh-CN"/>
              </w:rPr>
              <w:t>丰富群众精神文化生活，有效提升了群众精神文化生活。</w:t>
            </w:r>
          </w:p>
        </w:tc>
      </w:tr>
      <w:tr>
        <w:tblPrEx>
          <w:tblCellMar>
            <w:top w:w="0" w:type="dxa"/>
            <w:left w:w="108" w:type="dxa"/>
            <w:bottom w:w="0" w:type="dxa"/>
            <w:right w:w="108" w:type="dxa"/>
          </w:tblCellMar>
        </w:tblPrEx>
        <w:trPr>
          <w:trHeight w:val="693" w:hRule="atLeast"/>
        </w:trPr>
        <w:tc>
          <w:tcPr>
            <w:tcW w:w="202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cs="仿宋_GB2312"/>
                <w:sz w:val="28"/>
                <w:szCs w:val="28"/>
              </w:rPr>
            </w:pPr>
            <w:r>
              <w:rPr>
                <w:rFonts w:hint="eastAsia" w:ascii="仿宋_GB2312" w:hAnsi="仿宋_GB2312" w:eastAsia="仿宋_GB2312"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cs="仿宋_GB2312"/>
                <w:sz w:val="28"/>
                <w:szCs w:val="28"/>
              </w:rPr>
            </w:pPr>
            <w:r>
              <w:rPr>
                <w:rFonts w:hint="eastAsia" w:ascii="仿宋_GB2312" w:hAnsi="仿宋_GB2312" w:eastAsia="仿宋_GB2312" w:cs="仿宋_GB2312"/>
                <w:kern w:val="0"/>
                <w:sz w:val="28"/>
                <w:szCs w:val="28"/>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sz w:val="28"/>
                <w:szCs w:val="28"/>
              </w:rPr>
            </w:pPr>
            <w:r>
              <w:rPr>
                <w:rFonts w:hint="eastAsia" w:ascii="仿宋_GB2312" w:hAnsi="仿宋_GB2312" w:eastAsia="仿宋_GB2312" w:cs="仿宋_GB2312"/>
                <w:kern w:val="0"/>
                <w:sz w:val="28"/>
                <w:szCs w:val="28"/>
              </w:rPr>
              <w:t>预期指标值</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sz w:val="28"/>
                <w:szCs w:val="28"/>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项目</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个</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个</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完成质量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优</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1年</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已完成</w:t>
            </w:r>
          </w:p>
        </w:tc>
      </w:tr>
      <w:tr>
        <w:tblPrEx>
          <w:tblCellMar>
            <w:top w:w="0" w:type="dxa"/>
            <w:left w:w="108" w:type="dxa"/>
            <w:bottom w:w="0" w:type="dxa"/>
            <w:right w:w="108" w:type="dxa"/>
          </w:tblCellMar>
        </w:tblPrEx>
        <w:trPr>
          <w:trHeight w:val="480"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sz w:val="24"/>
                <w:lang w:val="zh-CN"/>
              </w:rPr>
              <w:t>中央、省级公益电影放映补助资金</w:t>
            </w:r>
            <w:r>
              <w:rPr>
                <w:rFonts w:hint="eastAsia" w:eastAsia="仿宋_GB2312"/>
                <w:sz w:val="24"/>
                <w:lang w:val="zh-CN"/>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宋体" w:hAnsi="宋体" w:cs="宋体"/>
                <w:sz w:val="24"/>
              </w:rPr>
              <w:t>26.7399万元</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宋体" w:hAnsi="宋体" w:cs="宋体"/>
                <w:sz w:val="24"/>
              </w:rPr>
              <w:t>26.7399万元</w:t>
            </w:r>
          </w:p>
        </w:tc>
      </w:tr>
      <w:tr>
        <w:tblPrEx>
          <w:tblCellMar>
            <w:top w:w="0" w:type="dxa"/>
            <w:left w:w="108" w:type="dxa"/>
            <w:bottom w:w="0" w:type="dxa"/>
            <w:right w:w="108" w:type="dxa"/>
          </w:tblCellMar>
        </w:tblPrEx>
        <w:trPr>
          <w:trHeight w:val="2016"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sz w:val="28"/>
                <w:szCs w:val="28"/>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社会效益  指标</w:t>
            </w:r>
          </w:p>
        </w:tc>
        <w:tc>
          <w:tcPr>
            <w:tcW w:w="1218" w:type="dxa"/>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Cs w:val="21"/>
              </w:rPr>
            </w:pPr>
            <w:r>
              <w:rPr>
                <w:rFonts w:hint="eastAsia"/>
                <w:sz w:val="30"/>
                <w:szCs w:val="30"/>
                <w:lang w:val="zh-CN"/>
              </w:rPr>
              <w:t>丰富群众精神文化生活</w:t>
            </w:r>
          </w:p>
        </w:tc>
        <w:tc>
          <w:tcPr>
            <w:tcW w:w="1254" w:type="dxa"/>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优</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trHeight w:val="530" w:hRule="atLeast"/>
        </w:trPr>
        <w:tc>
          <w:tcPr>
            <w:tcW w:w="202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sz w:val="28"/>
                <w:szCs w:val="28"/>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cs="仿宋_GB2312"/>
                <w:sz w:val="28"/>
                <w:szCs w:val="28"/>
              </w:rPr>
            </w:pPr>
            <w:r>
              <w:rPr>
                <w:rFonts w:hint="eastAsia" w:ascii="仿宋_GB2312" w:hAnsi="仿宋_GB2312" w:eastAsia="仿宋_GB2312"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cs="仿宋_GB2312"/>
                <w:sz w:val="28"/>
                <w:szCs w:val="28"/>
              </w:rPr>
              <w:t>抽样群众满意度调查</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cs="仿宋_GB2312"/>
                <w:sz w:val="28"/>
                <w:szCs w:val="28"/>
              </w:rPr>
              <w:t>≥95%</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sz w:val="28"/>
                <w:szCs w:val="28"/>
              </w:rPr>
            </w:pPr>
            <w:r>
              <w:rPr>
                <w:rFonts w:hint="eastAsia" w:ascii="仿宋_GB2312" w:hAnsi="仿宋_GB2312" w:cs="仿宋_GB2312"/>
                <w:sz w:val="28"/>
                <w:szCs w:val="28"/>
              </w:rPr>
              <w:t>≥95%</w:t>
            </w:r>
          </w:p>
        </w:tc>
      </w:tr>
    </w:tbl>
    <w:p>
      <w:pPr>
        <w:pStyle w:val="39"/>
        <w:spacing w:line="578" w:lineRule="exact"/>
        <w:jc w:val="left"/>
        <w:rPr>
          <w:rFonts w:hint="eastAsia" w:ascii="宋体" w:hAnsi="宋体"/>
          <w:color w:val="auto"/>
          <w:kern w:val="2"/>
          <w:sz w:val="32"/>
          <w:szCs w:val="32"/>
        </w:rPr>
      </w:pPr>
      <w:r>
        <w:rPr>
          <w:rFonts w:hint="eastAsia" w:ascii="宋体" w:hAnsi="宋体"/>
          <w:color w:val="auto"/>
          <w:kern w:val="2"/>
          <w:sz w:val="32"/>
          <w:szCs w:val="32"/>
        </w:rPr>
        <w:t>附件3</w:t>
      </w:r>
    </w:p>
    <w:p>
      <w:pPr>
        <w:pStyle w:val="39"/>
        <w:spacing w:line="578" w:lineRule="exact"/>
        <w:ind w:firstLine="640"/>
        <w:jc w:val="center"/>
        <w:rPr>
          <w:rFonts w:hint="eastAsia" w:ascii="宋体" w:hAnsi="宋体"/>
          <w:color w:val="auto"/>
          <w:kern w:val="2"/>
          <w:sz w:val="32"/>
          <w:szCs w:val="32"/>
        </w:rPr>
      </w:pPr>
    </w:p>
    <w:p>
      <w:pPr>
        <w:spacing w:line="600" w:lineRule="exact"/>
        <w:jc w:val="center"/>
        <w:rPr>
          <w:rFonts w:asciiTheme="majorEastAsia" w:hAnsiTheme="majorEastAsia" w:eastAsiaTheme="majorEastAsia"/>
          <w:b/>
          <w:bCs/>
          <w:sz w:val="38"/>
          <w:szCs w:val="38"/>
        </w:rPr>
      </w:pPr>
      <w:r>
        <w:rPr>
          <w:rFonts w:hint="eastAsia" w:asciiTheme="majorEastAsia" w:hAnsiTheme="majorEastAsia" w:eastAsiaTheme="majorEastAsia"/>
          <w:b/>
          <w:bCs/>
          <w:sz w:val="38"/>
          <w:szCs w:val="38"/>
        </w:rPr>
        <w:t>中央支持地方公共文化服务体系建设补助资金</w:t>
      </w:r>
    </w:p>
    <w:p>
      <w:pPr>
        <w:spacing w:line="600" w:lineRule="exact"/>
        <w:jc w:val="center"/>
        <w:rPr>
          <w:rFonts w:asciiTheme="majorEastAsia" w:hAnsiTheme="majorEastAsia" w:eastAsiaTheme="majorEastAsia"/>
          <w:b/>
          <w:bCs/>
          <w:sz w:val="38"/>
          <w:szCs w:val="38"/>
        </w:rPr>
      </w:pPr>
      <w:r>
        <w:rPr>
          <w:rFonts w:hint="eastAsia" w:asciiTheme="majorEastAsia" w:hAnsiTheme="majorEastAsia" w:eastAsiaTheme="majorEastAsia"/>
          <w:b/>
          <w:bCs/>
          <w:sz w:val="38"/>
          <w:szCs w:val="38"/>
        </w:rPr>
        <w:t>（新时代文明实践中心建设项目）</w:t>
      </w:r>
    </w:p>
    <w:p>
      <w:pPr>
        <w:spacing w:line="600" w:lineRule="exact"/>
        <w:jc w:val="center"/>
        <w:rPr>
          <w:rFonts w:asciiTheme="majorEastAsia" w:hAnsiTheme="majorEastAsia" w:eastAsiaTheme="majorEastAsia"/>
          <w:b/>
          <w:bCs/>
          <w:sz w:val="38"/>
          <w:szCs w:val="38"/>
        </w:rPr>
      </w:pPr>
      <w:r>
        <w:rPr>
          <w:rFonts w:eastAsia="方正小标宋简体"/>
          <w:sz w:val="40"/>
          <w:szCs w:val="40"/>
        </w:rPr>
        <w:t>支出绩效自评报告</w:t>
      </w:r>
    </w:p>
    <w:p>
      <w:pPr>
        <w:spacing w:line="600" w:lineRule="exact"/>
        <w:rPr>
          <w:rFonts w:ascii="宋体"/>
          <w:sz w:val="32"/>
          <w:szCs w:val="32"/>
          <w:lang w:val="zh-CN"/>
        </w:rPr>
      </w:pPr>
    </w:p>
    <w:p>
      <w:pPr>
        <w:widowControl/>
        <w:adjustRightInd w:val="0"/>
        <w:snapToGrid w:val="0"/>
        <w:spacing w:line="560" w:lineRule="exact"/>
        <w:ind w:firstLine="640" w:firstLineChars="200"/>
        <w:contextualSpacing/>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adjustRightInd w:val="0"/>
        <w:snapToGrid w:val="0"/>
        <w:spacing w:line="600" w:lineRule="exact"/>
        <w:ind w:firstLine="720"/>
        <w:rPr>
          <w:rFonts w:eastAsia="仿宋_GB2312"/>
          <w:sz w:val="32"/>
          <w:szCs w:val="32"/>
          <w:lang w:val="zh-CN"/>
        </w:rPr>
      </w:pPr>
      <w:r>
        <w:rPr>
          <w:rFonts w:eastAsia="仿宋_GB2312"/>
          <w:sz w:val="32"/>
          <w:szCs w:val="32"/>
          <w:lang w:val="zh-CN"/>
        </w:rPr>
        <w:t>1.在该项目管理中的职能</w:t>
      </w:r>
    </w:p>
    <w:p>
      <w:pPr>
        <w:adjustRightInd w:val="0"/>
        <w:snapToGrid w:val="0"/>
        <w:spacing w:line="600" w:lineRule="exact"/>
        <w:ind w:firstLine="720"/>
        <w:rPr>
          <w:rFonts w:eastAsia="仿宋_GB2312"/>
          <w:sz w:val="32"/>
          <w:szCs w:val="32"/>
          <w:lang w:val="zh-CN"/>
        </w:rPr>
      </w:pPr>
      <w:r>
        <w:rPr>
          <w:rFonts w:hint="eastAsia" w:eastAsia="仿宋_GB2312"/>
          <w:sz w:val="32"/>
          <w:szCs w:val="32"/>
        </w:rPr>
        <w:t>县委宣传部</w:t>
      </w:r>
      <w:r>
        <w:rPr>
          <w:rFonts w:eastAsia="仿宋_GB2312"/>
          <w:sz w:val="32"/>
          <w:szCs w:val="32"/>
        </w:rPr>
        <w:t>负责</w:t>
      </w:r>
      <w:r>
        <w:rPr>
          <w:rFonts w:hint="eastAsia" w:eastAsia="仿宋_GB2312"/>
          <w:sz w:val="32"/>
          <w:szCs w:val="32"/>
        </w:rPr>
        <w:t>新时代文明实践中心建设项目</w:t>
      </w:r>
      <w:r>
        <w:rPr>
          <w:rFonts w:eastAsia="仿宋_GB2312"/>
          <w:sz w:val="32"/>
          <w:szCs w:val="32"/>
        </w:rPr>
        <w:t>，</w:t>
      </w:r>
      <w:r>
        <w:rPr>
          <w:rFonts w:hint="eastAsia" w:eastAsia="仿宋_GB2312"/>
          <w:sz w:val="32"/>
          <w:szCs w:val="32"/>
        </w:rPr>
        <w:t>负责督促指导实践中心（所、站）阵地建设、队伍管理、活动指导等工作。</w:t>
      </w:r>
    </w:p>
    <w:p>
      <w:pPr>
        <w:adjustRightInd w:val="0"/>
        <w:snapToGrid w:val="0"/>
        <w:spacing w:line="600" w:lineRule="exact"/>
        <w:ind w:firstLine="720"/>
        <w:rPr>
          <w:rFonts w:eastAsia="仿宋_GB2312"/>
          <w:sz w:val="32"/>
          <w:szCs w:val="32"/>
          <w:lang w:val="zh-CN"/>
        </w:rPr>
      </w:pPr>
      <w:r>
        <w:rPr>
          <w:rFonts w:eastAsia="仿宋_GB2312"/>
          <w:sz w:val="32"/>
          <w:szCs w:val="32"/>
          <w:lang w:val="zh-CN"/>
        </w:rPr>
        <w:t>2.项目立项、资金申报的依据</w:t>
      </w:r>
    </w:p>
    <w:p>
      <w:pPr>
        <w:spacing w:line="600" w:lineRule="exact"/>
        <w:ind w:firstLine="640" w:firstLineChars="200"/>
        <w:rPr>
          <w:rFonts w:eastAsia="仿宋_GB2312"/>
          <w:sz w:val="32"/>
          <w:szCs w:val="32"/>
        </w:rPr>
      </w:pPr>
      <w:r>
        <w:rPr>
          <w:rFonts w:hint="eastAsia" w:eastAsia="仿宋_GB2312"/>
          <w:sz w:val="32"/>
          <w:szCs w:val="32"/>
        </w:rPr>
        <w:t>县委宣传部根据《财政部关于提前下达2022年中央支持地方公共文化服务体系建设补助资金预算（新时代文明实践中心建设项目等）的通知》（财教</w:t>
      </w:r>
      <w:r>
        <w:rPr>
          <w:rFonts w:hint="eastAsia" w:ascii="宋体" w:hAnsi="宋体"/>
          <w:sz w:val="32"/>
          <w:szCs w:val="32"/>
        </w:rPr>
        <w:t>﹝</w:t>
      </w:r>
      <w:r>
        <w:rPr>
          <w:rFonts w:hint="eastAsia" w:eastAsia="仿宋_GB2312"/>
          <w:sz w:val="32"/>
          <w:szCs w:val="32"/>
        </w:rPr>
        <w:t>2021</w:t>
      </w:r>
      <w:r>
        <w:rPr>
          <w:rFonts w:hint="eastAsia" w:ascii="宋体" w:hAnsi="宋体"/>
          <w:sz w:val="32"/>
          <w:szCs w:val="32"/>
        </w:rPr>
        <w:t>﹞</w:t>
      </w:r>
      <w:r>
        <w:rPr>
          <w:rFonts w:hint="eastAsia" w:eastAsia="仿宋_GB2312"/>
          <w:sz w:val="32"/>
          <w:szCs w:val="32"/>
        </w:rPr>
        <w:t>236号）精神，下达我县2022年中央支持地方公共文化服务体系建设补助资金预算（新时代文明实践中心建设项目）资金为10.5万元。</w:t>
      </w:r>
    </w:p>
    <w:p>
      <w:pPr>
        <w:adjustRightInd w:val="0"/>
        <w:snapToGrid w:val="0"/>
        <w:spacing w:line="600" w:lineRule="exact"/>
        <w:ind w:firstLine="720"/>
        <w:rPr>
          <w:rFonts w:eastAsia="仿宋_GB2312"/>
          <w:sz w:val="32"/>
          <w:szCs w:val="32"/>
          <w:lang w:val="zh-CN"/>
        </w:rPr>
      </w:pPr>
      <w:r>
        <w:rPr>
          <w:rFonts w:eastAsia="仿宋_GB2312"/>
          <w:sz w:val="32"/>
          <w:szCs w:val="32"/>
          <w:lang w:val="zh-CN"/>
        </w:rPr>
        <w:t>3.资金管理办法制定情况</w:t>
      </w:r>
    </w:p>
    <w:p>
      <w:pPr>
        <w:adjustRightInd w:val="0"/>
        <w:snapToGrid w:val="0"/>
        <w:spacing w:line="600" w:lineRule="exact"/>
        <w:ind w:firstLine="720"/>
        <w:rPr>
          <w:rFonts w:eastAsia="仿宋_GB2312"/>
          <w:sz w:val="32"/>
          <w:szCs w:val="32"/>
        </w:rPr>
      </w:pPr>
      <w:r>
        <w:rPr>
          <w:rFonts w:hint="eastAsia" w:eastAsia="仿宋_GB2312"/>
          <w:sz w:val="32"/>
          <w:szCs w:val="32"/>
        </w:rPr>
        <w:t>严格按照财经管理使用相关规定，对项目资金进行专款专用，2022年中央支持地方公共文化服务体系建设补助资金预算（新时代文明实践中心建设项目）资金10.5万元全部用于新时代文明实践中心建设，主要用于米易县新时代文明实践中心云平台服务器租赁、县级实践中心、主要城市社区新时代文明实践站活动开展等。</w:t>
      </w:r>
    </w:p>
    <w:p>
      <w:pPr>
        <w:adjustRightInd w:val="0"/>
        <w:snapToGrid w:val="0"/>
        <w:spacing w:line="600" w:lineRule="exact"/>
        <w:ind w:firstLine="720"/>
        <w:rPr>
          <w:rFonts w:eastAsia="仿宋_GB2312"/>
          <w:sz w:val="32"/>
          <w:szCs w:val="32"/>
          <w:lang w:val="zh-CN"/>
        </w:rPr>
      </w:pPr>
      <w:r>
        <w:rPr>
          <w:rFonts w:eastAsia="仿宋_GB2312"/>
          <w:sz w:val="32"/>
          <w:szCs w:val="32"/>
          <w:lang w:val="zh-CN"/>
        </w:rPr>
        <w:t>4.资金分配的原则</w:t>
      </w:r>
    </w:p>
    <w:p>
      <w:pPr>
        <w:adjustRightInd w:val="0"/>
        <w:snapToGrid w:val="0"/>
        <w:spacing w:line="600" w:lineRule="exact"/>
        <w:ind w:firstLine="720"/>
        <w:rPr>
          <w:rFonts w:eastAsia="仿宋_GB2312"/>
          <w:sz w:val="32"/>
          <w:szCs w:val="32"/>
          <w:lang w:val="zh-CN"/>
        </w:rPr>
      </w:pPr>
      <w:r>
        <w:rPr>
          <w:rFonts w:hint="eastAsia" w:eastAsia="仿宋_GB2312"/>
          <w:kern w:val="0"/>
          <w:sz w:val="32"/>
          <w:szCs w:val="32"/>
        </w:rPr>
        <w:t>资金</w:t>
      </w:r>
      <w:r>
        <w:rPr>
          <w:rFonts w:eastAsia="仿宋_GB2312"/>
          <w:kern w:val="0"/>
          <w:sz w:val="32"/>
          <w:szCs w:val="32"/>
        </w:rPr>
        <w:t>根据</w:t>
      </w:r>
      <w:r>
        <w:rPr>
          <w:rFonts w:hint="eastAsia" w:eastAsia="仿宋_GB2312"/>
          <w:kern w:val="0"/>
          <w:sz w:val="32"/>
          <w:szCs w:val="32"/>
        </w:rPr>
        <w:t>实践中心、所（站）开展活动次数、效果、群众满意度等</w:t>
      </w:r>
      <w:r>
        <w:rPr>
          <w:rFonts w:eastAsia="仿宋_GB2312"/>
          <w:kern w:val="0"/>
          <w:sz w:val="32"/>
          <w:szCs w:val="32"/>
        </w:rPr>
        <w:t>来分配。</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（二）项目绩效目标</w:t>
      </w:r>
    </w:p>
    <w:p>
      <w:pPr>
        <w:adjustRightInd w:val="0"/>
        <w:snapToGrid w:val="0"/>
        <w:spacing w:line="600" w:lineRule="exact"/>
        <w:ind w:firstLine="720"/>
        <w:rPr>
          <w:rFonts w:eastAsia="仿宋_GB2312"/>
          <w:sz w:val="32"/>
          <w:szCs w:val="32"/>
          <w:lang w:val="zh-CN"/>
        </w:rPr>
      </w:pPr>
      <w:r>
        <w:rPr>
          <w:rFonts w:eastAsia="仿宋_GB2312"/>
          <w:sz w:val="32"/>
          <w:szCs w:val="32"/>
          <w:lang w:val="zh-CN"/>
        </w:rPr>
        <w:t>1.项目主要内容</w:t>
      </w:r>
    </w:p>
    <w:p>
      <w:pPr>
        <w:spacing w:line="600" w:lineRule="exact"/>
        <w:ind w:firstLine="627" w:firstLineChars="196"/>
        <w:rPr>
          <w:rFonts w:eastAsia="仿宋_GB2312"/>
          <w:kern w:val="0"/>
          <w:sz w:val="32"/>
          <w:szCs w:val="32"/>
        </w:rPr>
      </w:pPr>
      <w:r>
        <w:rPr>
          <w:rFonts w:hint="eastAsia" w:eastAsia="仿宋_GB2312"/>
          <w:kern w:val="0"/>
          <w:sz w:val="32"/>
          <w:szCs w:val="32"/>
        </w:rPr>
        <w:t>通过完善新时代文明实践中心云平台，形成 “点单”“派单”“接单”“评单”的闭环管理模式，活动更加规范化、制度化。通过实践中心、城市社区实践站广泛开展文明实践活动，示范带动全县文明实践活动遍地开花。</w:t>
      </w:r>
    </w:p>
    <w:p>
      <w:pPr>
        <w:adjustRightInd w:val="0"/>
        <w:snapToGrid w:val="0"/>
        <w:spacing w:line="600" w:lineRule="exact"/>
        <w:ind w:firstLine="720"/>
        <w:rPr>
          <w:rFonts w:eastAsia="仿宋_GB2312"/>
          <w:sz w:val="32"/>
          <w:szCs w:val="32"/>
          <w:lang w:val="zh-CN"/>
        </w:rPr>
      </w:pPr>
      <w:r>
        <w:rPr>
          <w:rFonts w:eastAsia="仿宋_GB2312"/>
          <w:sz w:val="32"/>
          <w:szCs w:val="32"/>
          <w:lang w:val="zh-CN"/>
        </w:rPr>
        <w:t>2.项目应实现的具体绩效目标</w:t>
      </w:r>
    </w:p>
    <w:p>
      <w:pPr>
        <w:spacing w:line="600" w:lineRule="exact"/>
        <w:ind w:firstLine="627" w:firstLineChars="196"/>
        <w:rPr>
          <w:rFonts w:eastAsia="仿宋_GB2312"/>
          <w:kern w:val="0"/>
          <w:sz w:val="32"/>
          <w:szCs w:val="32"/>
        </w:rPr>
      </w:pPr>
      <w:r>
        <w:rPr>
          <w:rFonts w:hint="eastAsia" w:eastAsia="仿宋_GB2312"/>
          <w:kern w:val="0"/>
          <w:sz w:val="32"/>
          <w:szCs w:val="32"/>
        </w:rPr>
        <w:t>根据群众需求，统筹开展“学习实践科学理论、宣传宣讲党的政策、培育践行主流价值、丰富活跃文化生活、持续深入移风易俗”等主题活动，打通了宣传教育群众、关心服务群众“最后一公里”。</w:t>
      </w:r>
    </w:p>
    <w:p>
      <w:pPr>
        <w:adjustRightInd w:val="0"/>
        <w:snapToGrid w:val="0"/>
        <w:spacing w:line="600" w:lineRule="exact"/>
        <w:ind w:firstLine="720"/>
        <w:rPr>
          <w:rFonts w:eastAsia="仿宋_GB2312"/>
          <w:sz w:val="32"/>
          <w:szCs w:val="32"/>
          <w:lang w:val="zh-CN"/>
        </w:rPr>
      </w:pPr>
      <w:r>
        <w:rPr>
          <w:rFonts w:eastAsia="仿宋_GB2312"/>
          <w:kern w:val="0"/>
          <w:sz w:val="32"/>
          <w:szCs w:val="32"/>
        </w:rPr>
        <w:t>3.</w:t>
      </w:r>
      <w:r>
        <w:rPr>
          <w:rFonts w:hint="eastAsia" w:eastAsia="仿宋_GB2312"/>
          <w:kern w:val="0"/>
          <w:sz w:val="32"/>
          <w:szCs w:val="32"/>
        </w:rPr>
        <w:t>米易县中央支持地方公共文化服务体系建设补助资金</w:t>
      </w:r>
      <w:r>
        <w:rPr>
          <w:rFonts w:hint="eastAsia" w:eastAsia="仿宋_GB2312"/>
          <w:sz w:val="32"/>
          <w:szCs w:val="32"/>
        </w:rPr>
        <w:t>（新时代文明实践中心建设项目）</w:t>
      </w:r>
      <w:r>
        <w:rPr>
          <w:rFonts w:eastAsia="仿宋_GB2312"/>
          <w:kern w:val="0"/>
          <w:sz w:val="32"/>
          <w:szCs w:val="32"/>
          <w:lang w:val="zh-CN"/>
        </w:rPr>
        <w:t>申报内容</w:t>
      </w:r>
      <w:r>
        <w:rPr>
          <w:rFonts w:eastAsia="仿宋_GB2312"/>
          <w:kern w:val="0"/>
          <w:sz w:val="32"/>
          <w:szCs w:val="32"/>
        </w:rPr>
        <w:t>与实际相符，</w:t>
      </w:r>
      <w:r>
        <w:rPr>
          <w:rFonts w:eastAsia="仿宋_GB2312"/>
          <w:kern w:val="0"/>
          <w:sz w:val="32"/>
          <w:szCs w:val="32"/>
          <w:lang w:val="zh-CN"/>
        </w:rPr>
        <w:t>申报目标</w:t>
      </w:r>
      <w:r>
        <w:rPr>
          <w:rFonts w:eastAsia="仿宋_GB2312"/>
          <w:kern w:val="0"/>
          <w:sz w:val="32"/>
          <w:szCs w:val="32"/>
        </w:rPr>
        <w:t>合理可行。</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（三）项目自评步骤及方法</w:t>
      </w:r>
    </w:p>
    <w:p>
      <w:pPr>
        <w:widowControl/>
        <w:snapToGrid w:val="0"/>
        <w:spacing w:line="600" w:lineRule="atLeast"/>
        <w:ind w:firstLine="640" w:firstLineChars="200"/>
        <w:rPr>
          <w:rFonts w:eastAsia="仿宋_GB2312"/>
          <w:kern w:val="0"/>
          <w:sz w:val="32"/>
          <w:szCs w:val="32"/>
        </w:rPr>
      </w:pPr>
      <w:r>
        <w:rPr>
          <w:rFonts w:eastAsia="仿宋_GB2312"/>
          <w:kern w:val="0"/>
          <w:sz w:val="32"/>
          <w:szCs w:val="32"/>
        </w:rPr>
        <w:t>一是确定评价对象</w:t>
      </w:r>
      <w:r>
        <w:rPr>
          <w:rFonts w:hint="eastAsia" w:eastAsia="仿宋_GB2312"/>
          <w:kern w:val="0"/>
          <w:sz w:val="32"/>
          <w:szCs w:val="32"/>
        </w:rPr>
        <w:t>。</w:t>
      </w:r>
    </w:p>
    <w:p>
      <w:pPr>
        <w:widowControl/>
        <w:snapToGrid w:val="0"/>
        <w:spacing w:line="600" w:lineRule="atLeast"/>
        <w:rPr>
          <w:rFonts w:eastAsia="仿宋_GB2312"/>
          <w:kern w:val="0"/>
          <w:sz w:val="32"/>
          <w:szCs w:val="32"/>
        </w:rPr>
      </w:pPr>
      <w:r>
        <w:rPr>
          <w:rFonts w:eastAsia="仿宋_GB2312"/>
          <w:kern w:val="0"/>
          <w:sz w:val="32"/>
          <w:szCs w:val="32"/>
        </w:rPr>
        <w:t xml:space="preserve">    二是收集整理项目基础资料和财务资料。</w:t>
      </w:r>
    </w:p>
    <w:p>
      <w:pPr>
        <w:widowControl/>
        <w:snapToGrid w:val="0"/>
        <w:spacing w:line="600" w:lineRule="atLeast"/>
        <w:rPr>
          <w:rFonts w:eastAsia="仿宋_GB2312"/>
          <w:kern w:val="0"/>
          <w:sz w:val="32"/>
          <w:szCs w:val="32"/>
        </w:rPr>
      </w:pPr>
      <w:r>
        <w:rPr>
          <w:rFonts w:eastAsia="仿宋_GB2312"/>
          <w:kern w:val="0"/>
          <w:sz w:val="32"/>
          <w:szCs w:val="32"/>
        </w:rPr>
        <w:t xml:space="preserve">    三是梳理评价重点。对项目实施薄弱环节、绩效内容进行梳理，作为评价重点和目标。</w:t>
      </w:r>
    </w:p>
    <w:p>
      <w:pPr>
        <w:adjustRightInd w:val="0"/>
        <w:snapToGrid w:val="0"/>
        <w:spacing w:line="600" w:lineRule="exact"/>
        <w:ind w:firstLine="720"/>
        <w:rPr>
          <w:rFonts w:eastAsia="仿宋_GB2312"/>
          <w:kern w:val="0"/>
          <w:sz w:val="32"/>
          <w:szCs w:val="32"/>
        </w:rPr>
      </w:pPr>
      <w:r>
        <w:rPr>
          <w:rFonts w:eastAsia="仿宋_GB2312"/>
          <w:kern w:val="0"/>
          <w:sz w:val="32"/>
          <w:szCs w:val="32"/>
        </w:rPr>
        <w:t>四是开展项目自评。根据项目特性指标开展自评，并撰写项目支出绩效自评报告。</w:t>
      </w:r>
    </w:p>
    <w:p>
      <w:pPr>
        <w:widowControl/>
        <w:adjustRightInd w:val="0"/>
        <w:snapToGrid w:val="0"/>
        <w:spacing w:line="560"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（一）项目资金申报及批复情况</w:t>
      </w:r>
    </w:p>
    <w:p>
      <w:pPr>
        <w:adjustRightInd w:val="0"/>
        <w:snapToGrid w:val="0"/>
        <w:spacing w:line="600" w:lineRule="exact"/>
        <w:ind w:firstLine="720"/>
        <w:rPr>
          <w:rFonts w:eastAsia="仿宋_GB2312"/>
          <w:spacing w:val="-10"/>
          <w:kern w:val="0"/>
          <w:sz w:val="32"/>
          <w:szCs w:val="32"/>
        </w:rPr>
      </w:pPr>
      <w:r>
        <w:rPr>
          <w:rFonts w:hint="eastAsia" w:eastAsia="仿宋_GB2312"/>
          <w:sz w:val="32"/>
          <w:szCs w:val="32"/>
          <w:lang w:val="zh-CN"/>
        </w:rPr>
        <w:t>县委宣传部</w:t>
      </w:r>
      <w:r>
        <w:rPr>
          <w:rFonts w:eastAsia="仿宋_GB2312"/>
          <w:sz w:val="32"/>
          <w:szCs w:val="32"/>
          <w:lang w:val="zh-CN"/>
        </w:rPr>
        <w:t>向县政府</w:t>
      </w:r>
      <w:r>
        <w:rPr>
          <w:rFonts w:hint="eastAsia" w:eastAsia="仿宋_GB2312"/>
          <w:sz w:val="32"/>
          <w:szCs w:val="32"/>
          <w:lang w:val="zh-CN"/>
        </w:rPr>
        <w:t>专项请示米易县中央支持地方公共文化服务体系建设补助资金</w:t>
      </w:r>
      <w:r>
        <w:rPr>
          <w:rFonts w:eastAsia="仿宋_GB2312"/>
          <w:sz w:val="32"/>
          <w:szCs w:val="32"/>
          <w:lang w:val="zh-CN"/>
        </w:rPr>
        <w:t>。</w:t>
      </w:r>
      <w:r>
        <w:rPr>
          <w:rFonts w:hint="eastAsia" w:eastAsia="仿宋_GB2312"/>
          <w:sz w:val="32"/>
          <w:szCs w:val="32"/>
          <w:lang w:val="zh-CN"/>
        </w:rPr>
        <w:t>县级实践中心、5个城市社区将全年开展活动的清单报县委宣传部审核，审核后</w:t>
      </w:r>
      <w:r>
        <w:rPr>
          <w:rFonts w:eastAsia="仿宋_GB2312"/>
          <w:sz w:val="32"/>
          <w:szCs w:val="32"/>
          <w:lang w:val="zh-CN"/>
        </w:rPr>
        <w:t>报县财政局，</w:t>
      </w:r>
      <w:r>
        <w:rPr>
          <w:rFonts w:hint="eastAsia" w:eastAsia="仿宋_GB2312"/>
          <w:sz w:val="32"/>
          <w:szCs w:val="32"/>
          <w:lang w:val="zh-CN"/>
        </w:rPr>
        <w:t>县</w:t>
      </w:r>
      <w:r>
        <w:rPr>
          <w:rFonts w:eastAsia="仿宋_GB2312"/>
          <w:sz w:val="32"/>
          <w:szCs w:val="32"/>
          <w:lang w:val="zh-CN"/>
        </w:rPr>
        <w:t>财政局根据各实施单位实际发生金额将指标下达到各单位。</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（二）资金计划、到位及使用情况</w:t>
      </w:r>
    </w:p>
    <w:p>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hint="eastAsia" w:ascii="仿宋_GB2312" w:hAnsi="仿宋_GB2312" w:eastAsia="仿宋_GB2312" w:cs="仿宋_GB2312"/>
          <w:sz w:val="32"/>
          <w:szCs w:val="32"/>
          <w:lang w:val="zh-CN"/>
        </w:rPr>
        <w:t>资金计划</w:t>
      </w:r>
    </w:p>
    <w:p>
      <w:pPr>
        <w:widowControl/>
        <w:snapToGrid w:val="0"/>
        <w:spacing w:line="600" w:lineRule="atLeast"/>
        <w:ind w:firstLine="720"/>
        <w:rPr>
          <w:rFonts w:eastAsia="仿宋_GB2312"/>
          <w:sz w:val="32"/>
          <w:szCs w:val="32"/>
          <w:lang w:val="zh-CN"/>
        </w:rPr>
      </w:pPr>
      <w:r>
        <w:rPr>
          <w:rFonts w:eastAsia="仿宋_GB2312"/>
          <w:sz w:val="32"/>
          <w:szCs w:val="32"/>
          <w:lang w:val="zh-CN"/>
        </w:rPr>
        <w:t>项目资金为</w:t>
      </w:r>
      <w:r>
        <w:rPr>
          <w:rFonts w:hint="eastAsia" w:eastAsia="仿宋_GB2312"/>
          <w:sz w:val="32"/>
          <w:szCs w:val="32"/>
          <w:lang w:val="zh-CN"/>
        </w:rPr>
        <w:t>中央支持地方公共文化服务体系建设补助资金</w:t>
      </w:r>
      <w:r>
        <w:rPr>
          <w:rFonts w:eastAsia="仿宋_GB2312"/>
          <w:sz w:val="32"/>
          <w:szCs w:val="32"/>
          <w:lang w:val="zh-CN"/>
        </w:rPr>
        <w:t>。在项目计划阶段，</w:t>
      </w:r>
      <w:r>
        <w:rPr>
          <w:rFonts w:hint="eastAsia" w:eastAsia="仿宋_GB2312"/>
          <w:sz w:val="32"/>
          <w:szCs w:val="32"/>
          <w:lang w:val="zh-CN"/>
        </w:rPr>
        <w:t>各实施单位形成全年活动计划，县委宣传部根据活动计划，初步形成</w:t>
      </w:r>
      <w:r>
        <w:rPr>
          <w:rFonts w:eastAsia="仿宋_GB2312"/>
          <w:sz w:val="32"/>
          <w:szCs w:val="32"/>
          <w:lang w:val="zh-CN"/>
        </w:rPr>
        <w:t>活动经费预算表</w:t>
      </w:r>
      <w:r>
        <w:rPr>
          <w:rFonts w:hint="eastAsia" w:eastAsia="仿宋_GB2312"/>
          <w:sz w:val="32"/>
          <w:szCs w:val="32"/>
          <w:lang w:val="zh-CN"/>
        </w:rPr>
        <w:t>。</w:t>
      </w:r>
    </w:p>
    <w:p>
      <w:pPr>
        <w:adjustRightInd w:val="0"/>
        <w:snapToGrid w:val="0"/>
        <w:spacing w:line="600" w:lineRule="exact"/>
        <w:ind w:firstLine="720"/>
        <w:rPr>
          <w:rFonts w:eastAsia="楷体_GB2312"/>
          <w:sz w:val="32"/>
          <w:szCs w:val="32"/>
          <w:lang w:val="zh-CN"/>
        </w:rPr>
      </w:pPr>
      <w:r>
        <w:rPr>
          <w:rFonts w:eastAsia="楷体_GB2312"/>
          <w:sz w:val="32"/>
          <w:szCs w:val="32"/>
          <w:lang w:val="zh-CN"/>
        </w:rPr>
        <w:t>2.</w:t>
      </w:r>
      <w:r>
        <w:rPr>
          <w:rFonts w:eastAsia="仿宋_GB2312"/>
          <w:sz w:val="32"/>
          <w:szCs w:val="32"/>
          <w:lang w:val="zh-CN"/>
        </w:rPr>
        <w:t>资金到位</w:t>
      </w:r>
    </w:p>
    <w:p>
      <w:pPr>
        <w:adjustRightInd w:val="0"/>
        <w:snapToGrid w:val="0"/>
        <w:spacing w:line="600" w:lineRule="exact"/>
        <w:ind w:firstLine="720"/>
        <w:rPr>
          <w:rFonts w:eastAsia="仿宋_GB2312"/>
          <w:sz w:val="32"/>
          <w:szCs w:val="32"/>
          <w:lang w:val="zh-CN"/>
        </w:rPr>
      </w:pPr>
      <w:r>
        <w:rPr>
          <w:rFonts w:eastAsia="仿宋_GB2312"/>
          <w:sz w:val="32"/>
          <w:szCs w:val="32"/>
        </w:rPr>
        <w:t>项目实施完成后，</w:t>
      </w:r>
      <w:r>
        <w:rPr>
          <w:rFonts w:hint="eastAsia" w:eastAsia="仿宋_GB2312"/>
          <w:sz w:val="32"/>
          <w:szCs w:val="32"/>
        </w:rPr>
        <w:t>县委宣传部统计各</w:t>
      </w:r>
      <w:r>
        <w:rPr>
          <w:rFonts w:eastAsia="仿宋_GB2312"/>
          <w:sz w:val="32"/>
          <w:szCs w:val="32"/>
        </w:rPr>
        <w:t>单位</w:t>
      </w:r>
      <w:r>
        <w:rPr>
          <w:rFonts w:hint="eastAsia" w:eastAsia="仿宋_GB2312"/>
          <w:sz w:val="32"/>
          <w:szCs w:val="32"/>
        </w:rPr>
        <w:t>开展活动</w:t>
      </w:r>
      <w:r>
        <w:rPr>
          <w:rFonts w:eastAsia="仿宋_GB2312"/>
          <w:sz w:val="32"/>
          <w:szCs w:val="32"/>
        </w:rPr>
        <w:t>实际发生费用</w:t>
      </w:r>
      <w:r>
        <w:rPr>
          <w:rFonts w:hint="eastAsia" w:eastAsia="仿宋_GB2312"/>
          <w:sz w:val="32"/>
          <w:szCs w:val="32"/>
        </w:rPr>
        <w:t>进行资金分配报县财政局</w:t>
      </w:r>
      <w:r>
        <w:rPr>
          <w:rFonts w:eastAsia="仿宋_GB2312"/>
          <w:sz w:val="32"/>
          <w:szCs w:val="32"/>
        </w:rPr>
        <w:t>，县财政局将资金</w:t>
      </w:r>
      <w:r>
        <w:rPr>
          <w:rFonts w:hint="eastAsia" w:eastAsia="仿宋_GB2312"/>
          <w:sz w:val="32"/>
          <w:szCs w:val="32"/>
        </w:rPr>
        <w:t>指标</w:t>
      </w:r>
      <w:r>
        <w:rPr>
          <w:rFonts w:eastAsia="仿宋_GB2312"/>
          <w:sz w:val="32"/>
          <w:szCs w:val="32"/>
        </w:rPr>
        <w:t>下达到各项目实施单位。</w:t>
      </w:r>
    </w:p>
    <w:p>
      <w:pPr>
        <w:adjustRightInd w:val="0"/>
        <w:snapToGrid w:val="0"/>
        <w:spacing w:line="600" w:lineRule="exact"/>
        <w:ind w:firstLine="720"/>
        <w:rPr>
          <w:rFonts w:eastAsia="楷体_GB2312"/>
          <w:sz w:val="32"/>
          <w:szCs w:val="32"/>
          <w:lang w:val="zh-CN"/>
        </w:rPr>
      </w:pPr>
      <w:r>
        <w:rPr>
          <w:rFonts w:eastAsia="楷体_GB2312"/>
          <w:sz w:val="32"/>
          <w:szCs w:val="32"/>
          <w:lang w:val="zh-CN"/>
        </w:rPr>
        <w:t>3.</w:t>
      </w:r>
      <w:r>
        <w:rPr>
          <w:rFonts w:eastAsia="仿宋_GB2312"/>
          <w:sz w:val="32"/>
          <w:szCs w:val="32"/>
          <w:lang w:val="zh-CN"/>
        </w:rPr>
        <w:t>资金使用</w:t>
      </w:r>
    </w:p>
    <w:p>
      <w:pPr>
        <w:adjustRightInd w:val="0"/>
        <w:snapToGrid w:val="0"/>
        <w:spacing w:line="600" w:lineRule="exact"/>
        <w:ind w:firstLine="720"/>
        <w:rPr>
          <w:rFonts w:eastAsia="仿宋_GB2312"/>
          <w:sz w:val="32"/>
          <w:szCs w:val="32"/>
          <w:lang w:val="zh-CN"/>
        </w:rPr>
      </w:pPr>
      <w:r>
        <w:rPr>
          <w:rFonts w:eastAsia="仿宋_GB2312"/>
          <w:kern w:val="0"/>
          <w:sz w:val="32"/>
          <w:szCs w:val="32"/>
        </w:rPr>
        <w:t>202</w:t>
      </w:r>
      <w:r>
        <w:rPr>
          <w:rFonts w:hint="eastAsia" w:eastAsia="仿宋_GB2312"/>
          <w:kern w:val="0"/>
          <w:sz w:val="32"/>
          <w:szCs w:val="32"/>
        </w:rPr>
        <w:t>2</w:t>
      </w:r>
      <w:r>
        <w:rPr>
          <w:rFonts w:eastAsia="仿宋_GB2312"/>
          <w:kern w:val="0"/>
          <w:sz w:val="32"/>
          <w:szCs w:val="32"/>
        </w:rPr>
        <w:t>年支出项目资金</w:t>
      </w:r>
      <w:r>
        <w:rPr>
          <w:rFonts w:hint="eastAsia" w:eastAsia="仿宋_GB2312"/>
          <w:kern w:val="0"/>
          <w:sz w:val="32"/>
          <w:szCs w:val="32"/>
        </w:rPr>
        <w:t>10.5</w:t>
      </w:r>
      <w:r>
        <w:rPr>
          <w:rFonts w:eastAsia="仿宋_GB2312"/>
          <w:kern w:val="0"/>
          <w:sz w:val="32"/>
          <w:szCs w:val="32"/>
        </w:rPr>
        <w:t>万元。资金支付范围、支付标准、支付进度、支付依据等都是合规合法。</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（三）项目财务管理情况</w:t>
      </w:r>
    </w:p>
    <w:p>
      <w:pPr>
        <w:widowControl/>
        <w:spacing w:line="600" w:lineRule="atLeast"/>
        <w:ind w:firstLine="640"/>
        <w:jc w:val="left"/>
        <w:rPr>
          <w:rFonts w:eastAsia="仿宋_GB2312"/>
          <w:kern w:val="0"/>
          <w:sz w:val="32"/>
          <w:szCs w:val="32"/>
        </w:rPr>
      </w:pPr>
      <w:r>
        <w:rPr>
          <w:rFonts w:eastAsia="仿宋_GB2312"/>
          <w:kern w:val="0"/>
          <w:sz w:val="32"/>
          <w:szCs w:val="32"/>
        </w:rPr>
        <w:t>财政下达指标后，按照资金的用途，</w:t>
      </w:r>
      <w:r>
        <w:rPr>
          <w:rFonts w:hint="eastAsia" w:eastAsia="仿宋_GB2312"/>
          <w:kern w:val="0"/>
          <w:sz w:val="32"/>
          <w:szCs w:val="32"/>
        </w:rPr>
        <w:t>各单位</w:t>
      </w:r>
      <w:r>
        <w:rPr>
          <w:rFonts w:eastAsia="仿宋_GB2312"/>
          <w:kern w:val="0"/>
          <w:sz w:val="32"/>
          <w:szCs w:val="32"/>
        </w:rPr>
        <w:t>及时拨付各项款项。财务管理制度健全，严格执行财务管理制度，账务处理及时，会计核算规范。</w:t>
      </w:r>
    </w:p>
    <w:p>
      <w:pPr>
        <w:widowControl/>
        <w:adjustRightInd w:val="0"/>
        <w:snapToGrid w:val="0"/>
        <w:spacing w:line="560"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三、项目实施及管理情况</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（一）项目组织架构及实施流程</w:t>
      </w:r>
    </w:p>
    <w:p>
      <w:pPr>
        <w:adjustRightInd w:val="0"/>
        <w:snapToGrid w:val="0"/>
        <w:spacing w:line="600" w:lineRule="exact"/>
        <w:ind w:firstLine="720"/>
        <w:rPr>
          <w:rFonts w:eastAsia="仿宋_GB2312"/>
          <w:kern w:val="0"/>
          <w:sz w:val="32"/>
          <w:szCs w:val="32"/>
        </w:rPr>
      </w:pPr>
      <w:r>
        <w:rPr>
          <w:rFonts w:hint="eastAsia" w:eastAsia="仿宋_GB2312"/>
          <w:kern w:val="0"/>
          <w:sz w:val="32"/>
          <w:szCs w:val="32"/>
        </w:rPr>
        <w:t>米易县新时代文明实践中心建设成立了县、乡、村三级组织体系，</w:t>
      </w:r>
      <w:r>
        <w:rPr>
          <w:rFonts w:eastAsia="仿宋_GB2312"/>
          <w:sz w:val="32"/>
          <w:szCs w:val="32"/>
          <w:lang w:val="zh-CN"/>
        </w:rPr>
        <w:t>明确了工作推进机构及其职责。</w:t>
      </w:r>
      <w:r>
        <w:rPr>
          <w:rFonts w:hint="eastAsia" w:eastAsia="仿宋_GB2312"/>
          <w:sz w:val="32"/>
          <w:szCs w:val="32"/>
          <w:lang w:val="zh-CN"/>
        </w:rPr>
        <w:t>主要包括阵地建设、队伍组建、开展活动等。</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（二）项目管理情况</w:t>
      </w:r>
    </w:p>
    <w:p>
      <w:pPr>
        <w:adjustRightInd w:val="0"/>
        <w:snapToGrid w:val="0"/>
        <w:spacing w:line="600" w:lineRule="exact"/>
        <w:ind w:firstLine="720"/>
        <w:rPr>
          <w:rFonts w:hint="eastAsia" w:eastAsia="仿宋_GB2312"/>
          <w:kern w:val="0"/>
          <w:sz w:val="32"/>
          <w:szCs w:val="32"/>
        </w:rPr>
      </w:pPr>
      <w:r>
        <w:rPr>
          <w:rFonts w:eastAsia="仿宋_GB2312"/>
          <w:kern w:val="0"/>
          <w:sz w:val="32"/>
          <w:szCs w:val="32"/>
        </w:rPr>
        <w:t>资金批复后，及时与各相关项目实施单位做好对接，资金管理按照规定，专款专用，严格执行从申请</w:t>
      </w:r>
      <w:r>
        <w:rPr>
          <w:kern w:val="0"/>
          <w:sz w:val="32"/>
          <w:szCs w:val="32"/>
        </w:rPr>
        <w:t>—</w:t>
      </w:r>
      <w:r>
        <w:rPr>
          <w:rFonts w:eastAsia="仿宋_GB2312"/>
          <w:kern w:val="0"/>
          <w:sz w:val="32"/>
          <w:szCs w:val="32"/>
        </w:rPr>
        <w:t>审核</w:t>
      </w:r>
      <w:r>
        <w:rPr>
          <w:kern w:val="0"/>
          <w:sz w:val="32"/>
          <w:szCs w:val="32"/>
        </w:rPr>
        <w:t>—</w:t>
      </w:r>
      <w:r>
        <w:rPr>
          <w:rFonts w:eastAsia="仿宋_GB2312"/>
          <w:kern w:val="0"/>
          <w:sz w:val="32"/>
          <w:szCs w:val="32"/>
        </w:rPr>
        <w:t>领导批准支付的操作程序，手续齐全，程序到位，资金使用规范，会计核算真实、准确。</w:t>
      </w:r>
    </w:p>
    <w:p>
      <w:pPr>
        <w:adjustRightInd w:val="0"/>
        <w:snapToGrid w:val="0"/>
        <w:spacing w:line="600" w:lineRule="exact"/>
        <w:ind w:firstLine="720"/>
        <w:rPr>
          <w:rFonts w:hint="eastAsia" w:ascii="方正仿宋_GBK" w:hAnsi="方正仿宋_GBK" w:eastAsia="方正仿宋_GBK" w:cs="方正仿宋_GBK"/>
          <w:b/>
          <w:sz w:val="32"/>
          <w:szCs w:val="32"/>
          <w:lang w:val="zh-CN"/>
        </w:rPr>
      </w:pPr>
      <w:r>
        <w:rPr>
          <w:rFonts w:hint="eastAsia" w:eastAsia="仿宋_GB2312"/>
          <w:sz w:val="32"/>
          <w:szCs w:val="32"/>
          <w:lang w:val="zh-CN"/>
        </w:rPr>
        <w:t>（三）项目监管情况</w:t>
      </w:r>
    </w:p>
    <w:p>
      <w:pPr>
        <w:spacing w:beforeLines="30"/>
        <w:rPr>
          <w:rFonts w:eastAsia="方正仿宋_GBK"/>
          <w:color w:val="000000"/>
          <w:kern w:val="0"/>
          <w:sz w:val="33"/>
          <w:szCs w:val="33"/>
          <w:lang w:val="zh-CN"/>
        </w:rPr>
      </w:pPr>
      <w:r>
        <w:rPr>
          <w:rFonts w:hint="eastAsia" w:eastAsia="方正仿宋_GBK"/>
          <w:color w:val="000000"/>
          <w:kern w:val="0"/>
          <w:sz w:val="33"/>
          <w:szCs w:val="33"/>
          <w:lang w:val="zh-CN"/>
        </w:rPr>
        <w:t xml:space="preserve">    县委宣传部对项目实施情况进行了日常管理和监督，相关股室及时进行汇报，确保严格执行相关项目管理要求。</w:t>
      </w:r>
    </w:p>
    <w:p>
      <w:pPr>
        <w:widowControl/>
        <w:adjustRightInd w:val="0"/>
        <w:snapToGrid w:val="0"/>
        <w:spacing w:line="560" w:lineRule="exact"/>
        <w:ind w:firstLine="640" w:firstLineChars="200"/>
        <w:contextualSpacing/>
        <w:rPr>
          <w:rFonts w:eastAsia="黑体"/>
          <w:color w:val="000000"/>
          <w:kern w:val="0"/>
          <w:sz w:val="32"/>
          <w:szCs w:val="32"/>
          <w:shd w:val="clear" w:color="auto" w:fill="FFFFFF"/>
          <w:lang w:val="zh-CN"/>
        </w:rPr>
      </w:pPr>
      <w:r>
        <w:rPr>
          <w:rFonts w:eastAsia="黑体"/>
          <w:color w:val="000000"/>
          <w:kern w:val="0"/>
          <w:sz w:val="32"/>
          <w:szCs w:val="32"/>
          <w:shd w:val="clear" w:color="auto" w:fill="FFFFFF"/>
        </w:rPr>
        <w:t>四、项目绩效情况</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（一）项目完成情况</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中央支持地方公共文化服务体系建设补助资金</w:t>
      </w:r>
      <w:r>
        <w:rPr>
          <w:rFonts w:eastAsia="仿宋_GB2312"/>
          <w:kern w:val="0"/>
          <w:sz w:val="32"/>
          <w:szCs w:val="32"/>
        </w:rPr>
        <w:t>按照</w:t>
      </w:r>
      <w:r>
        <w:rPr>
          <w:rFonts w:hint="eastAsia" w:eastAsia="仿宋_GB2312"/>
          <w:kern w:val="0"/>
          <w:sz w:val="32"/>
          <w:szCs w:val="32"/>
        </w:rPr>
        <w:t>计划</w:t>
      </w:r>
      <w:r>
        <w:rPr>
          <w:rFonts w:eastAsia="仿宋_GB2312"/>
          <w:kern w:val="0"/>
          <w:sz w:val="32"/>
          <w:szCs w:val="32"/>
        </w:rPr>
        <w:t>，</w:t>
      </w:r>
      <w:r>
        <w:rPr>
          <w:rFonts w:hint="eastAsia" w:eastAsia="仿宋_GB2312"/>
          <w:sz w:val="32"/>
          <w:szCs w:val="32"/>
        </w:rPr>
        <w:t>用于新时代文明实践中心云平台服务器租赁费用</w:t>
      </w:r>
      <w:r>
        <w:rPr>
          <w:rFonts w:hint="eastAsia" w:eastAsia="仿宋_GB2312"/>
          <w:kern w:val="0"/>
          <w:sz w:val="32"/>
          <w:szCs w:val="32"/>
        </w:rPr>
        <w:t>，高质量开展了特色化活动1000余场次</w:t>
      </w:r>
      <w:r>
        <w:rPr>
          <w:rFonts w:eastAsia="仿宋_GB2312"/>
          <w:kern w:val="0"/>
          <w:sz w:val="32"/>
          <w:szCs w:val="32"/>
        </w:rPr>
        <w:t>等活动。</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（二）项目效益情况</w:t>
      </w:r>
    </w:p>
    <w:p>
      <w:pPr>
        <w:spacing w:line="600" w:lineRule="exact"/>
        <w:ind w:firstLine="663"/>
        <w:rPr>
          <w:rFonts w:eastAsia="仿宋_GB2312"/>
          <w:sz w:val="32"/>
          <w:szCs w:val="32"/>
          <w:lang w:val="zh-CN"/>
        </w:rPr>
      </w:pPr>
      <w:r>
        <w:rPr>
          <w:rFonts w:eastAsia="仿宋_GB2312"/>
          <w:sz w:val="32"/>
          <w:szCs w:val="32"/>
          <w:lang w:val="zh-CN"/>
        </w:rPr>
        <w:t>1.</w:t>
      </w:r>
      <w:r>
        <w:rPr>
          <w:rFonts w:hint="eastAsia" w:eastAsia="仿宋_GB2312"/>
          <w:sz w:val="32"/>
          <w:szCs w:val="32"/>
          <w:lang w:val="zh-CN"/>
        </w:rPr>
        <w:t>丰富了群众精神文化生活</w:t>
      </w:r>
    </w:p>
    <w:p>
      <w:pPr>
        <w:spacing w:line="600" w:lineRule="exact"/>
        <w:ind w:firstLine="659" w:firstLineChars="206"/>
        <w:rPr>
          <w:rFonts w:eastAsia="仿宋_GB2312"/>
          <w:sz w:val="32"/>
          <w:szCs w:val="32"/>
          <w:lang w:val="zh-CN"/>
        </w:rPr>
      </w:pPr>
      <w:r>
        <w:rPr>
          <w:rFonts w:hint="eastAsia" w:eastAsia="仿宋_GB2312"/>
          <w:sz w:val="32"/>
          <w:szCs w:val="32"/>
          <w:lang w:val="zh-CN"/>
        </w:rPr>
        <w:t>通过开展丰富多彩的文明实践活动</w:t>
      </w:r>
      <w:r>
        <w:rPr>
          <w:rFonts w:eastAsia="仿宋_GB2312"/>
          <w:sz w:val="32"/>
          <w:szCs w:val="32"/>
          <w:lang w:val="zh-CN"/>
        </w:rPr>
        <w:t>，</w:t>
      </w:r>
      <w:r>
        <w:rPr>
          <w:rFonts w:hint="eastAsia" w:eastAsia="仿宋_GB2312"/>
          <w:sz w:val="32"/>
          <w:szCs w:val="32"/>
          <w:lang w:val="zh-CN"/>
        </w:rPr>
        <w:t>全县群众精神文化生活极大丰富，市民文明素养极大提升，为加快建设“产业强”“生态优”“人文美”的社会主义现代化米易</w:t>
      </w:r>
      <w:r>
        <w:rPr>
          <w:rFonts w:eastAsia="仿宋_GB2312"/>
          <w:sz w:val="32"/>
          <w:szCs w:val="32"/>
          <w:lang w:val="zh-CN"/>
        </w:rPr>
        <w:t>贡献了力量。</w:t>
      </w:r>
    </w:p>
    <w:p>
      <w:pPr>
        <w:spacing w:line="600" w:lineRule="exact"/>
        <w:ind w:firstLine="663"/>
        <w:rPr>
          <w:rFonts w:eastAsia="仿宋_GB2312"/>
          <w:sz w:val="32"/>
          <w:szCs w:val="32"/>
          <w:lang w:val="zh-CN"/>
        </w:rPr>
      </w:pPr>
      <w:r>
        <w:rPr>
          <w:rFonts w:eastAsia="仿宋_GB2312"/>
          <w:sz w:val="32"/>
          <w:szCs w:val="32"/>
          <w:lang w:val="zh-CN"/>
        </w:rPr>
        <w:t>2.</w:t>
      </w:r>
      <w:r>
        <w:rPr>
          <w:rFonts w:hint="eastAsia" w:eastAsia="仿宋_GB2312"/>
          <w:sz w:val="32"/>
          <w:szCs w:val="32"/>
          <w:lang w:val="zh-CN"/>
        </w:rPr>
        <w:t>文明城市创建水平不断提升</w:t>
      </w:r>
    </w:p>
    <w:p>
      <w:pPr>
        <w:spacing w:line="600" w:lineRule="exact"/>
        <w:ind w:firstLine="660"/>
        <w:rPr>
          <w:rFonts w:eastAsia="仿宋_GB2312"/>
          <w:sz w:val="32"/>
          <w:szCs w:val="32"/>
          <w:lang w:val="zh-CN"/>
        </w:rPr>
      </w:pPr>
      <w:r>
        <w:rPr>
          <w:rFonts w:hint="eastAsia" w:eastAsia="仿宋_GB2312"/>
          <w:sz w:val="32"/>
          <w:szCs w:val="32"/>
          <w:lang w:val="zh-CN"/>
        </w:rPr>
        <w:t>通过开展特色文明实践活动，全县的创建水平不断提升，群众满意度和支持率始终维持在95%以上。</w:t>
      </w:r>
    </w:p>
    <w:p>
      <w:pPr>
        <w:widowControl/>
        <w:adjustRightInd w:val="0"/>
        <w:snapToGrid w:val="0"/>
        <w:spacing w:line="560"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（一）评价结论</w:t>
      </w:r>
    </w:p>
    <w:p>
      <w:pPr>
        <w:adjustRightInd w:val="0"/>
        <w:snapToGrid w:val="0"/>
        <w:spacing w:line="600" w:lineRule="exact"/>
        <w:rPr>
          <w:rFonts w:hint="eastAsia" w:eastAsia="仿宋_GB2312"/>
          <w:sz w:val="32"/>
          <w:szCs w:val="32"/>
          <w:lang w:val="zh-CN"/>
        </w:rPr>
      </w:pPr>
      <w:r>
        <w:rPr>
          <w:rFonts w:hint="eastAsia" w:eastAsia="仿宋_GB2312"/>
          <w:sz w:val="32"/>
          <w:szCs w:val="32"/>
          <w:lang w:val="zh-CN"/>
        </w:rPr>
        <w:t xml:space="preserve">    </w:t>
      </w:r>
      <w:r>
        <w:rPr>
          <w:rFonts w:eastAsia="仿宋_GB2312"/>
          <w:sz w:val="32"/>
          <w:szCs w:val="32"/>
          <w:lang w:val="zh-CN"/>
        </w:rPr>
        <w:t>通过</w:t>
      </w:r>
      <w:r>
        <w:rPr>
          <w:rFonts w:hint="eastAsia" w:eastAsia="仿宋_GB2312"/>
          <w:sz w:val="32"/>
          <w:szCs w:val="32"/>
          <w:lang w:val="zh-CN"/>
        </w:rPr>
        <w:t>开展文明实践</w:t>
      </w:r>
      <w:r>
        <w:rPr>
          <w:rFonts w:eastAsia="仿宋_GB2312"/>
          <w:sz w:val="32"/>
          <w:szCs w:val="32"/>
          <w:lang w:val="zh-CN"/>
        </w:rPr>
        <w:t>活动，</w:t>
      </w:r>
      <w:r>
        <w:rPr>
          <w:rFonts w:hint="eastAsia" w:eastAsia="仿宋_GB2312"/>
          <w:sz w:val="32"/>
          <w:szCs w:val="32"/>
          <w:lang w:val="zh-CN"/>
        </w:rPr>
        <w:t>群众精神文化生活极大丰富，文明城市创建成果得到有效巩固</w:t>
      </w:r>
      <w:r>
        <w:rPr>
          <w:rFonts w:eastAsia="仿宋_GB231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（二）</w:t>
      </w:r>
      <w:r>
        <w:rPr>
          <w:rFonts w:hint="eastAsia" w:ascii="楷体_GB2312" w:hAnsi="宋体" w:eastAsia="楷体_GB2312"/>
          <w:bCs/>
          <w:sz w:val="32"/>
          <w:szCs w:val="32"/>
          <w:lang w:val="zh-CN"/>
        </w:rPr>
        <w:t>存在的问题</w:t>
      </w:r>
    </w:p>
    <w:p>
      <w:pPr>
        <w:spacing w:beforeLines="30"/>
        <w:rPr>
          <w:rFonts w:ascii="仿宋_GB2312" w:eastAsia="仿宋_GB2312"/>
          <w:kern w:val="0"/>
          <w:sz w:val="30"/>
          <w:lang w:val="zh-CN"/>
        </w:rPr>
      </w:pPr>
      <w:r>
        <w:rPr>
          <w:rFonts w:hint="eastAsia" w:ascii="仿宋_GB2312" w:eastAsia="仿宋_GB2312"/>
          <w:kern w:val="0"/>
          <w:sz w:val="30"/>
          <w:lang w:val="zh-CN"/>
        </w:rPr>
        <w:t xml:space="preserve">    无</w:t>
      </w:r>
    </w:p>
    <w:p>
      <w:pPr>
        <w:adjustRightInd w:val="0"/>
        <w:snapToGrid w:val="0"/>
        <w:spacing w:line="600" w:lineRule="exact"/>
        <w:ind w:firstLine="720"/>
        <w:rPr>
          <w:rFonts w:ascii="楷体_GB2312" w:hAnsi="宋体" w:eastAsia="楷体_GB2312"/>
          <w:bCs/>
          <w:sz w:val="32"/>
          <w:szCs w:val="32"/>
          <w:lang w:val="zh-CN"/>
        </w:rPr>
      </w:pPr>
      <w:r>
        <w:rPr>
          <w:rFonts w:ascii="楷体_GB2312" w:hAnsi="宋体" w:eastAsia="楷体_GB2312"/>
          <w:bCs/>
          <w:sz w:val="32"/>
          <w:szCs w:val="32"/>
          <w:lang w:val="zh-CN"/>
        </w:rPr>
        <w:t>（</w:t>
      </w:r>
      <w:r>
        <w:rPr>
          <w:rFonts w:hint="eastAsia" w:ascii="楷体_GB2312" w:hAnsi="宋体" w:eastAsia="楷体_GB2312"/>
          <w:bCs/>
          <w:sz w:val="32"/>
          <w:szCs w:val="32"/>
          <w:lang w:val="zh-CN"/>
        </w:rPr>
        <w:t>三</w:t>
      </w:r>
      <w:r>
        <w:rPr>
          <w:rFonts w:ascii="楷体_GB2312" w:hAnsi="宋体" w:eastAsia="楷体_GB2312"/>
          <w:bCs/>
          <w:sz w:val="32"/>
          <w:szCs w:val="32"/>
          <w:lang w:val="zh-CN"/>
        </w:rPr>
        <w:t>）相关建议</w:t>
      </w:r>
    </w:p>
    <w:p>
      <w:pPr>
        <w:spacing w:line="580" w:lineRule="exact"/>
        <w:ind w:firstLine="640"/>
        <w:rPr>
          <w:rFonts w:hint="eastAsia" w:eastAsia="仿宋_GB2312"/>
          <w:sz w:val="32"/>
          <w:szCs w:val="32"/>
        </w:rPr>
      </w:pPr>
      <w:r>
        <w:rPr>
          <w:rFonts w:hint="eastAsia" w:eastAsia="仿宋_GB2312"/>
          <w:sz w:val="32"/>
          <w:szCs w:val="32"/>
        </w:rPr>
        <w:t>加强县级资金配套，拓宽文明实践活动覆盖面和影响力，策划、包装、实施一批叫得响、可持续的品牌项目。</w:t>
      </w:r>
    </w:p>
    <w:p>
      <w:pPr>
        <w:pStyle w:val="2"/>
        <w:spacing w:before="93"/>
        <w:rPr>
          <w:rFonts w:hint="eastAsia"/>
          <w:lang w:val="zh-CN"/>
        </w:rPr>
      </w:pPr>
    </w:p>
    <w:p>
      <w:pPr>
        <w:pStyle w:val="2"/>
        <w:spacing w:before="93"/>
        <w:rPr>
          <w:rFonts w:hint="eastAsia"/>
          <w:lang w:val="zh-CN"/>
        </w:rPr>
      </w:pPr>
    </w:p>
    <w:p>
      <w:pPr>
        <w:pStyle w:val="2"/>
        <w:spacing w:before="93"/>
        <w:rPr>
          <w:rFonts w:hint="eastAsia"/>
          <w:lang w:val="zh-CN"/>
        </w:rPr>
      </w:pPr>
    </w:p>
    <w:p>
      <w:pPr>
        <w:pStyle w:val="2"/>
        <w:spacing w:before="93"/>
        <w:rPr>
          <w:lang w:val="zh-CN"/>
        </w:rPr>
      </w:pPr>
      <w:r>
        <w:rPr>
          <w:rFonts w:hint="eastAsia"/>
          <w:lang w:val="zh-CN"/>
        </w:rPr>
        <w:t>附表</w:t>
      </w:r>
    </w:p>
    <w:tbl>
      <w:tblPr>
        <w:tblStyle w:val="20"/>
        <w:tblpPr w:leftFromText="180" w:rightFromText="180" w:vertAnchor="text" w:horzAnchor="page" w:tblpX="860" w:tblpY="1245"/>
        <w:tblOverlap w:val="never"/>
        <w:tblW w:w="10337" w:type="dxa"/>
        <w:tblInd w:w="0" w:type="dxa"/>
        <w:tblLayout w:type="fixed"/>
        <w:tblCellMar>
          <w:top w:w="0" w:type="dxa"/>
          <w:left w:w="108" w:type="dxa"/>
          <w:bottom w:w="0" w:type="dxa"/>
          <w:right w:w="108" w:type="dxa"/>
        </w:tblCellMar>
      </w:tblPr>
      <w:tblGrid>
        <w:gridCol w:w="824"/>
        <w:gridCol w:w="844"/>
        <w:gridCol w:w="552"/>
        <w:gridCol w:w="686"/>
        <w:gridCol w:w="1729"/>
        <w:gridCol w:w="2066"/>
        <w:gridCol w:w="1219"/>
        <w:gridCol w:w="236"/>
        <w:gridCol w:w="581"/>
        <w:gridCol w:w="604"/>
        <w:gridCol w:w="996"/>
      </w:tblGrid>
      <w:tr>
        <w:tblPrEx>
          <w:tblCellMar>
            <w:top w:w="0" w:type="dxa"/>
            <w:left w:w="108" w:type="dxa"/>
            <w:bottom w:w="0" w:type="dxa"/>
            <w:right w:w="108" w:type="dxa"/>
          </w:tblCellMar>
        </w:tblPrEx>
        <w:trPr>
          <w:trHeight w:val="600" w:hRule="atLeast"/>
        </w:trPr>
        <w:tc>
          <w:tcPr>
            <w:tcW w:w="10337" w:type="dxa"/>
            <w:gridSpan w:val="11"/>
            <w:tcBorders>
              <w:top w:val="nil"/>
              <w:left w:val="nil"/>
              <w:bottom w:val="nil"/>
              <w:right w:val="nil"/>
            </w:tcBorders>
            <w:shd w:val="clear" w:color="auto" w:fill="auto"/>
            <w:vAlign w:val="center"/>
          </w:tcPr>
          <w:p>
            <w:pPr>
              <w:spacing w:beforeLines="30"/>
              <w:rPr>
                <w:rFonts w:ascii="方正小标宋简体" w:hAnsi="方正小标宋简体" w:eastAsia="方正小标宋简体" w:cs="方正小标宋简体"/>
                <w:color w:val="000000"/>
                <w:kern w:val="0"/>
                <w:sz w:val="32"/>
                <w:szCs w:val="32"/>
              </w:rPr>
            </w:pPr>
            <w:r>
              <w:rPr>
                <w:rFonts w:hint="eastAsia" w:eastAsia="仿宋_GB2312"/>
                <w:sz w:val="32"/>
                <w:szCs w:val="32"/>
              </w:rPr>
              <w:t xml:space="preserve">      </w:t>
            </w:r>
          </w:p>
        </w:tc>
      </w:tr>
      <w:tr>
        <w:tblPrEx>
          <w:tblCellMar>
            <w:top w:w="0" w:type="dxa"/>
            <w:left w:w="108" w:type="dxa"/>
            <w:bottom w:w="0" w:type="dxa"/>
            <w:right w:w="108" w:type="dxa"/>
          </w:tblCellMar>
        </w:tblPrEx>
        <w:trPr>
          <w:trHeight w:val="319" w:hRule="atLeast"/>
        </w:trPr>
        <w:tc>
          <w:tcPr>
            <w:tcW w:w="10337" w:type="dxa"/>
            <w:gridSpan w:val="11"/>
            <w:tcBorders>
              <w:top w:val="nil"/>
              <w:left w:val="nil"/>
              <w:bottom w:val="single" w:color="000000" w:sz="4" w:space="0"/>
              <w:right w:val="nil"/>
            </w:tcBorders>
            <w:shd w:val="clear" w:color="auto" w:fill="auto"/>
          </w:tcPr>
          <w:p>
            <w:pPr>
              <w:widowControl/>
              <w:jc w:val="center"/>
              <w:textAlignment w:val="top"/>
              <w:rPr>
                <w:rFonts w:ascii="仿宋_GB2312" w:hAnsi="宋体" w:eastAsia="仿宋_GB2312" w:cs="仿宋_GB2312"/>
                <w:color w:val="000000"/>
                <w:sz w:val="22"/>
                <w:szCs w:val="22"/>
              </w:rPr>
            </w:pPr>
            <w:r>
              <w:rPr>
                <w:rFonts w:hint="eastAsia" w:ascii="宋体" w:hAnsi="宋体" w:eastAsia="仿宋_GB2312" w:cs="宋体"/>
                <w:b/>
                <w:kern w:val="0"/>
                <w:sz w:val="32"/>
                <w:szCs w:val="32"/>
              </w:rPr>
              <w:t>新时代文明实践中心建设项目绩效目标自评</w:t>
            </w:r>
          </w:p>
        </w:tc>
      </w:tr>
      <w:tr>
        <w:tblPrEx>
          <w:tblCellMar>
            <w:top w:w="0" w:type="dxa"/>
            <w:left w:w="108" w:type="dxa"/>
            <w:bottom w:w="0" w:type="dxa"/>
            <w:right w:w="108" w:type="dxa"/>
          </w:tblCellMar>
        </w:tblPrEx>
        <w:trPr>
          <w:trHeight w:val="552" w:hRule="atLeast"/>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8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中央支持地方公共文化服务体系建设补助资金（新时代文明实践中心建设）</w:t>
            </w:r>
          </w:p>
        </w:tc>
      </w:tr>
      <w:tr>
        <w:tblPrEx>
          <w:tblCellMar>
            <w:top w:w="0" w:type="dxa"/>
            <w:left w:w="108" w:type="dxa"/>
            <w:bottom w:w="0" w:type="dxa"/>
            <w:right w:w="108" w:type="dxa"/>
          </w:tblCellMar>
        </w:tblPrEx>
        <w:trPr>
          <w:trHeight w:val="323" w:hRule="atLeast"/>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8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中央文明办</w:t>
            </w:r>
          </w:p>
        </w:tc>
      </w:tr>
      <w:tr>
        <w:tblPrEx>
          <w:tblCellMar>
            <w:top w:w="0" w:type="dxa"/>
            <w:left w:w="108" w:type="dxa"/>
            <w:bottom w:w="0" w:type="dxa"/>
            <w:right w:w="108" w:type="dxa"/>
          </w:tblCellMar>
        </w:tblPrEx>
        <w:trPr>
          <w:trHeight w:val="323" w:hRule="atLeast"/>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4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米易县精神文明建设办公室</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24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米易县精神文明建设办公室</w:t>
            </w:r>
          </w:p>
        </w:tc>
      </w:tr>
      <w:tr>
        <w:tblPrEx>
          <w:tblCellMar>
            <w:top w:w="0" w:type="dxa"/>
            <w:left w:w="108" w:type="dxa"/>
            <w:bottom w:w="0" w:type="dxa"/>
            <w:right w:w="108" w:type="dxa"/>
          </w:tblCellMar>
        </w:tblPrEx>
        <w:trPr>
          <w:trHeight w:val="522" w:hRule="atLeast"/>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资金投入情况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预算执行率（B/A×100%)</w:t>
            </w:r>
          </w:p>
        </w:tc>
      </w:tr>
      <w:tr>
        <w:tblPrEx>
          <w:tblCellMar>
            <w:top w:w="0" w:type="dxa"/>
            <w:left w:w="108" w:type="dxa"/>
            <w:bottom w:w="0" w:type="dxa"/>
            <w:right w:w="108" w:type="dxa"/>
          </w:tblCellMar>
        </w:tblPrEx>
        <w:trPr>
          <w:trHeight w:val="323" w:hRule="atLeast"/>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323" w:hRule="atLeast"/>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其中：中央财政资金</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323" w:hRule="atLeast"/>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地方资金</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r>
      <w:tr>
        <w:tblPrEx>
          <w:tblCellMar>
            <w:top w:w="0" w:type="dxa"/>
            <w:left w:w="108" w:type="dxa"/>
            <w:bottom w:w="0" w:type="dxa"/>
            <w:right w:w="108" w:type="dxa"/>
          </w:tblCellMar>
        </w:tblPrEx>
        <w:trPr>
          <w:trHeight w:val="323" w:hRule="atLeast"/>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Fonts w:hint="eastAsia" w:ascii="宋体" w:hAnsi="宋体" w:cs="宋体"/>
                <w:color w:val="000000"/>
                <w:kern w:val="0"/>
                <w:sz w:val="20"/>
                <w:szCs w:val="20"/>
              </w:rPr>
              <w:t xml:space="preserve">  其他资金</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r>
      <w:tr>
        <w:tblPrEx>
          <w:tblCellMar>
            <w:top w:w="0" w:type="dxa"/>
            <w:left w:w="108" w:type="dxa"/>
            <w:bottom w:w="0" w:type="dxa"/>
            <w:right w:w="108" w:type="dxa"/>
          </w:tblCellMar>
        </w:tblPrEx>
        <w:trPr>
          <w:trHeight w:val="323" w:hRule="atLeast"/>
        </w:trPr>
        <w:tc>
          <w:tcPr>
            <w:tcW w:w="8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5877" w:type="dxa"/>
            <w:gridSpan w:val="5"/>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3636" w:type="dxa"/>
            <w:gridSpan w:val="5"/>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tblPrEx>
          <w:tblCellMar>
            <w:top w:w="0" w:type="dxa"/>
            <w:left w:w="108" w:type="dxa"/>
            <w:bottom w:w="0" w:type="dxa"/>
            <w:right w:w="108" w:type="dxa"/>
          </w:tblCellMar>
        </w:tblPrEx>
        <w:trPr>
          <w:trHeight w:val="1057"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完善新时代文明实践中心云平台建设，围绕学习传播科学理论、宣传宣讲党的政策、培育践行主流价值、丰富活跃文化生活、持续深入移风易俗等常态开展文明实践活动。</w:t>
            </w:r>
          </w:p>
        </w:tc>
        <w:tc>
          <w:tcPr>
            <w:tcW w:w="3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r>
      <w:tr>
        <w:tblPrEx>
          <w:tblCellMar>
            <w:top w:w="0" w:type="dxa"/>
            <w:left w:w="108" w:type="dxa"/>
            <w:bottom w:w="0" w:type="dxa"/>
            <w:right w:w="108" w:type="dxa"/>
          </w:tblCellMar>
        </w:tblPrEx>
        <w:trPr>
          <w:trHeight w:val="522"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w:t>
            </w:r>
          </w:p>
        </w:tc>
      </w:tr>
      <w:tr>
        <w:tblPrEx>
          <w:tblCellMar>
            <w:top w:w="0" w:type="dxa"/>
            <w:left w:w="108" w:type="dxa"/>
            <w:bottom w:w="0" w:type="dxa"/>
            <w:right w:w="108" w:type="dxa"/>
          </w:tblCellMar>
        </w:tblPrEx>
        <w:trPr>
          <w:trHeight w:val="26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新时代文明实践中心云平台服务器租赁</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9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购买社会组织服务，策划开展县级实践中心文明实践活动96场次以上</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152场</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85"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补助5个城市社区深入开展文明实践活动480场以上</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480场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753场</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6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完成质量</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优良中低差</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6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完成时限</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5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新时代文明实践中心云平台服务器租赁</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19279元</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19279元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55"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购买社会组织服务，策划开展县级实践中心文明实践活动96场次以上</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35721元</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35721元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95"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补助5个城市社区深入开展文明实践活动480场以上</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50000元</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50000元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90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社会影响力</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高中低</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67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抽样群众调查满意度</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bl>
    <w:p>
      <w:pPr>
        <w:spacing w:beforeLines="30"/>
        <w:rPr>
          <w:rFonts w:eastAsia="仿宋_GB2312"/>
          <w:sz w:val="32"/>
          <w:szCs w:val="32"/>
          <w:lang w:val="zh-CN"/>
        </w:rPr>
      </w:pPr>
    </w:p>
    <w:p>
      <w:pPr>
        <w:spacing w:line="600" w:lineRule="exact"/>
        <w:jc w:val="center"/>
        <w:outlineLvl w:val="0"/>
        <w:rPr>
          <w:rFonts w:hint="eastAsia" w:ascii="黑体" w:hAnsi="黑体" w:eastAsia="黑体"/>
          <w:sz w:val="44"/>
          <w:szCs w:val="44"/>
        </w:rPr>
      </w:pPr>
      <w:bookmarkStart w:id="103" w:name="_Toc15396618"/>
    </w:p>
    <w:p>
      <w:pPr>
        <w:spacing w:line="600" w:lineRule="exact"/>
        <w:jc w:val="center"/>
        <w:outlineLvl w:val="0"/>
        <w:rPr>
          <w:rFonts w:ascii="仿宋" w:hAnsi="仿宋" w:eastAsia="仿宋"/>
        </w:rPr>
      </w:pPr>
      <w:bookmarkStart w:id="104" w:name="_Toc149229144"/>
      <w:r>
        <w:rPr>
          <w:rFonts w:hint="eastAsia" w:ascii="黑体" w:hAnsi="黑体" w:eastAsia="黑体"/>
          <w:sz w:val="44"/>
          <w:szCs w:val="44"/>
        </w:rPr>
        <w:t>第</w:t>
      </w:r>
      <w:r>
        <w:rPr>
          <w:rStyle w:val="33"/>
          <w:rFonts w:hint="eastAsia" w:ascii="黑体" w:hAnsi="黑体" w:eastAsia="黑体"/>
          <w:b w:val="0"/>
        </w:rPr>
        <w:t>五部分 附表</w:t>
      </w:r>
      <w:bookmarkEnd w:id="99"/>
      <w:bookmarkEnd w:id="103"/>
      <w:bookmarkEnd w:id="104"/>
      <w:bookmarkStart w:id="105" w:name="_Toc15396619"/>
    </w:p>
    <w:p>
      <w:pPr>
        <w:pStyle w:val="4"/>
        <w:rPr>
          <w:rFonts w:ascii="仿宋" w:hAnsi="仿宋" w:eastAsia="仿宋"/>
        </w:rPr>
      </w:pPr>
      <w:bookmarkStart w:id="106" w:name="_Toc149229145"/>
      <w:r>
        <w:rPr>
          <w:rFonts w:hint="eastAsia" w:ascii="仿宋" w:hAnsi="仿宋" w:eastAsia="仿宋"/>
          <w:b w:val="0"/>
        </w:rPr>
        <w:t>一、收</w:t>
      </w:r>
      <w:r>
        <w:rPr>
          <w:rStyle w:val="34"/>
          <w:rFonts w:hint="eastAsia" w:ascii="仿宋" w:hAnsi="仿宋" w:eastAsia="仿宋"/>
          <w:b w:val="0"/>
          <w:bCs w:val="0"/>
        </w:rPr>
        <w:t>入支出决算总表</w:t>
      </w:r>
      <w:bookmarkEnd w:id="105"/>
      <w:bookmarkEnd w:id="106"/>
    </w:p>
    <w:p>
      <w:pPr>
        <w:pStyle w:val="4"/>
        <w:rPr>
          <w:rFonts w:ascii="仿宋" w:hAnsi="仿宋" w:eastAsia="仿宋"/>
        </w:rPr>
      </w:pPr>
      <w:bookmarkStart w:id="107" w:name="_Toc149229146"/>
      <w:bookmarkStart w:id="108" w:name="_Toc15396620"/>
      <w:r>
        <w:rPr>
          <w:rFonts w:hint="eastAsia" w:ascii="仿宋" w:hAnsi="仿宋" w:eastAsia="仿宋"/>
          <w:b w:val="0"/>
        </w:rPr>
        <w:t>二、收</w:t>
      </w:r>
      <w:r>
        <w:rPr>
          <w:rStyle w:val="34"/>
          <w:rFonts w:hint="eastAsia" w:ascii="仿宋" w:hAnsi="仿宋" w:eastAsia="仿宋"/>
          <w:b w:val="0"/>
          <w:bCs w:val="0"/>
        </w:rPr>
        <w:t>入决算表</w:t>
      </w:r>
      <w:bookmarkEnd w:id="107"/>
      <w:bookmarkEnd w:id="108"/>
    </w:p>
    <w:p>
      <w:pPr>
        <w:pStyle w:val="4"/>
        <w:rPr>
          <w:rFonts w:ascii="仿宋" w:hAnsi="仿宋" w:eastAsia="仿宋"/>
        </w:rPr>
      </w:pPr>
      <w:bookmarkStart w:id="109" w:name="_Toc15396621"/>
      <w:bookmarkStart w:id="110" w:name="_Toc149229147"/>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bookmarkEnd w:id="109"/>
      <w:bookmarkEnd w:id="110"/>
    </w:p>
    <w:p>
      <w:pPr>
        <w:pStyle w:val="4"/>
        <w:rPr>
          <w:rFonts w:ascii="仿宋" w:hAnsi="仿宋" w:eastAsia="仿宋"/>
          <w:b w:val="0"/>
        </w:rPr>
      </w:pPr>
      <w:bookmarkStart w:id="111" w:name="_Toc15396622"/>
      <w:bookmarkStart w:id="112" w:name="_Toc149229148"/>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bookmarkEnd w:id="111"/>
      <w:bookmarkEnd w:id="112"/>
    </w:p>
    <w:p>
      <w:pPr>
        <w:pStyle w:val="4"/>
        <w:rPr>
          <w:rStyle w:val="34"/>
          <w:rFonts w:ascii="仿宋" w:hAnsi="仿宋" w:eastAsia="仿宋"/>
          <w:b w:val="0"/>
          <w:bCs w:val="0"/>
        </w:rPr>
      </w:pPr>
      <w:bookmarkStart w:id="113" w:name="_Toc15396623"/>
      <w:bookmarkStart w:id="114" w:name="_Toc149229149"/>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bookmarkEnd w:id="113"/>
      <w:bookmarkEnd w:id="114"/>
      <w:bookmarkStart w:id="115" w:name="_Toc15396624"/>
    </w:p>
    <w:p>
      <w:pPr>
        <w:pStyle w:val="4"/>
        <w:rPr>
          <w:rFonts w:ascii="仿宋" w:hAnsi="仿宋" w:eastAsia="仿宋"/>
        </w:rPr>
      </w:pPr>
      <w:bookmarkStart w:id="116" w:name="_Toc149229150"/>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bookmarkEnd w:id="115"/>
      <w:bookmarkEnd w:id="116"/>
    </w:p>
    <w:p>
      <w:pPr>
        <w:pStyle w:val="4"/>
        <w:rPr>
          <w:rFonts w:ascii="仿宋" w:hAnsi="仿宋" w:eastAsia="仿宋"/>
        </w:rPr>
      </w:pPr>
      <w:bookmarkStart w:id="117" w:name="_Toc15396625"/>
      <w:bookmarkStart w:id="118" w:name="_Toc149229151"/>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bookmarkEnd w:id="117"/>
      <w:bookmarkEnd w:id="118"/>
    </w:p>
    <w:p>
      <w:pPr>
        <w:pStyle w:val="4"/>
        <w:rPr>
          <w:rFonts w:ascii="仿宋" w:hAnsi="仿宋" w:eastAsia="仿宋"/>
        </w:rPr>
      </w:pPr>
      <w:bookmarkStart w:id="119" w:name="_Toc15396626"/>
      <w:bookmarkStart w:id="120" w:name="_Toc149229152"/>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w:t>
      </w:r>
      <w:r>
        <w:rPr>
          <w:rStyle w:val="34"/>
          <w:rFonts w:hint="eastAsia" w:ascii="仿宋" w:hAnsi="仿宋" w:eastAsia="仿宋"/>
          <w:b w:val="0"/>
          <w:bCs w:val="0"/>
          <w:lang w:eastAsia="zh-CN"/>
        </w:rPr>
        <w:t>明细</w:t>
      </w:r>
      <w:r>
        <w:rPr>
          <w:rStyle w:val="34"/>
          <w:rFonts w:hint="eastAsia" w:ascii="仿宋" w:hAnsi="仿宋" w:eastAsia="仿宋"/>
          <w:b w:val="0"/>
          <w:bCs w:val="0"/>
        </w:rPr>
        <w:t>表</w:t>
      </w:r>
      <w:bookmarkEnd w:id="119"/>
      <w:bookmarkEnd w:id="120"/>
    </w:p>
    <w:p>
      <w:pPr>
        <w:pStyle w:val="4"/>
        <w:rPr>
          <w:rFonts w:ascii="仿宋" w:hAnsi="仿宋" w:eastAsia="仿宋"/>
        </w:rPr>
      </w:pPr>
      <w:bookmarkStart w:id="121" w:name="_Toc149229153"/>
      <w:bookmarkStart w:id="122" w:name="_Toc15396627"/>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bookmarkEnd w:id="121"/>
      <w:bookmarkEnd w:id="122"/>
    </w:p>
    <w:p>
      <w:pPr>
        <w:pStyle w:val="4"/>
        <w:rPr>
          <w:rFonts w:ascii="仿宋" w:hAnsi="仿宋" w:eastAsia="仿宋"/>
        </w:rPr>
      </w:pPr>
      <w:bookmarkStart w:id="123" w:name="_Toc15396628"/>
      <w:bookmarkStart w:id="124" w:name="_Toc149229154"/>
      <w:r>
        <w:rPr>
          <w:rStyle w:val="34"/>
          <w:rFonts w:hint="eastAsia" w:ascii="仿宋" w:hAnsi="仿宋" w:eastAsia="仿宋"/>
          <w:b w:val="0"/>
          <w:bCs w:val="0"/>
        </w:rPr>
        <w:t>十、</w:t>
      </w:r>
      <w:bookmarkEnd w:id="123"/>
      <w:r>
        <w:rPr>
          <w:rFonts w:hint="eastAsia" w:ascii="仿宋" w:hAnsi="仿宋" w:eastAsia="仿宋"/>
          <w:b w:val="0"/>
        </w:rPr>
        <w:t>政</w:t>
      </w:r>
      <w:r>
        <w:rPr>
          <w:rStyle w:val="34"/>
          <w:rFonts w:hint="eastAsia" w:ascii="仿宋" w:hAnsi="仿宋" w:eastAsia="仿宋"/>
          <w:b w:val="0"/>
          <w:bCs w:val="0"/>
        </w:rPr>
        <w:t>府性基金预算财政拨款收入支出决算表</w:t>
      </w:r>
      <w:bookmarkEnd w:id="124"/>
    </w:p>
    <w:p>
      <w:pPr>
        <w:pStyle w:val="4"/>
        <w:rPr>
          <w:rFonts w:ascii="仿宋" w:hAnsi="仿宋" w:eastAsia="仿宋"/>
        </w:rPr>
      </w:pPr>
      <w:bookmarkStart w:id="125" w:name="_Toc15396629"/>
      <w:bookmarkStart w:id="126" w:name="_Toc149229155"/>
      <w:r>
        <w:rPr>
          <w:rStyle w:val="34"/>
          <w:rFonts w:hint="eastAsia" w:ascii="仿宋" w:hAnsi="仿宋" w:eastAsia="仿宋"/>
          <w:b w:val="0"/>
          <w:bCs w:val="0"/>
        </w:rPr>
        <w:t>十一、</w:t>
      </w:r>
      <w:bookmarkEnd w:id="125"/>
      <w:r>
        <w:rPr>
          <w:rFonts w:hint="eastAsia" w:ascii="仿宋" w:hAnsi="仿宋" w:eastAsia="仿宋"/>
          <w:b w:val="0"/>
        </w:rPr>
        <w:t>国</w:t>
      </w:r>
      <w:r>
        <w:rPr>
          <w:rStyle w:val="34"/>
          <w:rFonts w:hint="eastAsia" w:ascii="仿宋" w:hAnsi="仿宋" w:eastAsia="仿宋"/>
          <w:b w:val="0"/>
          <w:bCs w:val="0"/>
        </w:rPr>
        <w:t>有资本经营预算财政拨款收入支出决算表</w:t>
      </w:r>
      <w:bookmarkEnd w:id="126"/>
    </w:p>
    <w:p>
      <w:pPr>
        <w:pStyle w:val="4"/>
        <w:rPr>
          <w:rFonts w:ascii="仿宋" w:hAnsi="仿宋" w:eastAsia="仿宋"/>
        </w:rPr>
      </w:pPr>
      <w:bookmarkStart w:id="127" w:name="_Toc15396630"/>
      <w:bookmarkStart w:id="128" w:name="_Toc149229156"/>
      <w:r>
        <w:rPr>
          <w:rStyle w:val="34"/>
          <w:rFonts w:hint="eastAsia" w:ascii="仿宋" w:hAnsi="仿宋" w:eastAsia="仿宋"/>
          <w:b w:val="0"/>
          <w:bCs w:val="0"/>
        </w:rPr>
        <w:t>十二、</w:t>
      </w:r>
      <w:bookmarkEnd w:id="127"/>
      <w:r>
        <w:rPr>
          <w:rStyle w:val="34"/>
          <w:rFonts w:hint="eastAsia" w:ascii="仿宋" w:hAnsi="仿宋" w:eastAsia="仿宋"/>
          <w:b w:val="0"/>
          <w:bCs w:val="0"/>
        </w:rPr>
        <w:t>国有资本经营预算财政拨款支出决算表</w:t>
      </w:r>
      <w:bookmarkEnd w:id="128"/>
    </w:p>
    <w:p>
      <w:pPr>
        <w:pStyle w:val="4"/>
        <w:rPr>
          <w:rFonts w:eastAsia="仿宋"/>
        </w:rPr>
      </w:pPr>
      <w:bookmarkStart w:id="129" w:name="_Toc15396631"/>
      <w:bookmarkStart w:id="130" w:name="_Toc149229157"/>
      <w:r>
        <w:rPr>
          <w:rStyle w:val="34"/>
          <w:rFonts w:hint="eastAsia" w:ascii="仿宋" w:hAnsi="仿宋" w:eastAsia="仿宋"/>
          <w:b w:val="0"/>
          <w:bCs w:val="0"/>
        </w:rPr>
        <w:t>十三、</w:t>
      </w:r>
      <w:bookmarkEnd w:id="129"/>
      <w:r>
        <w:rPr>
          <w:rStyle w:val="34"/>
          <w:rFonts w:hint="eastAsia" w:ascii="仿宋" w:hAnsi="仿宋" w:eastAsia="仿宋"/>
          <w:b w:val="0"/>
          <w:bCs w:val="0"/>
        </w:rPr>
        <w:t>财政拨款“三公”经费支出决算表</w:t>
      </w:r>
      <w:bookmarkEnd w:id="13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37</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49F83"/>
    <w:multiLevelType w:val="singleLevel"/>
    <w:tmpl w:val="A5549F83"/>
    <w:lvl w:ilvl="0" w:tentative="0">
      <w:start w:val="2"/>
      <w:numFmt w:val="decimal"/>
      <w:suff w:val="space"/>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4BA3FB0"/>
    <w:multiLevelType w:val="singleLevel"/>
    <w:tmpl w:val="E4BA3FB0"/>
    <w:lvl w:ilvl="0" w:tentative="0">
      <w:start w:val="3"/>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xN2Q3OGI3NWEzZmMyOWYyOTc1NTgwYTA5OWU5NWEifQ=="/>
  </w:docVars>
  <w:rsids>
    <w:rsidRoot w:val="00F1361C"/>
    <w:rsid w:val="000222C6"/>
    <w:rsid w:val="0002549F"/>
    <w:rsid w:val="000468DB"/>
    <w:rsid w:val="00053815"/>
    <w:rsid w:val="0006487A"/>
    <w:rsid w:val="00065F8F"/>
    <w:rsid w:val="00070A43"/>
    <w:rsid w:val="000768F2"/>
    <w:rsid w:val="00083FA1"/>
    <w:rsid w:val="0009184B"/>
    <w:rsid w:val="00093CA1"/>
    <w:rsid w:val="00094236"/>
    <w:rsid w:val="0009593C"/>
    <w:rsid w:val="00097322"/>
    <w:rsid w:val="000A6A92"/>
    <w:rsid w:val="000B047F"/>
    <w:rsid w:val="000B5923"/>
    <w:rsid w:val="000B5A48"/>
    <w:rsid w:val="000B6FF3"/>
    <w:rsid w:val="000C3467"/>
    <w:rsid w:val="000C3CA6"/>
    <w:rsid w:val="000C40C6"/>
    <w:rsid w:val="000C67C0"/>
    <w:rsid w:val="000D1267"/>
    <w:rsid w:val="000D1D50"/>
    <w:rsid w:val="000D5782"/>
    <w:rsid w:val="000E6613"/>
    <w:rsid w:val="000E7119"/>
    <w:rsid w:val="000F4490"/>
    <w:rsid w:val="0010468C"/>
    <w:rsid w:val="00107486"/>
    <w:rsid w:val="00114E9B"/>
    <w:rsid w:val="00142216"/>
    <w:rsid w:val="00144D6A"/>
    <w:rsid w:val="0014729F"/>
    <w:rsid w:val="00157BAB"/>
    <w:rsid w:val="001654D1"/>
    <w:rsid w:val="00170424"/>
    <w:rsid w:val="00171B92"/>
    <w:rsid w:val="00174518"/>
    <w:rsid w:val="0018106D"/>
    <w:rsid w:val="001877A7"/>
    <w:rsid w:val="00191536"/>
    <w:rsid w:val="00196687"/>
    <w:rsid w:val="001A6710"/>
    <w:rsid w:val="001B07E9"/>
    <w:rsid w:val="001C0962"/>
    <w:rsid w:val="001D7531"/>
    <w:rsid w:val="001E737D"/>
    <w:rsid w:val="001F0592"/>
    <w:rsid w:val="001F7506"/>
    <w:rsid w:val="002006CD"/>
    <w:rsid w:val="00202B36"/>
    <w:rsid w:val="00204B7A"/>
    <w:rsid w:val="00204CDE"/>
    <w:rsid w:val="00205C3A"/>
    <w:rsid w:val="0021101A"/>
    <w:rsid w:val="00220536"/>
    <w:rsid w:val="002314EE"/>
    <w:rsid w:val="00235629"/>
    <w:rsid w:val="00260C38"/>
    <w:rsid w:val="002616C0"/>
    <w:rsid w:val="00265372"/>
    <w:rsid w:val="002662AA"/>
    <w:rsid w:val="00266DA9"/>
    <w:rsid w:val="00274BCF"/>
    <w:rsid w:val="00280496"/>
    <w:rsid w:val="00281856"/>
    <w:rsid w:val="00284564"/>
    <w:rsid w:val="00293A49"/>
    <w:rsid w:val="00294DC9"/>
    <w:rsid w:val="00295495"/>
    <w:rsid w:val="002A31DE"/>
    <w:rsid w:val="002B2613"/>
    <w:rsid w:val="002C0BC6"/>
    <w:rsid w:val="002D6D05"/>
    <w:rsid w:val="002F1818"/>
    <w:rsid w:val="002F567B"/>
    <w:rsid w:val="003216A9"/>
    <w:rsid w:val="00326466"/>
    <w:rsid w:val="00327799"/>
    <w:rsid w:val="00331788"/>
    <w:rsid w:val="00335A74"/>
    <w:rsid w:val="0036561B"/>
    <w:rsid w:val="0037013F"/>
    <w:rsid w:val="00377C98"/>
    <w:rsid w:val="00380C92"/>
    <w:rsid w:val="003A18C3"/>
    <w:rsid w:val="003A484F"/>
    <w:rsid w:val="003A4883"/>
    <w:rsid w:val="003B0BE0"/>
    <w:rsid w:val="003B0C1B"/>
    <w:rsid w:val="003B688C"/>
    <w:rsid w:val="003C0291"/>
    <w:rsid w:val="003C39AE"/>
    <w:rsid w:val="003C6518"/>
    <w:rsid w:val="003C7B60"/>
    <w:rsid w:val="003D0C0F"/>
    <w:rsid w:val="003D1FB2"/>
    <w:rsid w:val="003D2D38"/>
    <w:rsid w:val="003D66DA"/>
    <w:rsid w:val="003E1310"/>
    <w:rsid w:val="003E6F55"/>
    <w:rsid w:val="00402A6D"/>
    <w:rsid w:val="00406254"/>
    <w:rsid w:val="004223DE"/>
    <w:rsid w:val="00426169"/>
    <w:rsid w:val="00434489"/>
    <w:rsid w:val="00434782"/>
    <w:rsid w:val="00437085"/>
    <w:rsid w:val="00443880"/>
    <w:rsid w:val="00444530"/>
    <w:rsid w:val="004464F4"/>
    <w:rsid w:val="0045696F"/>
    <w:rsid w:val="00471401"/>
    <w:rsid w:val="00471BBB"/>
    <w:rsid w:val="00473F31"/>
    <w:rsid w:val="0048263A"/>
    <w:rsid w:val="00487E5D"/>
    <w:rsid w:val="004A711F"/>
    <w:rsid w:val="004B199D"/>
    <w:rsid w:val="004B4690"/>
    <w:rsid w:val="004E0A2D"/>
    <w:rsid w:val="004E126F"/>
    <w:rsid w:val="004E206B"/>
    <w:rsid w:val="004E2961"/>
    <w:rsid w:val="004E6470"/>
    <w:rsid w:val="004E6DF7"/>
    <w:rsid w:val="004F0FBD"/>
    <w:rsid w:val="00505A47"/>
    <w:rsid w:val="00512FDA"/>
    <w:rsid w:val="00516474"/>
    <w:rsid w:val="00520DA0"/>
    <w:rsid w:val="005257FA"/>
    <w:rsid w:val="00530043"/>
    <w:rsid w:val="00560C3F"/>
    <w:rsid w:val="0056140E"/>
    <w:rsid w:val="005664BB"/>
    <w:rsid w:val="00566FFA"/>
    <w:rsid w:val="00571B76"/>
    <w:rsid w:val="0057481D"/>
    <w:rsid w:val="00575362"/>
    <w:rsid w:val="0058486E"/>
    <w:rsid w:val="00585B33"/>
    <w:rsid w:val="0059014D"/>
    <w:rsid w:val="00596AC2"/>
    <w:rsid w:val="005A60CA"/>
    <w:rsid w:val="005B3C12"/>
    <w:rsid w:val="005B5C64"/>
    <w:rsid w:val="005C52BB"/>
    <w:rsid w:val="005C5337"/>
    <w:rsid w:val="005C6BD0"/>
    <w:rsid w:val="005D1B8A"/>
    <w:rsid w:val="005D1C8B"/>
    <w:rsid w:val="005D468D"/>
    <w:rsid w:val="005D5CED"/>
    <w:rsid w:val="005E14CF"/>
    <w:rsid w:val="005F1A4C"/>
    <w:rsid w:val="00605688"/>
    <w:rsid w:val="006070AF"/>
    <w:rsid w:val="00607E6C"/>
    <w:rsid w:val="006101B1"/>
    <w:rsid w:val="00611BFC"/>
    <w:rsid w:val="00614D94"/>
    <w:rsid w:val="00614E44"/>
    <w:rsid w:val="0062270A"/>
    <w:rsid w:val="00622830"/>
    <w:rsid w:val="00623DA0"/>
    <w:rsid w:val="00630AEF"/>
    <w:rsid w:val="006311B9"/>
    <w:rsid w:val="006325F8"/>
    <w:rsid w:val="00632728"/>
    <w:rsid w:val="00633463"/>
    <w:rsid w:val="00634C9A"/>
    <w:rsid w:val="006361FD"/>
    <w:rsid w:val="006440E4"/>
    <w:rsid w:val="0066343B"/>
    <w:rsid w:val="00664777"/>
    <w:rsid w:val="00667256"/>
    <w:rsid w:val="006748A4"/>
    <w:rsid w:val="00681A31"/>
    <w:rsid w:val="00683E73"/>
    <w:rsid w:val="006A3141"/>
    <w:rsid w:val="006A5E34"/>
    <w:rsid w:val="006B2422"/>
    <w:rsid w:val="006B2B9A"/>
    <w:rsid w:val="006C1937"/>
    <w:rsid w:val="006E5A35"/>
    <w:rsid w:val="006F020C"/>
    <w:rsid w:val="006F3BB8"/>
    <w:rsid w:val="00703DC0"/>
    <w:rsid w:val="007127B7"/>
    <w:rsid w:val="0071798E"/>
    <w:rsid w:val="00735FEB"/>
    <w:rsid w:val="00737AEE"/>
    <w:rsid w:val="00741585"/>
    <w:rsid w:val="007416B6"/>
    <w:rsid w:val="00746F48"/>
    <w:rsid w:val="0075404D"/>
    <w:rsid w:val="0076182A"/>
    <w:rsid w:val="00767A9E"/>
    <w:rsid w:val="00767B7E"/>
    <w:rsid w:val="007770C3"/>
    <w:rsid w:val="00783245"/>
    <w:rsid w:val="0078330F"/>
    <w:rsid w:val="00784D24"/>
    <w:rsid w:val="00785FBA"/>
    <w:rsid w:val="00786E4A"/>
    <w:rsid w:val="007875EB"/>
    <w:rsid w:val="0079426B"/>
    <w:rsid w:val="0079516F"/>
    <w:rsid w:val="007A3050"/>
    <w:rsid w:val="007C1ADA"/>
    <w:rsid w:val="007C4B3C"/>
    <w:rsid w:val="007D1682"/>
    <w:rsid w:val="007D312A"/>
    <w:rsid w:val="007D3F19"/>
    <w:rsid w:val="007E23B0"/>
    <w:rsid w:val="007E23E5"/>
    <w:rsid w:val="007F1991"/>
    <w:rsid w:val="007F2C2F"/>
    <w:rsid w:val="007F55FC"/>
    <w:rsid w:val="007F5665"/>
    <w:rsid w:val="00800112"/>
    <w:rsid w:val="008016BC"/>
    <w:rsid w:val="00813348"/>
    <w:rsid w:val="008253BB"/>
    <w:rsid w:val="0083706E"/>
    <w:rsid w:val="008408F6"/>
    <w:rsid w:val="008423A5"/>
    <w:rsid w:val="00850625"/>
    <w:rsid w:val="00853718"/>
    <w:rsid w:val="00853A79"/>
    <w:rsid w:val="00855221"/>
    <w:rsid w:val="008568F0"/>
    <w:rsid w:val="00860645"/>
    <w:rsid w:val="00871107"/>
    <w:rsid w:val="00871F71"/>
    <w:rsid w:val="00872FD8"/>
    <w:rsid w:val="00885AF4"/>
    <w:rsid w:val="008939CD"/>
    <w:rsid w:val="008A05D0"/>
    <w:rsid w:val="008B768C"/>
    <w:rsid w:val="008C4DB1"/>
    <w:rsid w:val="008C4EAF"/>
    <w:rsid w:val="008C5176"/>
    <w:rsid w:val="008C7FD0"/>
    <w:rsid w:val="008E1DE7"/>
    <w:rsid w:val="008E707C"/>
    <w:rsid w:val="008E7DCD"/>
    <w:rsid w:val="008F1786"/>
    <w:rsid w:val="008F4606"/>
    <w:rsid w:val="00900B08"/>
    <w:rsid w:val="00902155"/>
    <w:rsid w:val="00902FA3"/>
    <w:rsid w:val="00916752"/>
    <w:rsid w:val="00923564"/>
    <w:rsid w:val="0092392E"/>
    <w:rsid w:val="009315F9"/>
    <w:rsid w:val="00933499"/>
    <w:rsid w:val="00935C98"/>
    <w:rsid w:val="009459E5"/>
    <w:rsid w:val="00946945"/>
    <w:rsid w:val="00951248"/>
    <w:rsid w:val="0095152F"/>
    <w:rsid w:val="00954C49"/>
    <w:rsid w:val="00955E37"/>
    <w:rsid w:val="0097099F"/>
    <w:rsid w:val="00971997"/>
    <w:rsid w:val="00971FFC"/>
    <w:rsid w:val="00985A96"/>
    <w:rsid w:val="0098660A"/>
    <w:rsid w:val="009931C3"/>
    <w:rsid w:val="009A0D1F"/>
    <w:rsid w:val="009A19A3"/>
    <w:rsid w:val="009A3CCA"/>
    <w:rsid w:val="009A3FC5"/>
    <w:rsid w:val="009B2C43"/>
    <w:rsid w:val="009B4EAE"/>
    <w:rsid w:val="009B7573"/>
    <w:rsid w:val="009C22F4"/>
    <w:rsid w:val="009C2A4B"/>
    <w:rsid w:val="009C2E98"/>
    <w:rsid w:val="009C5535"/>
    <w:rsid w:val="009D3447"/>
    <w:rsid w:val="009D3CE9"/>
    <w:rsid w:val="009D4711"/>
    <w:rsid w:val="009E79AB"/>
    <w:rsid w:val="009F1185"/>
    <w:rsid w:val="009F18CD"/>
    <w:rsid w:val="009F2A13"/>
    <w:rsid w:val="009F7527"/>
    <w:rsid w:val="00A007B4"/>
    <w:rsid w:val="00A0190A"/>
    <w:rsid w:val="00A04EB0"/>
    <w:rsid w:val="00A13CC1"/>
    <w:rsid w:val="00A16847"/>
    <w:rsid w:val="00A237D8"/>
    <w:rsid w:val="00A268C4"/>
    <w:rsid w:val="00A307CD"/>
    <w:rsid w:val="00A331C8"/>
    <w:rsid w:val="00A40A00"/>
    <w:rsid w:val="00A4142F"/>
    <w:rsid w:val="00A422EB"/>
    <w:rsid w:val="00A45BB7"/>
    <w:rsid w:val="00A56DF2"/>
    <w:rsid w:val="00A56E6E"/>
    <w:rsid w:val="00A65083"/>
    <w:rsid w:val="00A67AB5"/>
    <w:rsid w:val="00A733B2"/>
    <w:rsid w:val="00A741C2"/>
    <w:rsid w:val="00A83F4E"/>
    <w:rsid w:val="00A91760"/>
    <w:rsid w:val="00A93B00"/>
    <w:rsid w:val="00A93C21"/>
    <w:rsid w:val="00AB64C9"/>
    <w:rsid w:val="00AC3C6A"/>
    <w:rsid w:val="00AD5620"/>
    <w:rsid w:val="00AD656B"/>
    <w:rsid w:val="00AD7C1B"/>
    <w:rsid w:val="00AE16BA"/>
    <w:rsid w:val="00AE1EBE"/>
    <w:rsid w:val="00B03C9D"/>
    <w:rsid w:val="00B044E6"/>
    <w:rsid w:val="00B060AE"/>
    <w:rsid w:val="00B10517"/>
    <w:rsid w:val="00B14E76"/>
    <w:rsid w:val="00B161B8"/>
    <w:rsid w:val="00B2048C"/>
    <w:rsid w:val="00B268C7"/>
    <w:rsid w:val="00B310B9"/>
    <w:rsid w:val="00B313D1"/>
    <w:rsid w:val="00B35F3F"/>
    <w:rsid w:val="00B36CBB"/>
    <w:rsid w:val="00B425E0"/>
    <w:rsid w:val="00B440AA"/>
    <w:rsid w:val="00B44B70"/>
    <w:rsid w:val="00B53C56"/>
    <w:rsid w:val="00B57DAF"/>
    <w:rsid w:val="00B65E69"/>
    <w:rsid w:val="00B72703"/>
    <w:rsid w:val="00B73FF6"/>
    <w:rsid w:val="00B77EA6"/>
    <w:rsid w:val="00B81598"/>
    <w:rsid w:val="00B841F1"/>
    <w:rsid w:val="00B944D6"/>
    <w:rsid w:val="00BA55FC"/>
    <w:rsid w:val="00BB0711"/>
    <w:rsid w:val="00BB4DF0"/>
    <w:rsid w:val="00BB5532"/>
    <w:rsid w:val="00BC1A22"/>
    <w:rsid w:val="00BC289F"/>
    <w:rsid w:val="00BC2D50"/>
    <w:rsid w:val="00BC5361"/>
    <w:rsid w:val="00BC5460"/>
    <w:rsid w:val="00BC6B50"/>
    <w:rsid w:val="00BD0E25"/>
    <w:rsid w:val="00BD35AD"/>
    <w:rsid w:val="00BE1189"/>
    <w:rsid w:val="00BF3B1F"/>
    <w:rsid w:val="00BF4815"/>
    <w:rsid w:val="00BF5BD6"/>
    <w:rsid w:val="00BF64A1"/>
    <w:rsid w:val="00C03E31"/>
    <w:rsid w:val="00C1455A"/>
    <w:rsid w:val="00C16938"/>
    <w:rsid w:val="00C23C70"/>
    <w:rsid w:val="00C33E72"/>
    <w:rsid w:val="00C34666"/>
    <w:rsid w:val="00C354B2"/>
    <w:rsid w:val="00C35554"/>
    <w:rsid w:val="00C42709"/>
    <w:rsid w:val="00C52CFD"/>
    <w:rsid w:val="00C533CC"/>
    <w:rsid w:val="00C5751C"/>
    <w:rsid w:val="00C576F0"/>
    <w:rsid w:val="00C61BFC"/>
    <w:rsid w:val="00C62B85"/>
    <w:rsid w:val="00C65438"/>
    <w:rsid w:val="00C67FCC"/>
    <w:rsid w:val="00C87FD8"/>
    <w:rsid w:val="00C91381"/>
    <w:rsid w:val="00C91CBB"/>
    <w:rsid w:val="00C97B8E"/>
    <w:rsid w:val="00CA5CAA"/>
    <w:rsid w:val="00CB4E70"/>
    <w:rsid w:val="00CC09B6"/>
    <w:rsid w:val="00CC2AB6"/>
    <w:rsid w:val="00CC666F"/>
    <w:rsid w:val="00CD1E3F"/>
    <w:rsid w:val="00CE44F6"/>
    <w:rsid w:val="00CE49DA"/>
    <w:rsid w:val="00CE7B61"/>
    <w:rsid w:val="00CF5D57"/>
    <w:rsid w:val="00D00095"/>
    <w:rsid w:val="00D114F0"/>
    <w:rsid w:val="00D20620"/>
    <w:rsid w:val="00D254F7"/>
    <w:rsid w:val="00D26091"/>
    <w:rsid w:val="00D2685C"/>
    <w:rsid w:val="00D34E7C"/>
    <w:rsid w:val="00D35489"/>
    <w:rsid w:val="00D36AFE"/>
    <w:rsid w:val="00D44C58"/>
    <w:rsid w:val="00D51276"/>
    <w:rsid w:val="00D55C34"/>
    <w:rsid w:val="00D572B3"/>
    <w:rsid w:val="00D7035F"/>
    <w:rsid w:val="00DA4D0C"/>
    <w:rsid w:val="00DA634F"/>
    <w:rsid w:val="00DA65AC"/>
    <w:rsid w:val="00DB1913"/>
    <w:rsid w:val="00DB2E1C"/>
    <w:rsid w:val="00DC410D"/>
    <w:rsid w:val="00DC5A81"/>
    <w:rsid w:val="00DC68CA"/>
    <w:rsid w:val="00DC7CBA"/>
    <w:rsid w:val="00DD73B7"/>
    <w:rsid w:val="00DE04C1"/>
    <w:rsid w:val="00DF28BC"/>
    <w:rsid w:val="00DF34B9"/>
    <w:rsid w:val="00E01053"/>
    <w:rsid w:val="00E03E7D"/>
    <w:rsid w:val="00E07ACF"/>
    <w:rsid w:val="00E31F1D"/>
    <w:rsid w:val="00E331A1"/>
    <w:rsid w:val="00E33202"/>
    <w:rsid w:val="00E336A9"/>
    <w:rsid w:val="00E472B1"/>
    <w:rsid w:val="00E50461"/>
    <w:rsid w:val="00E50624"/>
    <w:rsid w:val="00E568DF"/>
    <w:rsid w:val="00E6017B"/>
    <w:rsid w:val="00E6066D"/>
    <w:rsid w:val="00E64269"/>
    <w:rsid w:val="00E82267"/>
    <w:rsid w:val="00E853CE"/>
    <w:rsid w:val="00E867B6"/>
    <w:rsid w:val="00EA010F"/>
    <w:rsid w:val="00EA2882"/>
    <w:rsid w:val="00EC774C"/>
    <w:rsid w:val="00ED1B63"/>
    <w:rsid w:val="00ED3C1F"/>
    <w:rsid w:val="00ED4085"/>
    <w:rsid w:val="00ED420E"/>
    <w:rsid w:val="00ED6FBE"/>
    <w:rsid w:val="00EE2F57"/>
    <w:rsid w:val="00EF4C34"/>
    <w:rsid w:val="00EF77C6"/>
    <w:rsid w:val="00F05438"/>
    <w:rsid w:val="00F058C4"/>
    <w:rsid w:val="00F1361C"/>
    <w:rsid w:val="00F156F0"/>
    <w:rsid w:val="00F160C7"/>
    <w:rsid w:val="00F2408F"/>
    <w:rsid w:val="00F240E9"/>
    <w:rsid w:val="00F26BB7"/>
    <w:rsid w:val="00F27879"/>
    <w:rsid w:val="00F34399"/>
    <w:rsid w:val="00F36D8F"/>
    <w:rsid w:val="00F417B1"/>
    <w:rsid w:val="00F45853"/>
    <w:rsid w:val="00F55F23"/>
    <w:rsid w:val="00F602DF"/>
    <w:rsid w:val="00F754A1"/>
    <w:rsid w:val="00F81FD9"/>
    <w:rsid w:val="00F841AA"/>
    <w:rsid w:val="00F84A94"/>
    <w:rsid w:val="00F87E96"/>
    <w:rsid w:val="00FA23E8"/>
    <w:rsid w:val="00FD3CC1"/>
    <w:rsid w:val="00FE0E8E"/>
    <w:rsid w:val="00FF1E02"/>
    <w:rsid w:val="00FF30B4"/>
    <w:rsid w:val="01176B31"/>
    <w:rsid w:val="015975B8"/>
    <w:rsid w:val="02143E91"/>
    <w:rsid w:val="03C525EF"/>
    <w:rsid w:val="049766DB"/>
    <w:rsid w:val="066E0107"/>
    <w:rsid w:val="07996F6E"/>
    <w:rsid w:val="08E37693"/>
    <w:rsid w:val="09BE5874"/>
    <w:rsid w:val="0A2032A3"/>
    <w:rsid w:val="0B3A2110"/>
    <w:rsid w:val="0C0011BA"/>
    <w:rsid w:val="0D155C39"/>
    <w:rsid w:val="0D38378B"/>
    <w:rsid w:val="0E0D7056"/>
    <w:rsid w:val="0F98263C"/>
    <w:rsid w:val="101860EC"/>
    <w:rsid w:val="1075103E"/>
    <w:rsid w:val="10C055FF"/>
    <w:rsid w:val="118107EC"/>
    <w:rsid w:val="13D50BC4"/>
    <w:rsid w:val="13EE2FBD"/>
    <w:rsid w:val="16BB723D"/>
    <w:rsid w:val="1BAA1B19"/>
    <w:rsid w:val="1BE8440E"/>
    <w:rsid w:val="1D155CEE"/>
    <w:rsid w:val="1D190AC4"/>
    <w:rsid w:val="1E7444BA"/>
    <w:rsid w:val="1EF852F7"/>
    <w:rsid w:val="1FF35744"/>
    <w:rsid w:val="1FFB197A"/>
    <w:rsid w:val="22CC58EC"/>
    <w:rsid w:val="23860B96"/>
    <w:rsid w:val="240371BF"/>
    <w:rsid w:val="29FD04D3"/>
    <w:rsid w:val="2C8A61B5"/>
    <w:rsid w:val="2CDD51B6"/>
    <w:rsid w:val="2DF04E50"/>
    <w:rsid w:val="2F040D46"/>
    <w:rsid w:val="30C666D9"/>
    <w:rsid w:val="319F7F4E"/>
    <w:rsid w:val="3304709D"/>
    <w:rsid w:val="36AA5135"/>
    <w:rsid w:val="376D39B2"/>
    <w:rsid w:val="37B40900"/>
    <w:rsid w:val="37E16F03"/>
    <w:rsid w:val="38D469F0"/>
    <w:rsid w:val="39700E7D"/>
    <w:rsid w:val="3C7A2CEC"/>
    <w:rsid w:val="3D566323"/>
    <w:rsid w:val="3D98207C"/>
    <w:rsid w:val="3E78745D"/>
    <w:rsid w:val="3EC42A40"/>
    <w:rsid w:val="40B0602D"/>
    <w:rsid w:val="44E268DA"/>
    <w:rsid w:val="4A627F82"/>
    <w:rsid w:val="4A8B5017"/>
    <w:rsid w:val="4B0E749A"/>
    <w:rsid w:val="4B4F25DA"/>
    <w:rsid w:val="4BE068DB"/>
    <w:rsid w:val="4D577224"/>
    <w:rsid w:val="4DE022C2"/>
    <w:rsid w:val="4EAB630A"/>
    <w:rsid w:val="4ECE2238"/>
    <w:rsid w:val="537E6D0A"/>
    <w:rsid w:val="53C25DCC"/>
    <w:rsid w:val="55AC774A"/>
    <w:rsid w:val="5A422A54"/>
    <w:rsid w:val="5AAF7CB7"/>
    <w:rsid w:val="5AF92295"/>
    <w:rsid w:val="5CD71FC4"/>
    <w:rsid w:val="5FA814E1"/>
    <w:rsid w:val="602F659B"/>
    <w:rsid w:val="603F5A68"/>
    <w:rsid w:val="63426E07"/>
    <w:rsid w:val="63B235F5"/>
    <w:rsid w:val="64363E03"/>
    <w:rsid w:val="69345A96"/>
    <w:rsid w:val="6BB20381"/>
    <w:rsid w:val="6C4A05C8"/>
    <w:rsid w:val="6E7E3605"/>
    <w:rsid w:val="6F424F44"/>
    <w:rsid w:val="6F8A5317"/>
    <w:rsid w:val="6FF5CC65"/>
    <w:rsid w:val="715C0E4B"/>
    <w:rsid w:val="72734D90"/>
    <w:rsid w:val="73AD73D5"/>
    <w:rsid w:val="73B6EB34"/>
    <w:rsid w:val="73CC366A"/>
    <w:rsid w:val="744731E5"/>
    <w:rsid w:val="76E3355F"/>
    <w:rsid w:val="778769C8"/>
    <w:rsid w:val="78BA35D6"/>
    <w:rsid w:val="79A35C54"/>
    <w:rsid w:val="79EE5BA4"/>
    <w:rsid w:val="7A7649A0"/>
    <w:rsid w:val="7A894339"/>
    <w:rsid w:val="7C0F6C70"/>
    <w:rsid w:val="7EEF11D3"/>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beforeLines="30"/>
    </w:pPr>
    <w:rPr>
      <w:rFonts w:ascii="仿宋_GB2312" w:eastAsia="仿宋_GB2312"/>
      <w:kern w:val="0"/>
      <w:sz w:val="30"/>
    </w:r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Body Text Indent"/>
    <w:basedOn w:val="1"/>
    <w:qFormat/>
    <w:uiPriority w:val="0"/>
    <w:pPr>
      <w:spacing w:after="120"/>
      <w:ind w:left="200" w:leftChars="200"/>
    </w:pPr>
    <w:rPr>
      <w:rFonts w:ascii="仿宋_GB2312"/>
      <w:szCs w:val="32"/>
    </w:rPr>
  </w:style>
  <w:style w:type="paragraph" w:styleId="8">
    <w:name w:val="toc 5"/>
    <w:basedOn w:val="1"/>
    <w:next w:val="1"/>
    <w:unhideWhenUsed/>
    <w:qFormat/>
    <w:uiPriority w:val="39"/>
    <w:pPr>
      <w:ind w:left="840"/>
      <w:jc w:val="left"/>
    </w:pPr>
    <w:rPr>
      <w:rFonts w:asciiTheme="minorHAnsi" w:hAnsiTheme="minorHAnsi" w:cstheme="minorHAnsi"/>
      <w:sz w:val="18"/>
      <w:szCs w:val="18"/>
    </w:rPr>
  </w:style>
  <w:style w:type="paragraph" w:styleId="9">
    <w:name w:val="toc 3"/>
    <w:basedOn w:val="1"/>
    <w:next w:val="1"/>
    <w:unhideWhenUsed/>
    <w:qFormat/>
    <w:uiPriority w:val="39"/>
    <w:pPr>
      <w:ind w:left="420"/>
      <w:jc w:val="left"/>
    </w:pPr>
    <w:rPr>
      <w:rFonts w:asciiTheme="minorHAnsi" w:hAnsiTheme="minorHAnsi" w:cstheme="minorHAnsi"/>
      <w:i/>
      <w:iCs/>
      <w:sz w:val="20"/>
      <w:szCs w:val="20"/>
    </w:rPr>
  </w:style>
  <w:style w:type="paragraph" w:styleId="10">
    <w:name w:val="toc 8"/>
    <w:basedOn w:val="1"/>
    <w:next w:val="1"/>
    <w:unhideWhenUsed/>
    <w:qFormat/>
    <w:uiPriority w:val="39"/>
    <w:pPr>
      <w:ind w:left="1470"/>
      <w:jc w:val="left"/>
    </w:pPr>
    <w:rPr>
      <w:rFonts w:asciiTheme="minorHAnsi" w:hAnsiTheme="minorHAnsi" w:cstheme="minorHAnsi"/>
      <w:sz w:val="18"/>
      <w:szCs w:val="18"/>
    </w:rPr>
  </w:style>
  <w:style w:type="paragraph" w:styleId="11">
    <w:name w:val="Balloon Text"/>
    <w:basedOn w:val="1"/>
    <w:link w:val="36"/>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unhideWhenUsed/>
    <w:qFormat/>
    <w:uiPriority w:val="39"/>
    <w:pPr>
      <w:ind w:left="630"/>
      <w:jc w:val="left"/>
    </w:pPr>
    <w:rPr>
      <w:rFonts w:asciiTheme="minorHAnsi" w:hAnsiTheme="minorHAnsi" w:cstheme="minorHAnsi"/>
      <w:sz w:val="18"/>
      <w:szCs w:val="18"/>
    </w:rPr>
  </w:style>
  <w:style w:type="paragraph" w:styleId="16">
    <w:name w:val="toc 6"/>
    <w:basedOn w:val="1"/>
    <w:next w:val="1"/>
    <w:unhideWhenUsed/>
    <w:qFormat/>
    <w:uiPriority w:val="39"/>
    <w:pPr>
      <w:ind w:left="1050"/>
      <w:jc w:val="left"/>
    </w:pPr>
    <w:rPr>
      <w:rFonts w:asciiTheme="minorHAnsi" w:hAnsiTheme="minorHAnsi" w:cstheme="minorHAnsi"/>
      <w:sz w:val="18"/>
      <w:szCs w:val="18"/>
    </w:rPr>
  </w:style>
  <w:style w:type="paragraph" w:styleId="17">
    <w:name w:val="toc 2"/>
    <w:basedOn w:val="1"/>
    <w:next w:val="1"/>
    <w:unhideWhenUsed/>
    <w:qFormat/>
    <w:uiPriority w:val="39"/>
    <w:pPr>
      <w:ind w:left="210"/>
      <w:jc w:val="left"/>
    </w:pPr>
    <w:rPr>
      <w:rFonts w:asciiTheme="minorHAnsi" w:hAnsiTheme="minorHAnsi" w:cstheme="minorHAnsi"/>
      <w:smallCaps/>
      <w:sz w:val="20"/>
      <w:szCs w:val="20"/>
    </w:rPr>
  </w:style>
  <w:style w:type="paragraph" w:styleId="18">
    <w:name w:val="toc 9"/>
    <w:basedOn w:val="1"/>
    <w:next w:val="1"/>
    <w:unhideWhenUsed/>
    <w:qFormat/>
    <w:uiPriority w:val="39"/>
    <w:pPr>
      <w:ind w:left="1680"/>
      <w:jc w:val="left"/>
    </w:pPr>
    <w:rPr>
      <w:rFonts w:asciiTheme="minorHAnsi" w:hAnsiTheme="minorHAnsi" w:cstheme="minorHAnsi"/>
      <w:sz w:val="18"/>
      <w:szCs w:val="18"/>
    </w:rPr>
  </w:style>
  <w:style w:type="paragraph" w:styleId="19">
    <w:name w:val="Body Text First Indent 2"/>
    <w:basedOn w:val="7"/>
    <w:unhideWhenUsed/>
    <w:qFormat/>
    <w:uiPriority w:val="99"/>
    <w:pPr>
      <w:ind w:firstLine="420" w:firstLine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1"/>
    <w:link w:val="3"/>
    <w:qFormat/>
    <w:uiPriority w:val="9"/>
    <w:rPr>
      <w:rFonts w:ascii="Times New Roman" w:hAnsi="Times New Roman"/>
      <w:b/>
      <w:bCs/>
      <w:kern w:val="44"/>
      <w:sz w:val="44"/>
      <w:szCs w:val="44"/>
    </w:rPr>
  </w:style>
  <w:style w:type="character" w:customStyle="1" w:styleId="34">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1"/>
    <w:link w:val="11"/>
    <w:semiHidden/>
    <w:qFormat/>
    <w:uiPriority w:val="99"/>
    <w:rPr>
      <w:rFonts w:ascii="Times New Roman" w:hAnsi="Times New Roman"/>
      <w:kern w:val="2"/>
      <w:sz w:val="18"/>
      <w:szCs w:val="18"/>
    </w:rPr>
  </w:style>
  <w:style w:type="character" w:customStyle="1" w:styleId="37">
    <w:name w:val="标题 3 Char"/>
    <w:basedOn w:val="21"/>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收入总计（万元）</c:v>
                </c:pt>
                <c:pt idx="1">
                  <c:v>支出总计（万元）</c:v>
                </c:pt>
              </c:strCache>
            </c:strRef>
          </c:cat>
          <c:val>
            <c:numRef>
              <c:f>Sheet1!$B$2:$B$3</c:f>
              <c:numCache>
                <c:formatCode>General</c:formatCode>
                <c:ptCount val="2"/>
                <c:pt idx="0">
                  <c:v>675.25</c:v>
                </c:pt>
                <c:pt idx="1">
                  <c:v>675.25</c:v>
                </c:pt>
              </c:numCache>
            </c:numRef>
          </c:val>
        </c:ser>
        <c:ser>
          <c:idx val="1"/>
          <c:order val="1"/>
          <c:tx>
            <c:strRef>
              <c:f>Sheet1!$C$1</c:f>
              <c:strCache>
                <c:ptCount val="1"/>
                <c:pt idx="0">
                  <c:v>2022年</c:v>
                </c:pt>
              </c:strCache>
            </c:strRef>
          </c:tx>
          <c:invertIfNegative val="0"/>
          <c:dLbls>
            <c:delete val="1"/>
          </c:dLbls>
          <c:cat>
            <c:strRef>
              <c:f>Sheet1!$A$2:$A$3</c:f>
              <c:strCache>
                <c:ptCount val="2"/>
                <c:pt idx="0">
                  <c:v>收入总计（万元）</c:v>
                </c:pt>
                <c:pt idx="1">
                  <c:v>支出总计（万元）</c:v>
                </c:pt>
              </c:strCache>
            </c:strRef>
          </c:cat>
          <c:val>
            <c:numRef>
              <c:f>Sheet1!$C$2:$C$3</c:f>
              <c:numCache>
                <c:formatCode>General</c:formatCode>
                <c:ptCount val="2"/>
                <c:pt idx="0">
                  <c:v>798.680000000001</c:v>
                </c:pt>
                <c:pt idx="1">
                  <c:v>798.680000000001</c:v>
                </c:pt>
              </c:numCache>
            </c:numRef>
          </c:val>
        </c:ser>
        <c:dLbls>
          <c:showLegendKey val="0"/>
          <c:showVal val="0"/>
          <c:showCatName val="0"/>
          <c:showSerName val="0"/>
          <c:showPercent val="0"/>
          <c:showBubbleSize val="0"/>
        </c:dLbls>
        <c:gapWidth val="150"/>
        <c:axId val="55090176"/>
        <c:axId val="56244864"/>
      </c:barChart>
      <c:catAx>
        <c:axId val="550901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244864"/>
        <c:crosses val="autoZero"/>
        <c:auto val="1"/>
        <c:lblAlgn val="ctr"/>
        <c:lblOffset val="100"/>
        <c:noMultiLvlLbl val="0"/>
      </c:catAx>
      <c:valAx>
        <c:axId val="56244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0901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797.64</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246.82</c:v>
                </c:pt>
                <c:pt idx="1">
                  <c:v>551.849999999999</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财政拨款收入总计</c:v>
                </c:pt>
                <c:pt idx="1">
                  <c:v>财政拨款支出总计</c:v>
                </c:pt>
              </c:strCache>
            </c:strRef>
          </c:cat>
          <c:val>
            <c:numRef>
              <c:f>Sheet1!$B$2:$B$3</c:f>
              <c:numCache>
                <c:formatCode>General</c:formatCode>
                <c:ptCount val="2"/>
                <c:pt idx="0">
                  <c:v>675.25</c:v>
                </c:pt>
                <c:pt idx="1">
                  <c:v>675.25</c:v>
                </c:pt>
              </c:numCache>
            </c:numRef>
          </c:val>
        </c:ser>
        <c:ser>
          <c:idx val="1"/>
          <c:order val="1"/>
          <c:tx>
            <c:strRef>
              <c:f>Sheet1!$C$1</c:f>
              <c:strCache>
                <c:ptCount val="1"/>
                <c:pt idx="0">
                  <c:v>2022年</c:v>
                </c:pt>
              </c:strCache>
            </c:strRef>
          </c:tx>
          <c:invertIfNegative val="0"/>
          <c:dLbls>
            <c:delete val="1"/>
          </c:dLbls>
          <c:cat>
            <c:strRef>
              <c:f>Sheet1!$A$2:$A$3</c:f>
              <c:strCache>
                <c:ptCount val="2"/>
                <c:pt idx="0">
                  <c:v>财政拨款收入总计</c:v>
                </c:pt>
                <c:pt idx="1">
                  <c:v>财政拨款支出总计</c:v>
                </c:pt>
              </c:strCache>
            </c:strRef>
          </c:cat>
          <c:val>
            <c:numRef>
              <c:f>Sheet1!$C$2:$C$3</c:f>
              <c:numCache>
                <c:formatCode>General</c:formatCode>
                <c:ptCount val="2"/>
                <c:pt idx="0">
                  <c:v>798.680000000001</c:v>
                </c:pt>
                <c:pt idx="1">
                  <c:v>798.680000000001</c:v>
                </c:pt>
              </c:numCache>
            </c:numRef>
          </c:val>
        </c:ser>
        <c:dLbls>
          <c:showLegendKey val="0"/>
          <c:showVal val="0"/>
          <c:showCatName val="0"/>
          <c:showSerName val="0"/>
          <c:showPercent val="0"/>
          <c:showBubbleSize val="0"/>
        </c:dLbls>
        <c:gapWidth val="150"/>
        <c:axId val="88582784"/>
        <c:axId val="89363968"/>
      </c:barChart>
      <c:catAx>
        <c:axId val="885827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363968"/>
        <c:crosses val="autoZero"/>
        <c:auto val="1"/>
        <c:lblAlgn val="ctr"/>
        <c:lblOffset val="100"/>
        <c:noMultiLvlLbl val="0"/>
      </c:catAx>
      <c:valAx>
        <c:axId val="89363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5827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c:f>
              <c:strCache>
                <c:ptCount val="1"/>
                <c:pt idx="0">
                  <c:v>一般公共预算财政拨款支出（万元）</c:v>
                </c:pt>
              </c:strCache>
            </c:strRef>
          </c:cat>
          <c:val>
            <c:numRef>
              <c:f>Sheet1!$B$2</c:f>
              <c:numCache>
                <c:formatCode>General</c:formatCode>
                <c:ptCount val="1"/>
                <c:pt idx="0">
                  <c:v>586.02</c:v>
                </c:pt>
              </c:numCache>
            </c:numRef>
          </c:val>
        </c:ser>
        <c:ser>
          <c:idx val="1"/>
          <c:order val="1"/>
          <c:tx>
            <c:strRef>
              <c:f>Sheet1!$C$1</c:f>
              <c:strCache>
                <c:ptCount val="1"/>
                <c:pt idx="0">
                  <c:v>2022年</c:v>
                </c:pt>
              </c:strCache>
            </c:strRef>
          </c:tx>
          <c:invertIfNegative val="0"/>
          <c:dLbls>
            <c:delete val="1"/>
          </c:dLbls>
          <c:cat>
            <c:strRef>
              <c:f>Sheet1!$A$2</c:f>
              <c:strCache>
                <c:ptCount val="1"/>
                <c:pt idx="0">
                  <c:v>一般公共预算财政拨款支出（万元）</c:v>
                </c:pt>
              </c:strCache>
            </c:strRef>
          </c:cat>
          <c:val>
            <c:numRef>
              <c:f>Sheet1!$C$2</c:f>
              <c:numCache>
                <c:formatCode>General</c:formatCode>
                <c:ptCount val="1"/>
                <c:pt idx="0">
                  <c:v>798.670000000001</c:v>
                </c:pt>
              </c:numCache>
            </c:numRef>
          </c:val>
        </c:ser>
        <c:dLbls>
          <c:showLegendKey val="0"/>
          <c:showVal val="0"/>
          <c:showCatName val="0"/>
          <c:showSerName val="0"/>
          <c:showPercent val="0"/>
          <c:showBubbleSize val="0"/>
        </c:dLbls>
        <c:gapWidth val="150"/>
        <c:axId val="96672384"/>
        <c:axId val="97326208"/>
      </c:barChart>
      <c:catAx>
        <c:axId val="96672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7326208"/>
        <c:crosses val="autoZero"/>
        <c:auto val="1"/>
        <c:lblAlgn val="ctr"/>
        <c:lblOffset val="100"/>
        <c:noMultiLvlLbl val="0"/>
      </c:catAx>
      <c:valAx>
        <c:axId val="973262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6723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一般公共预算财政拨款支出（万元）</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一般公共服务支出</c:v>
                </c:pt>
                <c:pt idx="1">
                  <c:v>文化旅游体育与传媒支出</c:v>
                </c:pt>
                <c:pt idx="2">
                  <c:v>社会保障和就业支出</c:v>
                </c:pt>
                <c:pt idx="3">
                  <c:v>卫生健康支出</c:v>
                </c:pt>
                <c:pt idx="4">
                  <c:v>住房保障支出</c:v>
                </c:pt>
              </c:strCache>
            </c:strRef>
          </c:cat>
          <c:val>
            <c:numRef>
              <c:f>Sheet1!$B$2:$B$6</c:f>
              <c:numCache>
                <c:formatCode>General</c:formatCode>
                <c:ptCount val="5"/>
                <c:pt idx="0">
                  <c:v>248.38</c:v>
                </c:pt>
                <c:pt idx="1">
                  <c:v>482.29</c:v>
                </c:pt>
                <c:pt idx="2">
                  <c:v>28.43</c:v>
                </c:pt>
                <c:pt idx="3">
                  <c:v>19.47</c:v>
                </c:pt>
                <c:pt idx="4">
                  <c:v>20.1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0.36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DB29E-F017-4AF9-B8A6-8E6138DD518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2837</Words>
  <Characters>16173</Characters>
  <Lines>134</Lines>
  <Paragraphs>37</Paragraphs>
  <TotalTime>4</TotalTime>
  <ScaleCrop>false</ScaleCrop>
  <LinksUpToDate>false</LinksUpToDate>
  <CharactersWithSpaces>18973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2023-10-26T08:23:00Z</dcterms:created>
  <dc:creator>曹颖</dc:creator>
  <cp:lastModifiedBy>伍仁俊</cp:lastModifiedBy>
  <cp:lastPrinted>2023-08-15T07:38:00Z</cp:lastPrinted>
  <dcterms:modified xsi:type="dcterms:W3CDTF">2023-11-08T02:02:25Z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BBF10AE740304BE781597FEE023AC52D_12</vt:lpwstr>
  </property>
</Properties>
</file>