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color w:val="000000"/>
          <w:sz w:val="48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color w:val="000000"/>
          <w:sz w:val="48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小标宋"/>
          <w:color w:val="000000"/>
          <w:sz w:val="52"/>
          <w:szCs w:val="52"/>
        </w:rPr>
      </w:pPr>
      <w:bookmarkStart w:id="0" w:name="_Toc15378442"/>
      <w:bookmarkStart w:id="1" w:name="_Toc15306268"/>
      <w:bookmarkStart w:id="2" w:name="_Toc15377194"/>
      <w:bookmarkStart w:id="3" w:name="_Toc15377426"/>
      <w:bookmarkStart w:id="4" w:name="_Toc15396598"/>
      <w:bookmarkStart w:id="5" w:name="_Toc15396476"/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小标宋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小标宋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小标宋" w:cs="小标宋"/>
          <w:color w:val="000000"/>
          <w:sz w:val="72"/>
          <w:szCs w:val="72"/>
        </w:rPr>
      </w:pPr>
      <w:r>
        <w:rPr>
          <w:rFonts w:hint="eastAsia" w:ascii="Times New Roman" w:hAnsi="Times New Roman" w:eastAsia="小标宋" w:cs="小标宋"/>
          <w:color w:val="000000"/>
          <w:sz w:val="72"/>
          <w:szCs w:val="72"/>
        </w:rPr>
        <w:t>2022年度米易县财政局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小标宋" w:cs="小标宋"/>
          <w:color w:val="000000"/>
          <w:sz w:val="72"/>
          <w:szCs w:val="72"/>
        </w:rPr>
      </w:pPr>
      <w:r>
        <w:rPr>
          <w:rFonts w:hint="eastAsia" w:ascii="Times New Roman" w:hAnsi="Times New Roman" w:eastAsia="小标宋" w:cs="小标宋"/>
          <w:color w:val="000000"/>
          <w:sz w:val="72"/>
          <w:szCs w:val="72"/>
        </w:rPr>
        <w:t>单位“三公”经费决算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Times New Roman" w:hAnsi="Times New Roman" w:eastAsia="小标宋" w:cs="小标宋"/>
          <w:color w:val="000000"/>
          <w:sz w:val="72"/>
          <w:szCs w:val="72"/>
        </w:rPr>
        <w:t>公开编制说明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小标宋" w:cs="Times New Roman"/>
          <w:b/>
          <w:bCs/>
          <w:sz w:val="44"/>
          <w:szCs w:val="44"/>
        </w:rPr>
      </w:pPr>
      <w:r>
        <w:rPr>
          <w:rFonts w:ascii="Times New Roman" w:hAnsi="Times New Roman" w:eastAsia="仿宋_GB2312" w:cs="Times New Roman"/>
          <w:b/>
          <w:bCs/>
          <w:sz w:val="36"/>
          <w:szCs w:val="36"/>
        </w:rPr>
        <w:br w:type="page"/>
      </w:r>
      <w:r>
        <w:rPr>
          <w:rFonts w:hint="eastAsia" w:ascii="Times New Roman" w:hAnsi="Times New Roman" w:eastAsia="小标宋" w:cs="小标宋"/>
          <w:b/>
          <w:bCs/>
          <w:sz w:val="44"/>
          <w:szCs w:val="44"/>
        </w:rPr>
        <w:t>目</w:t>
      </w:r>
      <w:r>
        <w:rPr>
          <w:rFonts w:ascii="Times New Roman" w:hAnsi="Times New Roman" w:eastAsia="小标宋" w:cs="小标宋"/>
          <w:b/>
          <w:bCs/>
          <w:sz w:val="44"/>
          <w:szCs w:val="44"/>
        </w:rPr>
        <w:t xml:space="preserve">  </w:t>
      </w:r>
      <w:r>
        <w:rPr>
          <w:rFonts w:hint="eastAsia" w:ascii="Times New Roman" w:hAnsi="Times New Roman" w:eastAsia="小标宋" w:cs="小标宋"/>
          <w:b/>
          <w:bCs/>
          <w:sz w:val="44"/>
          <w:szCs w:val="44"/>
        </w:rPr>
        <w:t>录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公开时间：</w:t>
      </w:r>
      <w:r>
        <w:rPr>
          <w:rFonts w:ascii="Times New Roman" w:hAnsi="Times New Roman" w:eastAsia="仿宋_GB2312" w:cs="仿宋_GB2312"/>
          <w:sz w:val="32"/>
          <w:szCs w:val="32"/>
        </w:rPr>
        <w:t>2023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pStyle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TOC \o "1-3" \h \z \u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\l "_Toc149127106"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15"/>
          <w:rFonts w:hint="eastAsia" w:ascii="Times New Roman" w:hAnsi="Times New Roman" w:eastAsia="仿宋_GB2312" w:cs="仿宋_GB2312"/>
          <w:sz w:val="32"/>
          <w:szCs w:val="32"/>
        </w:rPr>
        <w:t>第一部分 2022年度“三公”经费部门决算情况说明</w:t>
      </w:r>
      <w:r>
        <w:rPr>
          <w:rFonts w:hint="eastAsia" w:ascii="Times New Roman" w:hAnsi="Times New Roman" w:eastAsia="仿宋_GB2312" w:cs="仿宋_GB231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PAGEREF _Toc149127106 \h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pStyle w:val="10"/>
        <w:tabs>
          <w:tab w:val="right" w:leader="dot" w:pos="8296"/>
        </w:tabs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\l "_Toc149127107"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15"/>
          <w:rFonts w:hint="eastAsia" w:ascii="Times New Roman" w:hAnsi="Times New Roman" w:eastAsia="仿宋_GB2312" w:cs="仿宋_GB2312"/>
          <w:sz w:val="32"/>
          <w:szCs w:val="32"/>
          <w:lang w:val="zh-CN"/>
        </w:rPr>
        <w:t>（一）“三公”经费财政拨款支出决算总体情况说明</w:t>
      </w:r>
      <w:r>
        <w:rPr>
          <w:rFonts w:hint="eastAsia" w:ascii="Times New Roman" w:hAnsi="Times New Roman" w:eastAsia="仿宋_GB2312" w:cs="仿宋_GB231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PAGEREF _Toc149127107 \h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pStyle w:val="10"/>
        <w:tabs>
          <w:tab w:val="right" w:leader="dot" w:pos="8296"/>
        </w:tabs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\l "_Toc149127108"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15"/>
          <w:rFonts w:hint="eastAsia" w:ascii="Times New Roman" w:hAnsi="Times New Roman" w:eastAsia="仿宋_GB2312" w:cs="仿宋_GB2312"/>
          <w:sz w:val="32"/>
          <w:szCs w:val="32"/>
          <w:lang w:val="zh-CN"/>
        </w:rPr>
        <w:t>（二）“三公”经费财政拨款支出决算具体情况说明</w:t>
      </w:r>
      <w:r>
        <w:rPr>
          <w:rFonts w:hint="eastAsia" w:ascii="Times New Roman" w:hAnsi="Times New Roman" w:eastAsia="仿宋_GB2312" w:cs="仿宋_GB231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PAGEREF _Toc149127108 \h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pStyle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\l "_Toc149127109"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15"/>
          <w:rFonts w:hint="eastAsia" w:ascii="Times New Roman" w:hAnsi="Times New Roman" w:eastAsia="仿宋_GB2312" w:cs="仿宋_GB2312"/>
          <w:sz w:val="32"/>
          <w:szCs w:val="32"/>
        </w:rPr>
        <w:t>第二部分 名词解释</w:t>
      </w:r>
      <w:r>
        <w:rPr>
          <w:rFonts w:hint="eastAsia" w:ascii="Times New Roman" w:hAnsi="Times New Roman" w:eastAsia="仿宋_GB2312" w:cs="仿宋_GB231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PAGEREF _Toc149127109 \h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pStyle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HYPERLINK \l "_Toc149127110"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Style w:val="15"/>
          <w:rFonts w:hint="eastAsia" w:ascii="Times New Roman" w:hAnsi="Times New Roman" w:eastAsia="仿宋_GB2312" w:cs="仿宋_GB2312"/>
          <w:sz w:val="32"/>
          <w:szCs w:val="32"/>
        </w:rPr>
        <w:t>第三部分财政拨款“三公”经费支出决算表</w:t>
      </w:r>
      <w:r>
        <w:rPr>
          <w:rFonts w:hint="eastAsia" w:ascii="Times New Roman" w:hAnsi="Times New Roman" w:eastAsia="仿宋_GB2312" w:cs="仿宋_GB231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</w:rPr>
        <w:instrText xml:space="preserve"> PAGEREF _Toc149127110 \h </w:instrTex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fldChar w:fldCharType="end"/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zh-CN"/>
        </w:rPr>
        <w:fldChar w:fldCharType="end"/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/>
        <w:jc w:val="center"/>
        <w:outlineLvl w:val="2"/>
        <w:rPr>
          <w:rFonts w:ascii="Times New Roman" w:hAnsi="Times New Roman" w:eastAsia="仿宋" w:cs="Times New Roman"/>
          <w:b/>
          <w:bCs/>
          <w:color w:val="000000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ascii="Times New Roman" w:hAnsi="Times New Roman" w:eastAsia="小标宋" w:cs="Times New Roman"/>
          <w:b w:val="0"/>
          <w:bCs w:val="0"/>
          <w:color w:val="000000"/>
          <w:sz w:val="44"/>
          <w:szCs w:val="44"/>
        </w:rPr>
      </w:pPr>
      <w:bookmarkStart w:id="6" w:name="_Toc49937286"/>
      <w:bookmarkStart w:id="7" w:name="_Toc49845433"/>
      <w:bookmarkStart w:id="8" w:name="_Toc50014694"/>
      <w:bookmarkStart w:id="9" w:name="_Toc149127106"/>
      <w:r>
        <w:rPr>
          <w:rFonts w:hint="eastAsia" w:ascii="Times New Roman" w:hAnsi="Times New Roman" w:eastAsia="小标宋" w:cs="小标宋"/>
          <w:b w:val="0"/>
          <w:bCs w:val="0"/>
          <w:sz w:val="44"/>
          <w:szCs w:val="44"/>
        </w:rPr>
        <w:t>第一部分</w:t>
      </w:r>
      <w:r>
        <w:rPr>
          <w:rFonts w:ascii="Times New Roman" w:hAnsi="Times New Roman" w:eastAsia="小标宋" w:cs="小标宋"/>
          <w:b w:val="0"/>
          <w:bCs w:val="0"/>
          <w:sz w:val="44"/>
          <w:szCs w:val="44"/>
        </w:rPr>
        <w:t xml:space="preserve"> 2022</w:t>
      </w:r>
      <w:r>
        <w:rPr>
          <w:rFonts w:hint="eastAsia" w:ascii="Times New Roman" w:hAnsi="Times New Roman" w:eastAsia="小标宋" w:cs="小标宋"/>
          <w:b w:val="0"/>
          <w:bCs w:val="0"/>
          <w:sz w:val="44"/>
          <w:szCs w:val="44"/>
        </w:rPr>
        <w:t>年度“三公”经费部门决算</w:t>
      </w:r>
      <w:r>
        <w:rPr>
          <w:rFonts w:hint="eastAsia" w:ascii="Times New Roman" w:hAnsi="Times New Roman" w:eastAsia="小标宋" w:cs="小标宋"/>
          <w:b w:val="0"/>
          <w:bCs w:val="0"/>
          <w:color w:val="000000"/>
          <w:sz w:val="44"/>
          <w:szCs w:val="44"/>
        </w:rPr>
        <w:t>情况说明</w:t>
      </w:r>
      <w:bookmarkEnd w:id="6"/>
      <w:bookmarkEnd w:id="7"/>
      <w:bookmarkEnd w:id="8"/>
      <w:bookmarkEnd w:id="9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textAlignment w:val="auto"/>
        <w:rPr>
          <w:rFonts w:ascii="Times New Roman" w:hAnsi="Times New Roman" w:eastAsia="仿宋_GB2312"/>
          <w:color w:val="000000"/>
          <w:lang w:val="zh-CN"/>
        </w:rPr>
      </w:pPr>
      <w:bookmarkStart w:id="10" w:name="_Toc149127107"/>
      <w:bookmarkStart w:id="11" w:name="_Toc50014697"/>
      <w:bookmarkStart w:id="12" w:name="_Toc49845436"/>
      <w:bookmarkStart w:id="13" w:name="_Toc49937289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textAlignment w:val="auto"/>
        <w:rPr>
          <w:rFonts w:ascii="Times New Roman" w:hAnsi="Times New Roman" w:eastAsia="仿宋_GB2312"/>
          <w:b w:val="0"/>
          <w:color w:val="000000"/>
          <w:lang w:val="zh-CN"/>
        </w:rPr>
      </w:pPr>
      <w:r>
        <w:rPr>
          <w:rFonts w:ascii="Times New Roman" w:hAnsi="Times New Roman" w:eastAsia="仿宋_GB2312"/>
          <w:color w:val="000000"/>
          <w:lang w:val="zh-CN"/>
        </w:rPr>
        <w:t>（一）</w:t>
      </w:r>
      <w:r>
        <w:rPr>
          <w:rFonts w:ascii="Times New Roman" w:hAnsi="Times New Roman" w:eastAsia="仿宋_GB2312"/>
          <w:color w:val="000000"/>
          <w:lang w:val="zh-CN"/>
        </w:rPr>
        <w:t>“</w:t>
      </w:r>
      <w:r>
        <w:rPr>
          <w:rFonts w:ascii="Times New Roman" w:hAnsi="Times New Roman" w:eastAsia="仿宋_GB2312"/>
          <w:color w:val="000000"/>
          <w:lang w:val="zh-CN"/>
        </w:rPr>
        <w:t>三公</w:t>
      </w:r>
      <w:r>
        <w:rPr>
          <w:rFonts w:ascii="Times New Roman" w:hAnsi="Times New Roman" w:eastAsia="仿宋_GB2312"/>
          <w:color w:val="000000"/>
          <w:lang w:val="zh-CN"/>
        </w:rPr>
        <w:t>”</w:t>
      </w:r>
      <w:r>
        <w:rPr>
          <w:rFonts w:ascii="Times New Roman" w:hAnsi="Times New Roman" w:eastAsia="仿宋_GB2312"/>
          <w:color w:val="000000"/>
          <w:lang w:val="zh-CN"/>
        </w:rPr>
        <w:t>经费财政拨款支出决算总体情况说明</w:t>
      </w:r>
      <w:bookmarkEnd w:id="10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lang w:val="zh-CN"/>
        </w:rPr>
      </w:pPr>
      <w:r>
        <w:rPr>
          <w:rFonts w:ascii="Times New Roman" w:hAnsi="Times New Roman" w:eastAsia="仿宋_GB2312"/>
          <w:color w:val="000000"/>
          <w:sz w:val="32"/>
          <w:lang w:val="zh-CN"/>
        </w:rPr>
        <w:t>2022年</w:t>
      </w:r>
      <w:r>
        <w:rPr>
          <w:rFonts w:ascii="Times New Roman" w:hAnsi="Times New Roman" w:eastAsia="仿宋_GB2312"/>
          <w:color w:val="000000"/>
          <w:sz w:val="32"/>
          <w:lang w:val="zh-CN"/>
        </w:rPr>
        <w:t>“</w:t>
      </w:r>
      <w:r>
        <w:rPr>
          <w:rFonts w:ascii="Times New Roman" w:hAnsi="Times New Roman" w:eastAsia="仿宋_GB2312"/>
          <w:color w:val="000000"/>
          <w:sz w:val="32"/>
          <w:lang w:val="zh-CN"/>
        </w:rPr>
        <w:t>三公</w:t>
      </w:r>
      <w:r>
        <w:rPr>
          <w:rFonts w:ascii="Times New Roman" w:hAnsi="Times New Roman" w:eastAsia="仿宋_GB2312"/>
          <w:color w:val="000000"/>
          <w:sz w:val="32"/>
          <w:lang w:val="zh-CN"/>
        </w:rPr>
        <w:t>”</w:t>
      </w:r>
      <w:r>
        <w:rPr>
          <w:rFonts w:ascii="Times New Roman" w:hAnsi="Times New Roman" w:eastAsia="仿宋_GB2312"/>
          <w:color w:val="000000"/>
          <w:sz w:val="32"/>
          <w:lang w:val="zh-CN"/>
        </w:rPr>
        <w:t>经费财政拨款支出决算为4.22万元，完成预算99.8%；较上年减少1.07万元，下降20.2%。决算数</w:t>
      </w:r>
      <w:r>
        <w:rPr>
          <w:rFonts w:ascii="Times New Roman" w:hAnsi="Times New Roman" w:eastAsia="仿宋_GB2312"/>
          <w:color w:val="000000"/>
          <w:sz w:val="32"/>
          <w:highlight w:val="white"/>
        </w:rPr>
        <w:t>与预算数</w:t>
      </w:r>
      <w:r>
        <w:rPr>
          <w:rFonts w:hint="eastAsia" w:ascii="Times New Roman" w:hAnsi="Times New Roman" w:eastAsia="仿宋_GB2312"/>
          <w:color w:val="000000"/>
          <w:sz w:val="32"/>
          <w:highlight w:val="white"/>
          <w:lang w:val="en-US" w:eastAsia="zh-CN"/>
        </w:rPr>
        <w:t>基本</w:t>
      </w:r>
      <w:r>
        <w:rPr>
          <w:rFonts w:ascii="Times New Roman" w:hAnsi="Times New Roman" w:eastAsia="仿宋_GB2312"/>
          <w:color w:val="000000"/>
          <w:sz w:val="32"/>
          <w:highlight w:val="white"/>
        </w:rPr>
        <w:t>持平</w:t>
      </w:r>
      <w:r>
        <w:rPr>
          <w:rFonts w:ascii="Times New Roman" w:hAnsi="Times New Roman" w:eastAsia="仿宋_GB2312"/>
          <w:color w:val="000000"/>
          <w:sz w:val="32"/>
          <w:lang w:val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textAlignment w:val="auto"/>
        <w:rPr>
          <w:rFonts w:ascii="Times New Roman" w:hAnsi="Times New Roman" w:eastAsia="仿宋_GB2312"/>
          <w:b w:val="0"/>
          <w:color w:val="000000"/>
          <w:lang w:val="zh-CN"/>
        </w:rPr>
      </w:pPr>
      <w:bookmarkStart w:id="14" w:name="_Toc149127108"/>
      <w:r>
        <w:rPr>
          <w:rFonts w:ascii="Times New Roman" w:hAnsi="Times New Roman" w:eastAsia="仿宋_GB2312"/>
          <w:color w:val="000000"/>
          <w:lang w:val="zh-CN"/>
        </w:rPr>
        <w:t>（二）</w:t>
      </w:r>
      <w:r>
        <w:rPr>
          <w:rFonts w:ascii="Times New Roman" w:hAnsi="Times New Roman" w:eastAsia="仿宋_GB2312"/>
          <w:color w:val="000000"/>
          <w:lang w:val="zh-CN"/>
        </w:rPr>
        <w:t>“</w:t>
      </w:r>
      <w:r>
        <w:rPr>
          <w:rFonts w:ascii="Times New Roman" w:hAnsi="Times New Roman" w:eastAsia="仿宋_GB2312"/>
          <w:color w:val="000000"/>
          <w:lang w:val="zh-CN"/>
        </w:rPr>
        <w:t>三公</w:t>
      </w:r>
      <w:r>
        <w:rPr>
          <w:rFonts w:ascii="Times New Roman" w:hAnsi="Times New Roman" w:eastAsia="仿宋_GB2312"/>
          <w:color w:val="000000"/>
          <w:lang w:val="zh-CN"/>
        </w:rPr>
        <w:t>”</w:t>
      </w:r>
      <w:r>
        <w:rPr>
          <w:rFonts w:ascii="Times New Roman" w:hAnsi="Times New Roman" w:eastAsia="仿宋_GB2312"/>
          <w:color w:val="000000"/>
          <w:lang w:val="zh-CN"/>
        </w:rPr>
        <w:t>经费财政拨款支出决算具体情况说明</w:t>
      </w:r>
      <w:bookmarkEnd w:id="1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lang w:val="zh-CN"/>
        </w:rPr>
      </w:pPr>
      <w:r>
        <w:rPr>
          <w:rFonts w:ascii="Times New Roman" w:hAnsi="Times New Roman" w:eastAsia="仿宋_GB2312"/>
          <w:color w:val="000000"/>
          <w:sz w:val="32"/>
          <w:lang w:val="zh-CN"/>
        </w:rPr>
        <w:t>2022年</w:t>
      </w:r>
      <w:r>
        <w:rPr>
          <w:rFonts w:ascii="Times New Roman" w:hAnsi="Times New Roman" w:eastAsia="仿宋_GB2312"/>
          <w:color w:val="000000"/>
          <w:sz w:val="32"/>
          <w:lang w:val="zh-CN"/>
        </w:rPr>
        <w:t>“</w:t>
      </w:r>
      <w:r>
        <w:rPr>
          <w:rFonts w:ascii="Times New Roman" w:hAnsi="Times New Roman" w:eastAsia="仿宋_GB2312"/>
          <w:color w:val="000000"/>
          <w:sz w:val="32"/>
          <w:lang w:val="zh-CN"/>
        </w:rPr>
        <w:t>三公</w:t>
      </w:r>
      <w:r>
        <w:rPr>
          <w:rFonts w:ascii="Times New Roman" w:hAnsi="Times New Roman" w:eastAsia="仿宋_GB2312"/>
          <w:color w:val="000000"/>
          <w:sz w:val="32"/>
          <w:lang w:val="zh-CN"/>
        </w:rPr>
        <w:t>”</w:t>
      </w:r>
      <w:r>
        <w:rPr>
          <w:rFonts w:ascii="Times New Roman" w:hAnsi="Times New Roman" w:eastAsia="仿宋_GB2312"/>
          <w:color w:val="000000"/>
          <w:sz w:val="32"/>
          <w:lang w:val="zh-CN"/>
        </w:rPr>
        <w:t>经费财政拨款支出决算中，因公出国（境）费支出决算0万元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，占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/>
          <w:color w:val="000000"/>
          <w:sz w:val="32"/>
          <w:lang w:val="zh-CN"/>
        </w:rPr>
        <w:t>公务用车购置及运行维护费支出决算0万元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，占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；</w:t>
      </w:r>
      <w:r>
        <w:rPr>
          <w:rFonts w:ascii="Times New Roman" w:hAnsi="Times New Roman" w:eastAsia="仿宋_GB2312"/>
          <w:color w:val="000000"/>
          <w:sz w:val="32"/>
          <w:lang w:val="zh-CN"/>
        </w:rPr>
        <w:t>公务接待费支出决算4.22万元，占100%。具体情况如下：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"/>
          <w:sz w:val="32"/>
        </w:rPr>
      </w:pPr>
      <w:r>
        <w:rPr>
          <w:rFonts w:ascii="Times New Roman" w:hAnsi="Times New Roman" w:eastAsia="仿宋"/>
          <w:sz w:val="32"/>
        </w:rPr>
        <w:t>（图7：</w:t>
      </w:r>
      <w:r>
        <w:rPr>
          <w:rFonts w:ascii="Times New Roman" w:hAnsi="Times New Roman" w:eastAsia="仿宋"/>
          <w:sz w:val="32"/>
        </w:rPr>
        <w:t>“</w:t>
      </w:r>
      <w:r>
        <w:rPr>
          <w:rFonts w:ascii="Times New Roman" w:hAnsi="Times New Roman" w:eastAsia="仿宋"/>
          <w:sz w:val="32"/>
        </w:rPr>
        <w:t>三公</w:t>
      </w:r>
      <w:r>
        <w:rPr>
          <w:rFonts w:ascii="Times New Roman" w:hAnsi="Times New Roman" w:eastAsia="仿宋"/>
          <w:sz w:val="32"/>
        </w:rPr>
        <w:t>”</w:t>
      </w:r>
      <w:r>
        <w:rPr>
          <w:rFonts w:ascii="Times New Roman" w:hAnsi="Times New Roman" w:eastAsia="仿宋"/>
          <w:sz w:val="32"/>
        </w:rPr>
        <w:t>经费财政拨款支出结构）（饼状图）</w:t>
      </w:r>
    </w:p>
    <w:p>
      <w:pPr>
        <w:spacing w:line="600" w:lineRule="exact"/>
        <w:ind w:firstLine="420" w:firstLineChars="200"/>
        <w:rPr>
          <w:rFonts w:ascii="Times New Roman" w:hAnsi="Times New Roman" w:eastAsia="仿宋"/>
          <w:sz w:val="32"/>
        </w:rPr>
      </w:pPr>
      <w:r>
        <w:rPr>
          <w:rFonts w:ascii="Times New Roman" w:hAnsi="Times New Roman"/>
        </w:rPr>
        <w:pict>
          <v:shape id="图表 35" o:spid="_x0000_s1028" o:spt="75" type="#_x0000_t75" style="position:absolute;left:0pt;margin-left:20.75pt;margin-top:7pt;height:179.1pt;width:342.25pt;z-index:10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Excel.Sheet.8" ShapeID="图表 35" DrawAspect="Content" ObjectID="_1468075725" r:id="rId6">
            <o:LockedField>false</o:LockedField>
          </o:OLEObject>
        </w:pic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</w:rPr>
      </w:pPr>
    </w:p>
    <w:p>
      <w:pPr>
        <w:keepNext/>
        <w:keepLines/>
        <w:spacing w:line="576" w:lineRule="exact"/>
        <w:ind w:firstLine="643" w:firstLineChars="200"/>
        <w:rPr>
          <w:rFonts w:ascii="Times New Roman" w:hAnsi="Times New Roman" w:eastAsia="仿宋_GB2312"/>
          <w:color w:val="000000"/>
          <w:sz w:val="32"/>
          <w:lang w:val="zh-CN"/>
        </w:rPr>
      </w:pPr>
      <w:bookmarkStart w:id="15" w:name="_Toc149127109"/>
      <w:r>
        <w:rPr>
          <w:rFonts w:ascii="Times New Roman" w:hAnsi="Times New Roman" w:eastAsia="仿宋_GB2312"/>
          <w:b/>
          <w:color w:val="000000"/>
          <w:sz w:val="32"/>
          <w:lang w:val="zh-CN"/>
        </w:rPr>
        <w:t>1.因公出国（境）经费</w:t>
      </w:r>
      <w:r>
        <w:rPr>
          <w:rFonts w:ascii="Times New Roman" w:hAnsi="Times New Roman" w:eastAsia="仿宋_GB2312"/>
          <w:color w:val="000000"/>
          <w:sz w:val="32"/>
          <w:lang w:val="zh-CN"/>
        </w:rPr>
        <w:t>支出0万元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，</w:t>
      </w:r>
      <w:r>
        <w:rPr>
          <w:rStyle w:val="13"/>
          <w:rFonts w:hint="eastAsia" w:ascii="Times New Roman" w:hAnsi="Times New Roman" w:eastAsia="仿宋"/>
          <w:b w:val="0"/>
          <w:bCs/>
          <w:color w:val="auto"/>
          <w:sz w:val="32"/>
          <w:szCs w:val="32"/>
          <w:highlight w:val="none"/>
        </w:rPr>
        <w:t>完成预算</w:t>
      </w:r>
      <w:r>
        <w:rPr>
          <w:rStyle w:val="13"/>
          <w:rFonts w:hint="eastAsia" w:ascii="Times New Roman" w:hAnsi="Times New Roman" w:eastAsia="仿宋"/>
          <w:b w:val="0"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Style w:val="13"/>
          <w:rFonts w:ascii="Times New Roman" w:hAnsi="Times New Roman" w:eastAsia="仿宋"/>
          <w:b w:val="0"/>
          <w:bCs/>
          <w:color w:val="auto"/>
          <w:sz w:val="32"/>
          <w:szCs w:val="32"/>
          <w:highlight w:val="none"/>
        </w:rPr>
        <w:t>%</w:t>
      </w:r>
      <w:r>
        <w:rPr>
          <w:rStyle w:val="13"/>
          <w:rFonts w:hint="eastAsia" w:ascii="Times New Roman" w:hAnsi="Times New Roman" w:eastAsia="仿宋"/>
          <w:b w:val="0"/>
          <w:bCs/>
          <w:color w:val="auto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/>
          <w:color w:val="000000"/>
          <w:sz w:val="32"/>
          <w:lang w:val="zh-CN"/>
        </w:rPr>
        <w:t>全年安排因公出国（境）团组0个，出国（境）0人。因公出国（境）支出决算比2021年增加0万元</w:t>
      </w:r>
      <w:r>
        <w:rPr>
          <w:rFonts w:hint="eastAsia" w:ascii="Times New Roman" w:hAnsi="Times New Roman" w:eastAsia="仿宋_GB2312"/>
          <w:color w:val="000000"/>
          <w:sz w:val="32"/>
          <w:lang w:val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。主要原因是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2022年未发生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zh-CN"/>
        </w:rPr>
        <w:t>因公出国（境）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</w:t>
      </w:r>
    </w:p>
    <w:p>
      <w:pPr>
        <w:keepNext/>
        <w:keepLines/>
        <w:spacing w:line="576" w:lineRule="exact"/>
        <w:ind w:firstLine="643" w:firstLineChars="200"/>
        <w:rPr>
          <w:rFonts w:ascii="Times New Roman" w:hAnsi="Times New Roman" w:eastAsia="仿宋_GB2312"/>
          <w:color w:val="000000"/>
          <w:sz w:val="32"/>
          <w:lang w:val="zh-CN"/>
        </w:rPr>
      </w:pPr>
      <w:r>
        <w:rPr>
          <w:rFonts w:ascii="Times New Roman" w:hAnsi="Times New Roman" w:eastAsia="仿宋_GB2312"/>
          <w:b/>
          <w:color w:val="000000"/>
          <w:sz w:val="32"/>
          <w:lang w:val="zh-CN"/>
        </w:rPr>
        <w:t>2.公务用车购置及运行维护费</w:t>
      </w:r>
      <w:r>
        <w:rPr>
          <w:rFonts w:ascii="Times New Roman" w:hAnsi="Times New Roman" w:eastAsia="仿宋_GB2312"/>
          <w:color w:val="000000"/>
          <w:sz w:val="32"/>
          <w:lang w:val="zh-CN"/>
        </w:rPr>
        <w:t>支出0万元</w:t>
      </w:r>
      <w:r>
        <w:rPr>
          <w:rFonts w:hint="eastAsia" w:ascii="Times New Roman" w:hAnsi="Times New Roman" w:eastAsia="仿宋_GB2312"/>
          <w:color w:val="000000"/>
          <w:sz w:val="32"/>
          <w:lang w:val="zh-CN"/>
        </w:rPr>
        <w:t>，</w:t>
      </w:r>
      <w:r>
        <w:rPr>
          <w:rStyle w:val="13"/>
          <w:rFonts w:hint="eastAsia" w:ascii="Times New Roman" w:hAnsi="Times New Roman" w:eastAsia="仿宋"/>
          <w:b w:val="0"/>
          <w:bCs/>
          <w:color w:val="auto"/>
          <w:sz w:val="32"/>
          <w:szCs w:val="32"/>
          <w:highlight w:val="none"/>
        </w:rPr>
        <w:t>完成预算</w:t>
      </w:r>
      <w:r>
        <w:rPr>
          <w:rStyle w:val="13"/>
          <w:rFonts w:hint="eastAsia" w:ascii="Times New Roman" w:hAnsi="Times New Roman" w:eastAsia="仿宋"/>
          <w:b w:val="0"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Style w:val="13"/>
          <w:rFonts w:ascii="Times New Roman" w:hAnsi="Times New Roman" w:eastAsia="仿宋"/>
          <w:b w:val="0"/>
          <w:bCs/>
          <w:color w:val="auto"/>
          <w:sz w:val="32"/>
          <w:szCs w:val="32"/>
          <w:highlight w:val="none"/>
        </w:rPr>
        <w:t>%</w:t>
      </w:r>
      <w:r>
        <w:rPr>
          <w:rStyle w:val="13"/>
          <w:rFonts w:hint="eastAsia" w:ascii="Times New Roman" w:hAnsi="Times New Roman" w:eastAsia="仿宋"/>
          <w:b w:val="0"/>
          <w:bCs/>
          <w:color w:val="auto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/>
          <w:color w:val="000000"/>
          <w:sz w:val="32"/>
          <w:lang w:val="zh-CN"/>
        </w:rPr>
        <w:t>公务用车购置及运行维护费支出决算比2021年增加0万元</w:t>
      </w:r>
      <w:r>
        <w:rPr>
          <w:rFonts w:hint="eastAsia" w:ascii="Times New Roman" w:hAnsi="Times New Roman" w:eastAsia="仿宋_GB2312"/>
          <w:color w:val="000000"/>
          <w:sz w:val="32"/>
          <w:lang w:val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。主要原因是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2022年未发生</w:t>
      </w:r>
      <w:r>
        <w:rPr>
          <w:rFonts w:ascii="Times New Roman" w:hAnsi="Times New Roman" w:eastAsia="仿宋_GB2312"/>
          <w:color w:val="000000"/>
          <w:sz w:val="32"/>
          <w:lang w:val="zh-CN"/>
        </w:rPr>
        <w:t>公务用车购置及运行维护费</w:t>
      </w:r>
      <w:r>
        <w:rPr>
          <w:rFonts w:hint="eastAsia" w:ascii="Times New Roman" w:hAnsi="Times New Roman" w:eastAsia="仿宋_GB2312"/>
          <w:color w:val="000000"/>
          <w:sz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lang w:val="zh-CN"/>
        </w:rPr>
        <w:t>其中：</w:t>
      </w:r>
      <w:r>
        <w:rPr>
          <w:rFonts w:ascii="Times New Roman" w:hAnsi="Times New Roman" w:eastAsia="仿宋_GB2312"/>
          <w:b/>
          <w:color w:val="000000"/>
          <w:sz w:val="32"/>
          <w:lang w:val="zh-CN"/>
        </w:rPr>
        <w:t>公务用车购置费</w:t>
      </w:r>
      <w:r>
        <w:rPr>
          <w:rFonts w:ascii="Times New Roman" w:hAnsi="Times New Roman" w:eastAsia="仿宋_GB2312"/>
          <w:color w:val="000000"/>
          <w:sz w:val="32"/>
          <w:lang w:val="zh-CN"/>
        </w:rPr>
        <w:t>支出0万元。</w:t>
      </w:r>
      <w:r>
        <w:rPr>
          <w:rFonts w:ascii="Times New Roman" w:hAnsi="Times New Roman" w:eastAsia="仿宋_GB2312"/>
          <w:sz w:val="32"/>
          <w:szCs w:val="32"/>
        </w:rPr>
        <w:t>全年按规定更新购置公务用车0辆，其中：轿车0辆、金额0万元，越野车0辆、金额0万元，载客汽车0辆、金额0万元。截至2022年12月底，单位共有公务用车0辆，其中：轿车0辆、越野车0辆、载客汽车0辆。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/>
          <w:sz w:val="32"/>
          <w:lang w:val="zh-CN"/>
        </w:rPr>
      </w:pPr>
      <w:r>
        <w:rPr>
          <w:rFonts w:ascii="Times New Roman" w:hAnsi="Times New Roman" w:eastAsia="仿宋_GB2312"/>
          <w:b/>
          <w:color w:val="000000"/>
          <w:sz w:val="32"/>
          <w:lang w:val="zh-CN"/>
        </w:rPr>
        <w:t>公务用车运行维护费</w:t>
      </w:r>
      <w:r>
        <w:rPr>
          <w:rFonts w:ascii="Times New Roman" w:hAnsi="Times New Roman" w:eastAsia="仿宋_GB2312"/>
          <w:color w:val="000000"/>
          <w:sz w:val="32"/>
          <w:lang w:val="zh-CN"/>
        </w:rPr>
        <w:t>支出0万元。</w:t>
      </w:r>
    </w:p>
    <w:p>
      <w:pPr>
        <w:numPr>
          <w:numId w:val="0"/>
        </w:numPr>
        <w:spacing w:line="600" w:lineRule="exact"/>
        <w:ind w:firstLine="643" w:firstLineChars="200"/>
        <w:jc w:val="left"/>
        <w:rPr>
          <w:rFonts w:ascii="Times New Roman" w:hAnsi="Times New Roman" w:eastAsia="仿宋_GB2312"/>
          <w:color w:val="000000"/>
          <w:sz w:val="32"/>
          <w:lang w:val="zh-CN"/>
        </w:rPr>
      </w:pPr>
      <w:r>
        <w:rPr>
          <w:rFonts w:hint="eastAsia" w:ascii="Times New Roman" w:hAnsi="Times New Roman" w:eastAsia="仿宋_GB2312"/>
          <w:b/>
          <w:color w:val="000000"/>
          <w:sz w:val="32"/>
          <w:lang w:val="en-US" w:eastAsia="zh-CN"/>
        </w:rPr>
        <w:t>3.</w:t>
      </w:r>
      <w:r>
        <w:rPr>
          <w:rFonts w:ascii="Times New Roman" w:hAnsi="Times New Roman" w:eastAsia="仿宋_GB2312"/>
          <w:b/>
          <w:color w:val="000000"/>
          <w:sz w:val="32"/>
          <w:lang w:val="zh-CN"/>
        </w:rPr>
        <w:t>公务接待费</w:t>
      </w:r>
      <w:r>
        <w:rPr>
          <w:rFonts w:ascii="Times New Roman" w:hAnsi="Times New Roman" w:eastAsia="仿宋_GB2312"/>
          <w:color w:val="000000"/>
          <w:sz w:val="32"/>
          <w:lang w:val="zh-CN"/>
        </w:rPr>
        <w:t>支出4.22万元，完成预算99.8%。公务接待费支出决算比2021年减少1.07万元，下降20.2%。主要原因是</w:t>
      </w:r>
      <w:r>
        <w:rPr>
          <w:rFonts w:hint="eastAsia" w:ascii="Times New Roman" w:hAnsi="Times New Roman" w:eastAsia="仿宋_GB2312"/>
          <w:color w:val="000000"/>
          <w:sz w:val="32"/>
          <w:lang w:val="en-US" w:eastAsia="zh-CN"/>
        </w:rPr>
        <w:t>压缩了“三公”经费支出</w:t>
      </w:r>
      <w:r>
        <w:rPr>
          <w:rFonts w:ascii="Times New Roman" w:hAnsi="Times New Roman" w:eastAsia="仿宋_GB2312"/>
          <w:color w:val="000000"/>
          <w:sz w:val="32"/>
          <w:lang w:val="zh-CN"/>
        </w:rPr>
        <w:t>。其中：</w:t>
      </w:r>
    </w:p>
    <w:p>
      <w:pPr>
        <w:numPr>
          <w:ilvl w:val="0"/>
          <w:numId w:val="0"/>
        </w:numPr>
        <w:spacing w:line="600" w:lineRule="exact"/>
        <w:ind w:firstLine="643" w:firstLineChars="200"/>
        <w:jc w:val="left"/>
        <w:rPr>
          <w:rFonts w:ascii="Times New Roman" w:hAnsi="Times New Roman" w:eastAsia="仿宋_GB2312"/>
          <w:color w:val="FF0000"/>
          <w:sz w:val="32"/>
        </w:rPr>
      </w:pPr>
      <w:r>
        <w:rPr>
          <w:rFonts w:ascii="Times New Roman" w:hAnsi="Times New Roman" w:eastAsia="仿宋_GB2312"/>
          <w:b/>
          <w:sz w:val="32"/>
          <w:lang w:val="zh-CN"/>
        </w:rPr>
        <w:t>国内公务接待</w:t>
      </w:r>
      <w:r>
        <w:rPr>
          <w:rFonts w:ascii="Times New Roman" w:hAnsi="Times New Roman" w:eastAsia="仿宋_GB2312"/>
          <w:sz w:val="32"/>
          <w:lang w:val="zh-CN"/>
        </w:rPr>
        <w:t>支出4.22万元。主要用于接待检查的</w:t>
      </w:r>
      <w:r>
        <w:rPr>
          <w:rFonts w:ascii="Times New Roman" w:hAnsi="Times New Roman" w:eastAsia="仿宋_GB2312"/>
          <w:sz w:val="32"/>
          <w:highlight w:val="white"/>
        </w:rPr>
        <w:t>用餐费。</w:t>
      </w:r>
      <w:r>
        <w:rPr>
          <w:rFonts w:ascii="Times New Roman" w:hAnsi="Times New Roman" w:eastAsia="仿宋_GB2312"/>
          <w:sz w:val="32"/>
          <w:lang w:val="zh-CN"/>
        </w:rPr>
        <w:t>国内公务接待32批次，278人次</w:t>
      </w:r>
      <w:r>
        <w:rPr>
          <w:rFonts w:hint="eastAsia" w:ascii="Times New Roman" w:hAnsi="Times New Roman" w:eastAsia="仿宋_GB2312"/>
          <w:sz w:val="32"/>
          <w:lang w:val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不包括陪同人员）</w:t>
      </w:r>
      <w:r>
        <w:rPr>
          <w:rFonts w:ascii="Times New Roman" w:hAnsi="Times New Roman" w:eastAsia="仿宋_GB2312"/>
          <w:sz w:val="32"/>
          <w:lang w:val="zh-CN"/>
        </w:rPr>
        <w:t>，共计支出4.22万元，具体内容包括</w:t>
      </w:r>
      <w:r>
        <w:rPr>
          <w:rFonts w:ascii="Times New Roman" w:hAnsi="Times New Roman" w:eastAsia="仿宋_GB2312"/>
          <w:sz w:val="32"/>
          <w:szCs w:val="32"/>
        </w:rPr>
        <w:t>（1）市级部门检查农综项目、财政运行、债务管理检查、农业和预算绩效管理</w:t>
      </w:r>
      <w:r>
        <w:rPr>
          <w:rFonts w:ascii="Times New Roman" w:hAnsi="Times New Roman" w:eastAsia="仿宋_GB2312"/>
          <w:color w:val="000000"/>
          <w:sz w:val="32"/>
          <w:szCs w:val="32"/>
        </w:rPr>
        <w:t>、财政监督检查、地方财经秩序专项检查、农业保险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检查</w:t>
      </w:r>
      <w:r>
        <w:rPr>
          <w:rFonts w:ascii="Times New Roman" w:hAnsi="Times New Roman" w:eastAsia="仿宋_GB2312"/>
          <w:color w:val="000000"/>
          <w:sz w:val="32"/>
          <w:szCs w:val="32"/>
        </w:rPr>
        <w:t>等支出3.16万元。（2）省级部门调研检查、粮食风险基金检查0.48万元。（3）交流学习预算管理一体化系统及预算编制0.58万元。</w:t>
      </w:r>
    </w:p>
    <w:p>
      <w:pPr>
        <w:keepNext/>
        <w:keepLines/>
        <w:spacing w:line="576" w:lineRule="exact"/>
        <w:ind w:firstLine="643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b/>
          <w:color w:val="000000"/>
          <w:sz w:val="32"/>
          <w:lang w:val="zh-CN"/>
        </w:rPr>
        <w:t>外事接待</w:t>
      </w:r>
      <w:r>
        <w:rPr>
          <w:rFonts w:ascii="Times New Roman" w:hAnsi="Times New Roman" w:eastAsia="仿宋_GB2312"/>
          <w:color w:val="000000"/>
          <w:sz w:val="32"/>
          <w:lang w:val="zh-CN"/>
        </w:rPr>
        <w:t>支出0万元。外事接待0批次，0人，共计支出0万元。</w:t>
      </w:r>
    </w:p>
    <w:p>
      <w:pPr>
        <w:tabs>
          <w:tab w:val="left" w:pos="2100"/>
        </w:tabs>
        <w:spacing w:line="600" w:lineRule="exact"/>
        <w:ind w:left="0" w:leftChars="0" w:firstLine="0" w:firstLineChars="0"/>
        <w:jc w:val="center"/>
        <w:outlineLvl w:val="0"/>
        <w:rPr>
          <w:rFonts w:ascii="Times New Roman" w:hAnsi="Times New Roman" w:eastAsia="小标宋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小标宋" w:cs="小标宋"/>
          <w:b w:val="0"/>
          <w:bCs w:val="0"/>
          <w:sz w:val="44"/>
          <w:szCs w:val="44"/>
        </w:rPr>
        <w:t>第二部分</w:t>
      </w:r>
      <w:r>
        <w:rPr>
          <w:rFonts w:ascii="Times New Roman" w:hAnsi="Times New Roman" w:eastAsia="小标宋" w:cs="小标宋"/>
          <w:b w:val="0"/>
          <w:bCs w:val="0"/>
          <w:sz w:val="44"/>
          <w:szCs w:val="44"/>
        </w:rPr>
        <w:t xml:space="preserve"> </w:t>
      </w:r>
      <w:r>
        <w:rPr>
          <w:rFonts w:hint="eastAsia" w:ascii="Times New Roman" w:hAnsi="Times New Roman" w:eastAsia="小标宋" w:cs="小标宋"/>
          <w:b w:val="0"/>
          <w:bCs w:val="0"/>
          <w:sz w:val="44"/>
          <w:szCs w:val="44"/>
        </w:rPr>
        <w:t>名词解释</w:t>
      </w:r>
      <w:bookmarkEnd w:id="11"/>
      <w:bookmarkEnd w:id="12"/>
      <w:bookmarkEnd w:id="13"/>
      <w:bookmarkEnd w:id="15"/>
    </w:p>
    <w:p>
      <w:pPr>
        <w:pStyle w:val="20"/>
        <w:spacing w:line="50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pStyle w:val="20"/>
        <w:spacing w:line="5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pStyle w:val="20"/>
        <w:spacing w:line="5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pStyle w:val="20"/>
        <w:spacing w:line="5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pStyle w:val="20"/>
        <w:spacing w:line="5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pStyle w:val="20"/>
        <w:spacing w:line="5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pStyle w:val="20"/>
        <w:spacing w:line="5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pStyle w:val="20"/>
        <w:spacing w:line="500" w:lineRule="exact"/>
        <w:ind w:firstLine="640" w:firstLineChars="200"/>
        <w:rPr>
          <w:rFonts w:ascii="Times New Roman" w:hAnsi="Times New Roman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17" w:name="_GoBack"/>
      <w:bookmarkEnd w:id="17"/>
    </w:p>
    <w:tbl>
      <w:tblPr>
        <w:tblStyle w:val="11"/>
        <w:tblW w:w="14894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"/>
        <w:gridCol w:w="1420"/>
        <w:gridCol w:w="1240"/>
        <w:gridCol w:w="1060"/>
        <w:gridCol w:w="1160"/>
        <w:gridCol w:w="1420"/>
        <w:gridCol w:w="1200"/>
        <w:gridCol w:w="1060"/>
        <w:gridCol w:w="1220"/>
        <w:gridCol w:w="940"/>
        <w:gridCol w:w="1120"/>
        <w:gridCol w:w="1410"/>
        <w:gridCol w:w="375"/>
        <w:gridCol w:w="1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5" w:type="dxa"/>
          <w:trHeight w:val="405" w:hRule="atLeast"/>
        </w:trPr>
        <w:tc>
          <w:tcPr>
            <w:tcW w:w="13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2"/>
              <w:jc w:val="center"/>
              <w:rPr>
                <w:rFonts w:ascii="Times New Roman" w:hAnsi="Times New Roman" w:cs="Arial"/>
                <w:color w:val="000000"/>
                <w:kern w:val="0"/>
                <w:sz w:val="20"/>
                <w:szCs w:val="20"/>
              </w:rPr>
            </w:pPr>
            <w:bookmarkStart w:id="16" w:name="_Toc149127110"/>
            <w:r>
              <w:rPr>
                <w:rFonts w:hint="eastAsia" w:ascii="Times New Roman" w:hAnsi="Times New Roman" w:eastAsia="小标宋" w:cs="小标宋"/>
                <w:b w:val="0"/>
                <w:bCs w:val="0"/>
                <w:kern w:val="2"/>
                <w:sz w:val="44"/>
                <w:szCs w:val="44"/>
              </w:rPr>
              <w:t>第三部分财政拨款“三公”经费支出决算表</w:t>
            </w:r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5" w:type="dxa"/>
          <w:trHeight w:val="308" w:hRule="atLeast"/>
        </w:trPr>
        <w:tc>
          <w:tcPr>
            <w:tcW w:w="138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5" w:type="dxa"/>
          <w:trHeight w:val="308" w:hRule="atLeast"/>
        </w:trPr>
        <w:tc>
          <w:tcPr>
            <w:tcW w:w="13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财政拨款“三公”经费支出决算表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25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0"/>
                <w:szCs w:val="20"/>
              </w:rPr>
              <w:t>公开13表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255" w:hRule="atLeast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0"/>
                <w:szCs w:val="20"/>
              </w:rPr>
              <w:t>单位：米易县财政局（本级）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308" w:hRule="atLeast"/>
        </w:trPr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308" w:hRule="atLeast"/>
        </w:trPr>
        <w:tc>
          <w:tcPr>
            <w:tcW w:w="1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公务用车购置及运行维护费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公务用车购置及运行维护费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615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308" w:hRule="atLeast"/>
        </w:trPr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308" w:hRule="atLeast"/>
        </w:trPr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4.22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615" w:hRule="atLeast"/>
        </w:trPr>
        <w:tc>
          <w:tcPr>
            <w:tcW w:w="1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Arial"/>
                <w:color w:val="000000"/>
                <w:kern w:val="0"/>
                <w:sz w:val="22"/>
                <w:szCs w:val="22"/>
              </w:rPr>
              <w:t>注：本表反映单位本年度财政拨款“三公”经费支出预决算情况。其中，预算数为“三公”经费全年预算数，反映按规定程序调整后的预算数；决算数是包括当年财政拨款和以前年度结转资金安排的实际支出。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Style w:val="14"/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Style w:val="14"/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4"/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Style w:val="14"/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E6F"/>
    <w:rsid w:val="000254D8"/>
    <w:rsid w:val="00044FE7"/>
    <w:rsid w:val="0004705B"/>
    <w:rsid w:val="0007548A"/>
    <w:rsid w:val="00082303"/>
    <w:rsid w:val="000A03A5"/>
    <w:rsid w:val="000B4ACB"/>
    <w:rsid w:val="000D0748"/>
    <w:rsid w:val="000F1323"/>
    <w:rsid w:val="00102713"/>
    <w:rsid w:val="00127F2D"/>
    <w:rsid w:val="001355FF"/>
    <w:rsid w:val="00151350"/>
    <w:rsid w:val="00160531"/>
    <w:rsid w:val="00163CC5"/>
    <w:rsid w:val="001745AC"/>
    <w:rsid w:val="0017628C"/>
    <w:rsid w:val="001966BA"/>
    <w:rsid w:val="001A6331"/>
    <w:rsid w:val="001A7429"/>
    <w:rsid w:val="001F5676"/>
    <w:rsid w:val="00207321"/>
    <w:rsid w:val="00224ABF"/>
    <w:rsid w:val="00227767"/>
    <w:rsid w:val="0023152A"/>
    <w:rsid w:val="0025397A"/>
    <w:rsid w:val="00277238"/>
    <w:rsid w:val="002A0C76"/>
    <w:rsid w:val="002A2386"/>
    <w:rsid w:val="002B71AC"/>
    <w:rsid w:val="002C2E6C"/>
    <w:rsid w:val="002D2606"/>
    <w:rsid w:val="002D6E1F"/>
    <w:rsid w:val="002F26A4"/>
    <w:rsid w:val="00301857"/>
    <w:rsid w:val="003128F3"/>
    <w:rsid w:val="003407D3"/>
    <w:rsid w:val="00341F1F"/>
    <w:rsid w:val="00345434"/>
    <w:rsid w:val="00371E0E"/>
    <w:rsid w:val="003D4DD0"/>
    <w:rsid w:val="003F5063"/>
    <w:rsid w:val="0046225E"/>
    <w:rsid w:val="004A0763"/>
    <w:rsid w:val="004D5170"/>
    <w:rsid w:val="004F3226"/>
    <w:rsid w:val="004F403E"/>
    <w:rsid w:val="005207D5"/>
    <w:rsid w:val="00542C29"/>
    <w:rsid w:val="00551274"/>
    <w:rsid w:val="00567970"/>
    <w:rsid w:val="005F7927"/>
    <w:rsid w:val="00610B7D"/>
    <w:rsid w:val="00610FF7"/>
    <w:rsid w:val="00642728"/>
    <w:rsid w:val="00651CCC"/>
    <w:rsid w:val="00652F0A"/>
    <w:rsid w:val="006557BA"/>
    <w:rsid w:val="006C0A71"/>
    <w:rsid w:val="006C4428"/>
    <w:rsid w:val="006D1AA2"/>
    <w:rsid w:val="006E4E6F"/>
    <w:rsid w:val="006F204D"/>
    <w:rsid w:val="0070169B"/>
    <w:rsid w:val="0071225D"/>
    <w:rsid w:val="00727533"/>
    <w:rsid w:val="007A4DE9"/>
    <w:rsid w:val="007B53FB"/>
    <w:rsid w:val="007B5FFE"/>
    <w:rsid w:val="007C225B"/>
    <w:rsid w:val="007C7C21"/>
    <w:rsid w:val="007D4215"/>
    <w:rsid w:val="007D5474"/>
    <w:rsid w:val="00811142"/>
    <w:rsid w:val="00815931"/>
    <w:rsid w:val="00833962"/>
    <w:rsid w:val="00835696"/>
    <w:rsid w:val="00847B26"/>
    <w:rsid w:val="00850D88"/>
    <w:rsid w:val="00851999"/>
    <w:rsid w:val="00856750"/>
    <w:rsid w:val="008B2A66"/>
    <w:rsid w:val="008C2781"/>
    <w:rsid w:val="008C32B2"/>
    <w:rsid w:val="008F0511"/>
    <w:rsid w:val="008F3147"/>
    <w:rsid w:val="009071AD"/>
    <w:rsid w:val="009B4834"/>
    <w:rsid w:val="009D1519"/>
    <w:rsid w:val="009F3EEF"/>
    <w:rsid w:val="00A04DED"/>
    <w:rsid w:val="00A17735"/>
    <w:rsid w:val="00A30DE3"/>
    <w:rsid w:val="00A36026"/>
    <w:rsid w:val="00A40005"/>
    <w:rsid w:val="00A54D62"/>
    <w:rsid w:val="00A86E6E"/>
    <w:rsid w:val="00A952CF"/>
    <w:rsid w:val="00A97132"/>
    <w:rsid w:val="00AB1A94"/>
    <w:rsid w:val="00AB41B8"/>
    <w:rsid w:val="00AD195F"/>
    <w:rsid w:val="00AD2562"/>
    <w:rsid w:val="00AE0ECA"/>
    <w:rsid w:val="00B04C7C"/>
    <w:rsid w:val="00B158F8"/>
    <w:rsid w:val="00B2398C"/>
    <w:rsid w:val="00B25905"/>
    <w:rsid w:val="00B308BF"/>
    <w:rsid w:val="00B33D92"/>
    <w:rsid w:val="00B35525"/>
    <w:rsid w:val="00B6134E"/>
    <w:rsid w:val="00B76CAC"/>
    <w:rsid w:val="00B81226"/>
    <w:rsid w:val="00B81833"/>
    <w:rsid w:val="00BC290B"/>
    <w:rsid w:val="00BE4F73"/>
    <w:rsid w:val="00BF3169"/>
    <w:rsid w:val="00C0133D"/>
    <w:rsid w:val="00C21CDF"/>
    <w:rsid w:val="00C262B2"/>
    <w:rsid w:val="00C317AF"/>
    <w:rsid w:val="00C454F6"/>
    <w:rsid w:val="00C630DE"/>
    <w:rsid w:val="00C66415"/>
    <w:rsid w:val="00C7480E"/>
    <w:rsid w:val="00C808C6"/>
    <w:rsid w:val="00CC57AF"/>
    <w:rsid w:val="00D0042B"/>
    <w:rsid w:val="00D621AE"/>
    <w:rsid w:val="00D83912"/>
    <w:rsid w:val="00DB53A4"/>
    <w:rsid w:val="00DC40BC"/>
    <w:rsid w:val="00DE07DD"/>
    <w:rsid w:val="00DE4D74"/>
    <w:rsid w:val="00DF6F34"/>
    <w:rsid w:val="00E10BB5"/>
    <w:rsid w:val="00E66162"/>
    <w:rsid w:val="00E7585D"/>
    <w:rsid w:val="00EB4EDC"/>
    <w:rsid w:val="00F0103C"/>
    <w:rsid w:val="00F01AF9"/>
    <w:rsid w:val="00F1744B"/>
    <w:rsid w:val="00F51D14"/>
    <w:rsid w:val="00F54454"/>
    <w:rsid w:val="00F86482"/>
    <w:rsid w:val="00F922AC"/>
    <w:rsid w:val="00F964F6"/>
    <w:rsid w:val="00FB19C4"/>
    <w:rsid w:val="00FE17FD"/>
    <w:rsid w:val="01E053B8"/>
    <w:rsid w:val="138E56DF"/>
    <w:rsid w:val="16E33911"/>
    <w:rsid w:val="16E57F9E"/>
    <w:rsid w:val="225328F8"/>
    <w:rsid w:val="2F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qFormat/>
    <w:uiPriority w:val="99"/>
    <w:pPr>
      <w:shd w:val="clear" w:color="auto" w:fill="000080"/>
    </w:pPr>
    <w:rPr>
      <w:rFonts w:ascii="Times New Roman" w:hAnsi="Times New Roman" w:cs="Times New Roman"/>
      <w:kern w:val="0"/>
      <w:sz w:val="2"/>
      <w:szCs w:val="2"/>
    </w:rPr>
  </w:style>
  <w:style w:type="paragraph" w:styleId="5">
    <w:name w:val="Body Text"/>
    <w:basedOn w:val="1"/>
    <w:link w:val="18"/>
    <w:qFormat/>
    <w:uiPriority w:val="99"/>
    <w:pPr>
      <w:spacing w:beforeLines="30"/>
    </w:pPr>
    <w:rPr>
      <w:rFonts w:ascii="仿宋_GB2312" w:hAnsi="Times New Roman" w:eastAsia="仿宋_GB2312" w:cs="仿宋_GB2312"/>
      <w:kern w:val="0"/>
      <w:sz w:val="20"/>
      <w:szCs w:val="20"/>
    </w:rPr>
  </w:style>
  <w:style w:type="paragraph" w:styleId="6">
    <w:name w:val="toc 3"/>
    <w:basedOn w:val="1"/>
    <w:next w:val="1"/>
    <w:qFormat/>
    <w:locked/>
    <w:uiPriority w:val="39"/>
    <w:pPr>
      <w:ind w:left="840" w:leftChars="400"/>
    </w:pPr>
  </w:style>
  <w:style w:type="paragraph" w:styleId="7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qFormat/>
    <w:locked/>
    <w:uiPriority w:val="39"/>
    <w:pPr>
      <w:tabs>
        <w:tab w:val="right" w:leader="dot" w:pos="8296"/>
      </w:tabs>
    </w:pPr>
    <w:rPr>
      <w:rFonts w:ascii="仿宋_GB2312" w:hAnsi="Times New Roman" w:eastAsia="仿宋_GB2312" w:cs="仿宋_GB2312"/>
      <w:b/>
      <w:bCs/>
      <w:sz w:val="32"/>
      <w:szCs w:val="32"/>
    </w:rPr>
  </w:style>
  <w:style w:type="paragraph" w:styleId="10">
    <w:name w:val="toc 2"/>
    <w:basedOn w:val="1"/>
    <w:next w:val="1"/>
    <w:qFormat/>
    <w:locked/>
    <w:uiPriority w:val="39"/>
    <w:pPr>
      <w:ind w:left="420" w:leftChars="200"/>
    </w:pPr>
    <w:rPr>
      <w:rFonts w:ascii="Times New Roman" w:hAnsi="Times New Roman" w:cs="Times New Roman"/>
    </w:rPr>
  </w:style>
  <w:style w:type="character" w:styleId="13">
    <w:name w:val="Strong"/>
    <w:qFormat/>
    <w:uiPriority w:val="99"/>
    <w:rPr>
      <w:b/>
      <w:bCs/>
    </w:rPr>
  </w:style>
  <w:style w:type="character" w:styleId="14">
    <w:name w:val="page number"/>
    <w:basedOn w:val="12"/>
    <w:qFormat/>
    <w:uiPriority w:val="99"/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眉 字符"/>
    <w:link w:val="8"/>
    <w:semiHidden/>
    <w:qFormat/>
    <w:locked/>
    <w:uiPriority w:val="99"/>
    <w:rPr>
      <w:sz w:val="18"/>
      <w:szCs w:val="18"/>
    </w:rPr>
  </w:style>
  <w:style w:type="character" w:customStyle="1" w:styleId="17">
    <w:name w:val="页脚 字符"/>
    <w:link w:val="7"/>
    <w:semiHidden/>
    <w:qFormat/>
    <w:locked/>
    <w:uiPriority w:val="99"/>
    <w:rPr>
      <w:sz w:val="18"/>
      <w:szCs w:val="18"/>
    </w:rPr>
  </w:style>
  <w:style w:type="character" w:customStyle="1" w:styleId="18">
    <w:name w:val="正文文本 字符"/>
    <w:link w:val="5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9">
    <w:name w:val="文档结构图 字符"/>
    <w:link w:val="4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21">
    <w:name w:val="标题 1 字符"/>
    <w:link w:val="2"/>
    <w:qFormat/>
    <w:uiPriority w:val="0"/>
    <w:rPr>
      <w:rFonts w:cs="Calibri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E74B5"/>
      <w:kern w:val="0"/>
      <w:sz w:val="32"/>
      <w:szCs w:val="32"/>
    </w:rPr>
  </w:style>
  <w:style w:type="character" w:customStyle="1" w:styleId="23">
    <w:name w:val="标题 2 字符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852AD-0208-49FA-AAF3-043953A53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286</Words>
  <Characters>1632</Characters>
  <Lines>13</Lines>
  <Paragraphs>3</Paragraphs>
  <TotalTime>0</TotalTime>
  <ScaleCrop>false</ScaleCrop>
  <LinksUpToDate>false</LinksUpToDate>
  <CharactersWithSpaces>1915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2019-08-28T02:39:00Z</dcterms:created>
  <dc:creator>钟德红</dc:creator>
  <cp:lastModifiedBy>刘鑫</cp:lastModifiedBy>
  <cp:lastPrinted>2020-09-03T00:38:00Z</cp:lastPrinted>
  <dcterms:modified xsi:type="dcterms:W3CDTF">2023-10-31T09:20:12Z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