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597"/>
      <w:bookmarkStart w:id="1" w:name="_Toc15378441"/>
      <w:bookmarkStart w:id="2" w:name="_Toc15396475"/>
      <w:bookmarkStart w:id="3" w:name="_Toc15377193"/>
      <w:bookmarkStart w:id="4" w:name="_Toc15377425"/>
      <w:bookmarkStart w:id="5" w:name="_Toc15306267"/>
    </w:p>
    <w:p>
      <w:pPr>
        <w:pStyle w:val="6"/>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outlineLvl w:val="9"/>
        <w:rPr>
          <w:rFonts w:asciiTheme="minorEastAsia" w:hAnsiTheme="minorEastAsia" w:eastAsiaTheme="minorEastAsia"/>
          <w:b/>
          <w:spacing w:val="-6"/>
          <w:sz w:val="72"/>
          <w:szCs w:val="72"/>
        </w:rPr>
      </w:pPr>
      <w:bookmarkStart w:id="6" w:name="_Toc25229"/>
      <w:bookmarkStart w:id="7" w:name="_Toc15306268"/>
      <w:bookmarkStart w:id="8" w:name="_Toc15378442"/>
      <w:bookmarkStart w:id="9" w:name="_Toc15377194"/>
      <w:bookmarkStart w:id="10" w:name="_Toc15377426"/>
      <w:bookmarkStart w:id="11" w:name="_Toc15396598"/>
      <w:bookmarkStart w:id="12" w:name="_Toc15396476"/>
      <w:r>
        <w:rPr>
          <w:rFonts w:asciiTheme="minorEastAsia" w:hAnsiTheme="minorEastAsia" w:eastAsiaTheme="minorEastAsia"/>
          <w:b/>
          <w:spacing w:val="-6"/>
          <w:sz w:val="72"/>
          <w:szCs w:val="72"/>
        </w:rPr>
        <w:t>米易县妇女联合会</w:t>
      </w:r>
      <w:bookmarkEnd w:id="6"/>
    </w:p>
    <w:p>
      <w:pPr>
        <w:jc w:val="center"/>
        <w:outlineLvl w:val="9"/>
        <w:rPr>
          <w:rFonts w:hint="eastAsia" w:asciiTheme="minorEastAsia" w:hAnsiTheme="minorEastAsia" w:eastAsiaTheme="minorEastAsia"/>
          <w:b/>
          <w:spacing w:val="-6"/>
          <w:sz w:val="72"/>
          <w:szCs w:val="72"/>
          <w:lang w:val="en-US" w:eastAsia="zh-CN"/>
        </w:rPr>
      </w:pPr>
      <w:bookmarkStart w:id="13" w:name="_Toc28769"/>
      <w:r>
        <w:rPr>
          <w:rFonts w:hint="eastAsia" w:asciiTheme="minorEastAsia" w:hAnsiTheme="minorEastAsia" w:eastAsiaTheme="minorEastAsia"/>
          <w:b/>
          <w:spacing w:val="-6"/>
          <w:sz w:val="72"/>
          <w:szCs w:val="72"/>
          <w:lang w:val="en-US" w:eastAsia="zh-CN"/>
        </w:rPr>
        <w:t>单位</w:t>
      </w:r>
      <w:r>
        <w:rPr>
          <w:rFonts w:hint="eastAsia" w:asciiTheme="minorEastAsia" w:hAnsiTheme="minorEastAsia" w:eastAsiaTheme="minorEastAsia"/>
          <w:b/>
          <w:spacing w:val="-6"/>
          <w:sz w:val="72"/>
          <w:szCs w:val="72"/>
        </w:rPr>
        <w:t>决算</w:t>
      </w:r>
      <w:bookmarkEnd w:id="7"/>
      <w:bookmarkEnd w:id="8"/>
      <w:bookmarkEnd w:id="9"/>
      <w:bookmarkEnd w:id="10"/>
      <w:bookmarkEnd w:id="11"/>
      <w:bookmarkEnd w:id="12"/>
      <w:r>
        <w:rPr>
          <w:rFonts w:hint="eastAsia" w:asciiTheme="minorEastAsia" w:hAnsiTheme="minorEastAsia" w:eastAsiaTheme="minorEastAsia"/>
          <w:b/>
          <w:spacing w:val="-6"/>
          <w:sz w:val="72"/>
          <w:szCs w:val="72"/>
          <w:lang w:val="en-US" w:eastAsia="zh-CN"/>
        </w:rPr>
        <w:t>公开编制说明</w:t>
      </w:r>
      <w:bookmarkEnd w:id="13"/>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pPr>
      <w:r>
        <w:tab/>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3"/>
        <w:tabs>
          <w:tab w:val="right" w:leader="dot" w:pos="8306"/>
          <w:tab w:val="clear" w:pos="8296"/>
        </w:tabs>
      </w:pPr>
      <w:r>
        <w:rPr>
          <w:smallCaps/>
          <w:szCs w:val="20"/>
        </w:rPr>
        <w:fldChar w:fldCharType="begin"/>
      </w:r>
      <w:r>
        <w:rPr>
          <w:smallCaps/>
          <w:szCs w:val="20"/>
        </w:rPr>
        <w:instrText xml:space="preserve"> HYPERLINK \l _Toc22285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单位</w:t>
      </w:r>
      <w:r>
        <w:rPr>
          <w:rFonts w:ascii="黑体" w:hAnsi="黑体" w:eastAsia="黑体" w:cs="黑体"/>
          <w:bCs w:val="0"/>
        </w:rPr>
        <w:t>概况</w:t>
      </w:r>
      <w:r>
        <w:tab/>
      </w:r>
      <w:r>
        <w:fldChar w:fldCharType="begin"/>
      </w:r>
      <w:r>
        <w:instrText xml:space="preserve"> PAGEREF _Toc22285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_Toc6083 </w:instrText>
      </w:r>
      <w:r>
        <w:rPr>
          <w:smallCaps/>
          <w:szCs w:val="20"/>
        </w:rPr>
        <w:fldChar w:fldCharType="separate"/>
      </w:r>
      <w:r>
        <w:rPr>
          <w:rFonts w:hint="eastAsia" w:ascii="黑体" w:eastAsia="黑体" w:cs="Times New Roman"/>
          <w:bCs w:val="0"/>
        </w:rPr>
        <w:t>一、主要职责</w:t>
      </w:r>
      <w:r>
        <w:tab/>
      </w:r>
      <w:r>
        <w:fldChar w:fldCharType="begin"/>
      </w:r>
      <w:r>
        <w:instrText xml:space="preserve"> PAGEREF _Toc6083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_Toc18405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_Toc18405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_Toc12131 </w:instrText>
      </w:r>
      <w:r>
        <w:rPr>
          <w:smallCaps/>
          <w:szCs w:val="20"/>
        </w:rPr>
        <w:fldChar w:fldCharType="separate"/>
      </w:r>
      <w:r>
        <w:rPr>
          <w:rFonts w:hint="eastAsia" w:ascii="黑体" w:eastAsia="黑体" w:cs="Times New Roman"/>
          <w:bCs w:val="0"/>
          <w:lang w:val="en-US" w:eastAsia="zh-CN"/>
        </w:rPr>
        <w:t>三、2022年重点工作完成情况</w:t>
      </w:r>
      <w:r>
        <w:tab/>
      </w:r>
      <w:r>
        <w:fldChar w:fldCharType="begin"/>
      </w:r>
      <w:r>
        <w:instrText xml:space="preserve"> PAGEREF _Toc12131 \h </w:instrText>
      </w:r>
      <w:r>
        <w:fldChar w:fldCharType="separate"/>
      </w:r>
      <w:r>
        <w:t>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_Toc25898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rPr>
        <w:t>年度</w:t>
      </w:r>
      <w:r>
        <w:rPr>
          <w:rFonts w:hint="eastAsia" w:ascii="黑体" w:hAnsi="黑体" w:eastAsia="黑体" w:cs="黑体"/>
          <w:lang w:val="en-US" w:eastAsia="zh-CN"/>
        </w:rPr>
        <w:t>单位</w:t>
      </w:r>
      <w:r>
        <w:rPr>
          <w:rFonts w:hint="eastAsia" w:ascii="黑体" w:hAnsi="黑体" w:eastAsia="黑体" w:cs="黑体"/>
        </w:rPr>
        <w:t>决算情况说明</w:t>
      </w:r>
      <w:r>
        <w:tab/>
      </w:r>
      <w:r>
        <w:fldChar w:fldCharType="begin"/>
      </w:r>
      <w:r>
        <w:instrText xml:space="preserve"> PAGEREF _Toc25898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_Toc17211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_Toc17211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_Toc7750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_Toc7750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_Toc4893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_Toc4893 \h </w:instrText>
      </w:r>
      <w:r>
        <w:fldChar w:fldCharType="separate"/>
      </w:r>
      <w:r>
        <w:t>8</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_Toc12707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_Toc12707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_Toc29214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_Toc29214 \h </w:instrText>
      </w:r>
      <w:r>
        <w:fldChar w:fldCharType="separate"/>
      </w:r>
      <w:r>
        <w:t>10</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_Toc25329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_Toc25329 \h </w:instrText>
      </w:r>
      <w:r>
        <w:fldChar w:fldCharType="separate"/>
      </w:r>
      <w:r>
        <w:t>13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_Toc9823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_Toc9823 \h </w:instrText>
      </w:r>
      <w:r>
        <w:fldChar w:fldCharType="separate"/>
      </w:r>
      <w:r>
        <w:t>14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_Toc21587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_Toc21587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_Toc29677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_Toc29677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_Toc8756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_Toc8756 \h </w:instrText>
      </w:r>
      <w:r>
        <w:fldChar w:fldCharType="separate"/>
      </w:r>
      <w:r>
        <w:t>16</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_Toc5071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_Toc5071 \h </w:instrText>
      </w:r>
      <w:r>
        <w:fldChar w:fldCharType="separate"/>
      </w:r>
      <w:r>
        <w:t>18</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_Toc7836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_Toc7836 \h </w:instrText>
      </w:r>
      <w:r>
        <w:fldChar w:fldCharType="separate"/>
      </w:r>
      <w:r>
        <w:t>21</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_Toc8331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_Toc8331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_Toc12336 </w:instrText>
      </w:r>
      <w:r>
        <w:rPr>
          <w:smallCaps/>
          <w:szCs w:val="20"/>
        </w:rPr>
        <w:fldChar w:fldCharType="separate"/>
      </w:r>
      <w:r>
        <w:rPr>
          <w:rFonts w:hint="eastAsia" w:ascii="黑体" w:eastAsia="黑体" w:cs="Times New Roman"/>
          <w:bCs/>
        </w:rPr>
        <w:t>一、收入支出决算总表</w:t>
      </w:r>
      <w:r>
        <w:tab/>
      </w:r>
      <w:r>
        <w:fldChar w:fldCharType="begin"/>
      </w:r>
      <w:r>
        <w:instrText xml:space="preserve"> PAGEREF _Toc12336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_Toc2966 </w:instrText>
      </w:r>
      <w:r>
        <w:rPr>
          <w:smallCaps/>
          <w:szCs w:val="20"/>
        </w:rPr>
        <w:fldChar w:fldCharType="separate"/>
      </w:r>
      <w:r>
        <w:rPr>
          <w:rFonts w:hint="eastAsia" w:ascii="黑体" w:eastAsia="黑体" w:cs="Times New Roman"/>
          <w:bCs/>
        </w:rPr>
        <w:t>二、收入决算表</w:t>
      </w:r>
      <w:r>
        <w:tab/>
      </w:r>
      <w:r>
        <w:fldChar w:fldCharType="begin"/>
      </w:r>
      <w:r>
        <w:instrText xml:space="preserve"> PAGEREF _Toc2966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_Toc14927 </w:instrText>
      </w:r>
      <w:r>
        <w:rPr>
          <w:smallCaps/>
          <w:szCs w:val="20"/>
        </w:rPr>
        <w:fldChar w:fldCharType="separate"/>
      </w:r>
      <w:r>
        <w:rPr>
          <w:rFonts w:hint="eastAsia" w:ascii="黑体" w:eastAsia="黑体" w:cs="Times New Roman"/>
          <w:bCs/>
        </w:rPr>
        <w:t>三、支出决算表</w:t>
      </w:r>
      <w:r>
        <w:tab/>
      </w:r>
      <w:r>
        <w:fldChar w:fldCharType="begin"/>
      </w:r>
      <w:r>
        <w:instrText xml:space="preserve"> PAGEREF _Toc14927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_Toc2965 </w:instrText>
      </w:r>
      <w:r>
        <w:rPr>
          <w:smallCaps/>
          <w:szCs w:val="20"/>
        </w:rPr>
        <w:fldChar w:fldCharType="separate"/>
      </w:r>
      <w:r>
        <w:rPr>
          <w:rFonts w:hint="eastAsia" w:ascii="黑体" w:eastAsia="黑体" w:cs="Times New Roman"/>
          <w:bCs/>
        </w:rPr>
        <w:t>四、财政拨款收入支出决算总表</w:t>
      </w:r>
      <w:r>
        <w:tab/>
      </w:r>
      <w:r>
        <w:fldChar w:fldCharType="begin"/>
      </w:r>
      <w:r>
        <w:instrText xml:space="preserve"> PAGEREF _Toc2965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_Toc24288 </w:instrText>
      </w:r>
      <w:r>
        <w:rPr>
          <w:smallCaps/>
          <w:szCs w:val="20"/>
        </w:rPr>
        <w:fldChar w:fldCharType="separate"/>
      </w:r>
      <w:r>
        <w:rPr>
          <w:rFonts w:hint="eastAsia" w:ascii="黑体" w:eastAsia="黑体" w:cs="Times New Roman"/>
          <w:bCs/>
        </w:rPr>
        <w:t>五、财政拨款支出决算明细表</w:t>
      </w:r>
      <w:r>
        <w:tab/>
      </w:r>
      <w:r>
        <w:fldChar w:fldCharType="begin"/>
      </w:r>
      <w:r>
        <w:instrText xml:space="preserve"> PAGEREF _Toc24288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_Toc12633 </w:instrText>
      </w:r>
      <w:r>
        <w:rPr>
          <w:smallCaps/>
          <w:szCs w:val="20"/>
        </w:rPr>
        <w:fldChar w:fldCharType="separate"/>
      </w:r>
      <w:r>
        <w:rPr>
          <w:rFonts w:hint="eastAsia" w:ascii="黑体" w:eastAsia="黑体" w:cs="Times New Roman"/>
          <w:bCs/>
        </w:rPr>
        <w:t>六、一般公共预算财政拨款支出决算表</w:t>
      </w:r>
      <w:r>
        <w:tab/>
      </w:r>
      <w:r>
        <w:fldChar w:fldCharType="begin"/>
      </w:r>
      <w:r>
        <w:instrText xml:space="preserve"> PAGEREF _Toc12633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_Toc12240 </w:instrText>
      </w:r>
      <w:r>
        <w:rPr>
          <w:smallCaps/>
          <w:szCs w:val="20"/>
        </w:rPr>
        <w:fldChar w:fldCharType="separate"/>
      </w:r>
      <w:r>
        <w:rPr>
          <w:rFonts w:hint="eastAsia" w:ascii="黑体" w:eastAsia="黑体" w:cs="Times New Roman"/>
          <w:bCs/>
        </w:rPr>
        <w:t>七、一般公共预算财政拨款支出决算明细表</w:t>
      </w:r>
      <w:r>
        <w:tab/>
      </w:r>
      <w:r>
        <w:fldChar w:fldCharType="begin"/>
      </w:r>
      <w:r>
        <w:instrText xml:space="preserve"> PAGEREF _Toc12240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_Toc502 </w:instrText>
      </w:r>
      <w:r>
        <w:rPr>
          <w:smallCaps/>
          <w:szCs w:val="20"/>
        </w:rPr>
        <w:fldChar w:fldCharType="separate"/>
      </w:r>
      <w:r>
        <w:rPr>
          <w:rFonts w:hint="eastAsia" w:ascii="黑体" w:eastAsia="黑体" w:cs="Times New Roman"/>
          <w:bCs/>
        </w:rPr>
        <w:t>八、一般公共预算财政拨款基本支出决算表</w:t>
      </w:r>
      <w:r>
        <w:tab/>
      </w:r>
      <w:r>
        <w:fldChar w:fldCharType="begin"/>
      </w:r>
      <w:r>
        <w:instrText xml:space="preserve"> PAGEREF _Toc502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_Toc21847 </w:instrText>
      </w:r>
      <w:r>
        <w:rPr>
          <w:smallCaps/>
          <w:szCs w:val="20"/>
        </w:rPr>
        <w:fldChar w:fldCharType="separate"/>
      </w:r>
      <w:r>
        <w:rPr>
          <w:rFonts w:hint="eastAsia" w:ascii="黑体" w:eastAsia="黑体" w:cs="Times New Roman"/>
          <w:bCs/>
        </w:rPr>
        <w:t>九、一般公共预算财政拨款项目支出决算表</w:t>
      </w:r>
      <w:r>
        <w:tab/>
      </w:r>
      <w:r>
        <w:fldChar w:fldCharType="begin"/>
      </w:r>
      <w:r>
        <w:instrText xml:space="preserve"> PAGEREF _Toc21847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_Toc9835 </w:instrText>
      </w:r>
      <w:r>
        <w:rPr>
          <w:smallCaps/>
          <w:szCs w:val="20"/>
        </w:rPr>
        <w:fldChar w:fldCharType="separate"/>
      </w:r>
      <w:r>
        <w:rPr>
          <w:rFonts w:hint="eastAsia" w:ascii="黑体" w:eastAsia="黑体" w:cs="Times New Roman"/>
          <w:bCs/>
        </w:rPr>
        <w:t>十、政府性基金预算财政拨款收入支出决算表</w:t>
      </w:r>
      <w:r>
        <w:tab/>
      </w:r>
      <w:r>
        <w:fldChar w:fldCharType="begin"/>
      </w:r>
      <w:r>
        <w:instrText xml:space="preserve"> PAGEREF _Toc9835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_Toc6005 </w:instrText>
      </w:r>
      <w:r>
        <w:rPr>
          <w:smallCaps/>
          <w:szCs w:val="20"/>
        </w:rPr>
        <w:fldChar w:fldCharType="separate"/>
      </w:r>
      <w:r>
        <w:rPr>
          <w:rFonts w:hint="eastAsia" w:ascii="黑体" w:eastAsia="黑体" w:cs="Times New Roman"/>
          <w:bCs/>
        </w:rPr>
        <w:t>十一、国有资本经营预算财政拨款收入支出决算表</w:t>
      </w:r>
      <w:r>
        <w:tab/>
      </w:r>
      <w:r>
        <w:fldChar w:fldCharType="begin"/>
      </w:r>
      <w:r>
        <w:instrText xml:space="preserve"> PAGEREF _Toc6005 \h </w:instrText>
      </w:r>
      <w:r>
        <w:fldChar w:fldCharType="separate"/>
      </w:r>
      <w:r>
        <w:t>22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_Toc1461 </w:instrText>
      </w:r>
      <w:r>
        <w:rPr>
          <w:smallCaps/>
          <w:szCs w:val="20"/>
        </w:rPr>
        <w:fldChar w:fldCharType="separate"/>
      </w:r>
      <w:r>
        <w:rPr>
          <w:rFonts w:hint="eastAsia" w:ascii="黑体" w:eastAsia="黑体" w:cs="Times New Roman"/>
          <w:bCs/>
        </w:rPr>
        <w:t>十二、国有资本经营预算财政拨款支出决算表</w:t>
      </w:r>
      <w:r>
        <w:tab/>
      </w:r>
      <w:r>
        <w:fldChar w:fldCharType="begin"/>
      </w:r>
      <w:r>
        <w:instrText xml:space="preserve"> PAGEREF _Toc1461 \h </w:instrText>
      </w:r>
      <w:r>
        <w:fldChar w:fldCharType="separate"/>
      </w:r>
      <w:r>
        <w:t>22</w:t>
      </w:r>
      <w:r>
        <w:fldChar w:fldCharType="end"/>
      </w:r>
      <w:r>
        <w:rPr>
          <w:smallCaps/>
          <w:szCs w:val="20"/>
        </w:rPr>
        <w:fldChar w:fldCharType="end"/>
      </w:r>
    </w:p>
    <w:p>
      <w:pPr>
        <w:pStyle w:val="6"/>
        <w:ind w:left="0" w:leftChars="0" w:firstLine="420" w:firstLineChars="200"/>
      </w:pPr>
      <w:r>
        <w:rPr>
          <w:smallCaps/>
          <w:szCs w:val="20"/>
        </w:rPr>
        <w:fldChar w:fldCharType="begin"/>
      </w:r>
      <w:r>
        <w:rPr>
          <w:smallCaps/>
          <w:szCs w:val="20"/>
        </w:rPr>
        <w:instrText xml:space="preserve"> HYPERLINK \l _Toc27721 </w:instrText>
      </w:r>
      <w:r>
        <w:rPr>
          <w:smallCaps/>
          <w:szCs w:val="20"/>
        </w:rPr>
        <w:fldChar w:fldCharType="separate"/>
      </w:r>
      <w:r>
        <w:rPr>
          <w:rFonts w:hint="eastAsia" w:ascii="黑体" w:eastAsia="黑体" w:cs="Times New Roman"/>
          <w:bCs/>
        </w:rPr>
        <w:t>十三、财政拨款“三公”经费支出决算表</w:t>
      </w:r>
      <w:r>
        <w:tab/>
      </w:r>
      <w:r>
        <w:rPr>
          <w:smallCaps/>
          <w:szCs w:val="20"/>
        </w:rPr>
        <w:fldChar w:fldCharType="end"/>
      </w:r>
    </w:p>
    <w:p>
      <w:pPr>
        <w:rPr>
          <w:rFonts w:hint="eastAsia" w:ascii="黑体" w:hAnsi="黑体" w:eastAsia="黑体" w:cs="黑体"/>
        </w:rPr>
      </w:pPr>
      <w:bookmarkStart w:id="14" w:name="_Toc111208495"/>
      <w:r>
        <w:rPr>
          <w:rFonts w:hint="eastAsia" w:ascii="黑体" w:hAnsi="黑体" w:eastAsia="黑体" w:cs="黑体"/>
        </w:rPr>
        <w:br w:type="page"/>
      </w:r>
    </w:p>
    <w:p>
      <w:pPr>
        <w:pStyle w:val="3"/>
        <w:jc w:val="center"/>
        <w:rPr>
          <w:rFonts w:ascii="黑体" w:hAnsi="黑体" w:eastAsia="黑体" w:cs="黑体"/>
          <w:b w:val="0"/>
          <w:bCs w:val="0"/>
        </w:rPr>
      </w:pPr>
      <w:bookmarkStart w:id="15" w:name="_Toc22285"/>
      <w:r>
        <w:rPr>
          <w:rFonts w:hint="eastAsia" w:ascii="黑体" w:hAnsi="黑体" w:eastAsia="黑体" w:cs="黑体"/>
        </w:rPr>
        <w:t xml:space="preserve">第一部分 </w:t>
      </w:r>
      <w:r>
        <w:rPr>
          <w:rStyle w:val="29"/>
          <w:rFonts w:hint="eastAsia" w:ascii="黑体" w:hAnsi="黑体" w:eastAsia="黑体" w:cs="黑体"/>
          <w:b/>
          <w:bCs w:val="0"/>
        </w:rPr>
        <w:t>单位</w:t>
      </w:r>
      <w:r>
        <w:rPr>
          <w:rStyle w:val="29"/>
          <w:rFonts w:ascii="黑体" w:hAnsi="黑体" w:eastAsia="黑体" w:cs="黑体"/>
          <w:b/>
          <w:bCs w:val="0"/>
          <w:u w:color="auto"/>
        </w:rPr>
        <w:t>概况</w:t>
      </w:r>
      <w:bookmarkEnd w:id="14"/>
      <w:bookmarkEnd w:id="15"/>
    </w:p>
    <w:p>
      <w:pPr>
        <w:pStyle w:val="4"/>
        <w:ind w:firstLine="640" w:firstLineChars="200"/>
        <w:rPr>
          <w:rFonts w:ascii="黑体" w:eastAsia="黑体" w:cs="Times New Roman"/>
          <w:b w:val="0"/>
          <w:bCs/>
          <w:color w:val="000000"/>
        </w:rPr>
      </w:pPr>
      <w:bookmarkStart w:id="16" w:name="_Toc111208496"/>
      <w:bookmarkStart w:id="17" w:name="_Toc15377197"/>
      <w:bookmarkStart w:id="18" w:name="_Toc6083"/>
      <w:r>
        <w:rPr>
          <w:rFonts w:hint="eastAsia" w:ascii="黑体" w:eastAsia="黑体" w:cs="Times New Roman"/>
          <w:b w:val="0"/>
          <w:bCs/>
          <w:color w:val="000000"/>
        </w:rPr>
        <w:t>一、</w:t>
      </w:r>
      <w:bookmarkEnd w:id="16"/>
      <w:bookmarkEnd w:id="17"/>
      <w:bookmarkStart w:id="19" w:name="_Toc15378445"/>
      <w:bookmarkStart w:id="20" w:name="_Toc15377198"/>
      <w:r>
        <w:rPr>
          <w:rFonts w:hint="eastAsia" w:ascii="黑体" w:eastAsia="黑体" w:cs="Times New Roman"/>
          <w:b w:val="0"/>
          <w:bCs/>
          <w:color w:val="000000"/>
        </w:rPr>
        <w:t>主要职责</w:t>
      </w:r>
      <w:bookmarkEnd w:id="18"/>
    </w:p>
    <w:bookmarkEnd w:id="19"/>
    <w:bookmarkEnd w:id="2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县妇联的基本职责是代表和维护妇女权益，促进男女平等，概括起来即坚持“一手抓发展、一手抓维权”的工作方针。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ascii="仿宋" w:hAnsi="仿宋" w:eastAsia="仿宋"/>
          <w:color w:val="000000"/>
          <w:sz w:val="32"/>
          <w:szCs w:val="32"/>
        </w:rPr>
        <w:t>参与职能，发动和组织妇女参与改革和经济建设。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w:t>
      </w:r>
      <w:r>
        <w:rPr>
          <w:rFonts w:ascii="仿宋" w:hAnsi="仿宋" w:eastAsia="仿宋"/>
          <w:color w:val="000000"/>
          <w:sz w:val="32"/>
          <w:szCs w:val="32"/>
        </w:rPr>
        <w:t>教育职能，引导妇女提高素质，促进妇女人才成长</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3.代表职能，代表妇女参与民主管理和民主监督，保护妇女儿童合法权益。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4.服务职能，全心全意为妇女群众服务，推动有关部门为妇女发展提供服务，创造条件。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5.联谊职能，加强与妇联组织和各社会团体、各相关部门的横向和纵向的联系沟通，拓宽妇联工作覆盖面。</w:t>
      </w:r>
      <w:bookmarkStart w:id="21" w:name="_Toc15377200"/>
    </w:p>
    <w:p>
      <w:pPr>
        <w:pStyle w:val="4"/>
        <w:ind w:firstLine="640" w:firstLineChars="200"/>
        <w:rPr>
          <w:rFonts w:ascii="黑体" w:eastAsia="黑体" w:cs="Times New Roman"/>
          <w:b w:val="0"/>
          <w:bCs/>
          <w:color w:val="000000"/>
        </w:rPr>
      </w:pPr>
      <w:bookmarkStart w:id="22" w:name="_Toc18405"/>
      <w:bookmarkStart w:id="23" w:name="_Toc111208497"/>
      <w:r>
        <w:rPr>
          <w:rFonts w:hint="eastAsia" w:ascii="黑体" w:eastAsia="黑体" w:cs="Times New Roman"/>
          <w:b w:val="0"/>
          <w:bCs/>
          <w:color w:val="000000"/>
        </w:rPr>
        <w:t>二、机构设置</w:t>
      </w:r>
      <w:bookmarkEnd w:id="21"/>
      <w:bookmarkEnd w:id="22"/>
      <w:bookmarkEnd w:id="23"/>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lang w:eastAsia="zh-CN"/>
        </w:rPr>
      </w:pPr>
      <w:r>
        <w:rPr>
          <w:rFonts w:ascii="仿宋" w:hAnsi="仿宋" w:eastAsia="仿宋"/>
          <w:color w:val="000000"/>
          <w:sz w:val="32"/>
          <w:szCs w:val="32"/>
        </w:rPr>
        <w:t>米易县妇女联合会下属二级预算单位1个，其中行政单位0个，参照公务员法管理的事业单位0个，其他事业单位1个</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olor w:val="000000"/>
          <w:sz w:val="32"/>
          <w:szCs w:val="32"/>
        </w:rPr>
      </w:pPr>
      <w:r>
        <w:rPr>
          <w:rFonts w:ascii="仿宋" w:hAnsi="仿宋" w:eastAsia="仿宋"/>
          <w:color w:val="000000"/>
          <w:sz w:val="32"/>
          <w:szCs w:val="32"/>
        </w:rPr>
        <w:t>纳入县妇联2022年度部门决算编制范围的二级预算单位包括：</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olor w:val="000000"/>
          <w:sz w:val="32"/>
          <w:szCs w:val="32"/>
        </w:rPr>
      </w:pPr>
      <w:r>
        <w:rPr>
          <w:rFonts w:ascii="仿宋" w:hAnsi="仿宋" w:eastAsia="仿宋"/>
          <w:color w:val="000000"/>
          <w:sz w:val="32"/>
          <w:szCs w:val="32"/>
        </w:rPr>
        <w:t>米易县妇女儿童服务中心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pPr>
      <w:r>
        <w:rPr>
          <w:rFonts w:ascii="仿宋" w:hAnsi="仿宋" w:eastAsia="仿宋"/>
          <w:color w:val="000000"/>
          <w:sz w:val="32"/>
          <w:szCs w:val="32"/>
        </w:rPr>
        <w:t>说明：此单位因人员少，无独立核算，一并纳入米易县妇女联合会一同核算。</w:t>
      </w:r>
      <w:bookmarkStart w:id="24" w:name="_Toc15377204"/>
    </w:p>
    <w:p>
      <w:pPr>
        <w:pStyle w:val="4"/>
        <w:ind w:firstLine="640" w:firstLineChars="200"/>
        <w:rPr>
          <w:rFonts w:hint="eastAsia" w:ascii="黑体" w:eastAsia="黑体" w:cs="Times New Roman"/>
          <w:b w:val="0"/>
          <w:bCs/>
          <w:color w:val="000000"/>
          <w:lang w:val="en-US" w:eastAsia="zh-CN"/>
        </w:rPr>
      </w:pPr>
      <w:bookmarkStart w:id="25" w:name="_Toc12131"/>
      <w:bookmarkStart w:id="26" w:name="_Toc111208498"/>
      <w:r>
        <w:rPr>
          <w:rFonts w:hint="eastAsia" w:ascii="黑体" w:eastAsia="黑体" w:cs="Times New Roman"/>
          <w:b w:val="0"/>
          <w:bCs/>
          <w:color w:val="000000"/>
          <w:lang w:val="en-US" w:eastAsia="zh-CN"/>
        </w:rPr>
        <w:t>三、2022年重点工作完成情况</w:t>
      </w:r>
      <w:bookmarkEnd w:id="25"/>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2022年，县妇联认真贯彻落实市委“一三三三”总体发展战略和全县“项目攻坚突破年”安排部署，紧紧围绕县委、县政府中心工作和全县妇女儿童需求，着力抓好巾帼心向党、巾帼建新功等五大提升行动，圆满完成既定目标任务。</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（一）强化思想政治引领，凝聚妇女听党话跟党走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团结凝聚妇女智慧力量，为实现县委、县政府决策目标而努力奋斗。一是节庆活动有声有色。圆满完成“喜迎党的二十大暨纪念‘三八’妇女节112周年线上主题活动”。二是宣传方式灵活多样。先后</w:t>
      </w:r>
      <w:r>
        <w:rPr>
          <w:rFonts w:hint="default" w:ascii="仿宋" w:hAnsi="仿宋" w:eastAsia="仿宋"/>
          <w:color w:val="000000"/>
          <w:sz w:val="32"/>
          <w:szCs w:val="32"/>
          <w:lang w:val="en-US" w:eastAsia="zh-CN"/>
        </w:rPr>
        <w:t>3</w:t>
      </w:r>
      <w:r>
        <w:rPr>
          <w:rFonts w:hint="eastAsia" w:ascii="仿宋" w:hAnsi="仿宋" w:eastAsia="仿宋"/>
          <w:color w:val="000000"/>
          <w:sz w:val="32"/>
          <w:szCs w:val="32"/>
        </w:rPr>
        <w:t>次派员在全县党员干部培训班上开展男女平等基本国策专题宣讲。三是先进示范常态引领。召开2021年“我在党旗下长大 我爱党爱国爱家”好家风好家训、书法、绘画及征文表扬会</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（二）积极参与乡村振兴，提升妇女创业就业综合能力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围绕全县工作大局和重点项目，搭建平台，创造条件，激励推动全县妇女积极投身米易高质量发展主战场。一是大力开展创业技能培训。二是大力培养选树乡村女能人典型。三是不断深化农村女性综合素质培训。</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（三）深化幸福家庭建设，促进妇女共享美好生活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认真贯彻落实习近平总书记关于“三个注重”重要指示精神，不断优化完善家庭功能，提高家庭幸福指数。一是深化幸福家庭创建内涵。二是拓展健康家庭创建服务。三是强化特殊妇女儿童关爱慰问。四是强化家庭教育宣传培训。</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（四）彰显维权公平正义，有效推动基层社会治理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充分发挥妇联维权帮扶职能作用，切实帮助妇女儿童保护自身合法权益，促进平安米易建设。一是切实加大普法宣传力度。二是充分发挥维权阵地作用。三是开展婚姻家庭纠纷“百日攻坚”行动。</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b/>
          <w:bCs/>
          <w:color w:val="000000"/>
          <w:sz w:val="32"/>
          <w:szCs w:val="32"/>
        </w:rPr>
      </w:pPr>
      <w:r>
        <w:rPr>
          <w:rFonts w:hint="eastAsia" w:ascii="仿宋" w:hAnsi="仿宋" w:eastAsia="仿宋"/>
          <w:b/>
          <w:bCs/>
          <w:color w:val="000000"/>
          <w:sz w:val="32"/>
          <w:szCs w:val="32"/>
        </w:rPr>
        <w:t>（五）深化妇联组织改革，突出政治性先进性群众性</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r>
        <w:rPr>
          <w:rFonts w:hint="eastAsia" w:ascii="仿宋" w:hAnsi="仿宋" w:eastAsia="仿宋"/>
          <w:color w:val="000000"/>
          <w:sz w:val="32"/>
          <w:szCs w:val="32"/>
        </w:rPr>
        <w:t>深化妇联组织建设“破难行动”，筑牢党联系妇女群众的“桥梁”和“纽带”。一是完成妇联改革“攻坚破难”调研相关工作及县妇联挂职主席任期届满改选工作。二是指导易安驾校和彬缘物业等“两新”组织成立妇联并召开首届妇女代表大会。三是完成9个友好型儿童之家升级打造。四是完成新《两纲》编印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olor w:val="000000"/>
          <w:sz w:val="32"/>
          <w:szCs w:val="32"/>
        </w:rPr>
      </w:pPr>
    </w:p>
    <w:p>
      <w:pPr>
        <w:pStyle w:val="2"/>
        <w:rPr>
          <w:rFonts w:hint="eastAsia" w:ascii="方正仿宋_GBK" w:hAnsi="方正仿宋_GBK" w:eastAsia="方正仿宋_GBK" w:cs="方正仿宋_GBK"/>
          <w:b w:val="0"/>
          <w:bCs w:val="0"/>
          <w:color w:val="000000"/>
          <w:sz w:val="33"/>
          <w:szCs w:val="33"/>
        </w:rPr>
      </w:pPr>
    </w:p>
    <w:p>
      <w:pPr>
        <w:rPr>
          <w:rFonts w:hint="eastAsia" w:ascii="方正仿宋_GBK" w:hAnsi="方正仿宋_GBK" w:eastAsia="方正仿宋_GBK" w:cs="方正仿宋_GBK"/>
          <w:b w:val="0"/>
          <w:bCs w:val="0"/>
          <w:color w:val="000000"/>
          <w:sz w:val="33"/>
          <w:szCs w:val="33"/>
        </w:rPr>
      </w:pPr>
      <w:r>
        <w:rPr>
          <w:rFonts w:hint="eastAsia" w:ascii="方正仿宋_GBK" w:hAnsi="方正仿宋_GBK" w:eastAsia="方正仿宋_GBK" w:cs="方正仿宋_GBK"/>
          <w:b w:val="0"/>
          <w:bCs w:val="0"/>
          <w:color w:val="000000"/>
          <w:sz w:val="33"/>
          <w:szCs w:val="33"/>
        </w:rPr>
        <w:br w:type="page"/>
      </w:r>
    </w:p>
    <w:p>
      <w:pPr>
        <w:pStyle w:val="3"/>
        <w:jc w:val="center"/>
        <w:rPr>
          <w:rFonts w:ascii="黑体" w:hAnsi="黑体" w:eastAsia="黑体" w:cs="黑体"/>
        </w:rPr>
      </w:pPr>
      <w:bookmarkStart w:id="27" w:name="_Toc258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w:t>
      </w:r>
      <w:r>
        <w:rPr>
          <w:rFonts w:hint="eastAsia" w:ascii="黑体" w:hAnsi="黑体" w:eastAsia="黑体" w:cs="黑体"/>
          <w:lang w:val="en-US" w:eastAsia="zh-CN"/>
        </w:rPr>
        <w:t>单位</w:t>
      </w:r>
      <w:r>
        <w:rPr>
          <w:rFonts w:hint="eastAsia" w:ascii="黑体" w:hAnsi="黑体" w:eastAsia="黑体" w:cs="黑体"/>
        </w:rPr>
        <w:t>决算情况说明</w:t>
      </w:r>
      <w:bookmarkEnd w:id="24"/>
      <w:bookmarkEnd w:id="26"/>
      <w:bookmarkEnd w:id="27"/>
    </w:p>
    <w:p>
      <w:pPr>
        <w:pStyle w:val="4"/>
        <w:ind w:firstLine="643" w:firstLineChars="200"/>
        <w:rPr>
          <w:rFonts w:ascii="黑体" w:eastAsia="黑体" w:cs="Times New Roman"/>
          <w:bCs w:val="0"/>
          <w:color w:val="000000"/>
        </w:rPr>
      </w:pPr>
      <w:bookmarkStart w:id="28" w:name="_Toc15377205"/>
      <w:bookmarkStart w:id="29" w:name="_Toc17211"/>
      <w:bookmarkStart w:id="30" w:name="_Toc111208499"/>
      <w:r>
        <w:rPr>
          <w:rFonts w:hint="eastAsia" w:ascii="黑体" w:eastAsia="黑体" w:cs="Times New Roman"/>
          <w:bCs w:val="0"/>
          <w:color w:val="000000"/>
        </w:rPr>
        <w:t>一、收入支出决算总体情况说</w:t>
      </w:r>
      <w:bookmarkEnd w:id="28"/>
      <w:r>
        <w:rPr>
          <w:rFonts w:hint="eastAsia" w:ascii="黑体" w:eastAsia="黑体" w:cs="Times New Roman"/>
          <w:bCs w:val="0"/>
          <w:color w:val="000000"/>
        </w:rPr>
        <w:t>明</w:t>
      </w:r>
      <w:bookmarkEnd w:id="29"/>
      <w:bookmarkEnd w:id="30"/>
    </w:p>
    <w:p>
      <w:pPr>
        <w:spacing w:line="600" w:lineRule="exact"/>
        <w:ind w:firstLine="640" w:firstLineChars="200"/>
        <w:rPr>
          <w:rFonts w:hint="eastAsia" w:ascii="仿宋_GB2312" w:eastAsia="仿宋"/>
          <w:color w:val="000000"/>
          <w:sz w:val="28"/>
          <w:szCs w:val="28"/>
          <w:lang w:eastAsia="zh-CN"/>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150.70</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增加27.63</w:t>
      </w:r>
      <w:r>
        <w:rPr>
          <w:rFonts w:hint="eastAsia" w:ascii="仿宋" w:hAnsi="仿宋" w:eastAsia="仿宋"/>
          <w:color w:val="000000"/>
          <w:sz w:val="32"/>
          <w:szCs w:val="32"/>
        </w:rPr>
        <w:t>万元，</w:t>
      </w:r>
      <w:r>
        <w:rPr>
          <w:rFonts w:ascii="仿宋" w:hAnsi="仿宋" w:eastAsia="仿宋"/>
          <w:color w:val="000000"/>
          <w:sz w:val="32"/>
          <w:szCs w:val="32"/>
        </w:rPr>
        <w:t>增加22.45</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主要变动原因是工作任务增加</w:t>
      </w:r>
      <w:r>
        <w:rPr>
          <w:rFonts w:hint="eastAsia" w:ascii="仿宋" w:hAnsi="仿宋" w:eastAsia="仿宋"/>
          <w:color w:val="000000"/>
          <w:sz w:val="32"/>
          <w:u w:color="auto"/>
          <w:lang w:eastAsia="zh-CN"/>
        </w:rPr>
        <w:t>。</w:t>
      </w:r>
    </w:p>
    <w:p>
      <w:pPr>
        <w:pStyle w:val="6"/>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pPr>
      <w:r>
        <w:rPr>
          <w:rFonts w:hint="eastAsia" w:ascii="仿宋" w:hAnsi="仿宋" w:eastAsia="仿宋"/>
          <w:color w:val="000000"/>
          <w:sz w:val="32"/>
          <w:szCs w:val="32"/>
        </w:rPr>
        <w:t>（图1：收、支决算总计变动情况图）</w:t>
      </w:r>
    </w:p>
    <w:p>
      <w:pPr>
        <w:pStyle w:val="4"/>
        <w:ind w:firstLine="643" w:firstLineChars="200"/>
        <w:rPr>
          <w:rFonts w:ascii="黑体" w:eastAsia="黑体" w:cs="Times New Roman"/>
          <w:bCs w:val="0"/>
          <w:color w:val="000000"/>
        </w:rPr>
      </w:pPr>
      <w:bookmarkStart w:id="31" w:name="_Toc15377206"/>
      <w:bookmarkStart w:id="32" w:name="_Toc111208500"/>
      <w:bookmarkStart w:id="33" w:name="_Toc7750"/>
      <w:r>
        <w:rPr>
          <w:rFonts w:hint="eastAsia" w:ascii="黑体" w:eastAsia="黑体" w:cs="Times New Roman"/>
          <w:bCs w:val="0"/>
          <w:color w:val="000000"/>
        </w:rPr>
        <w:t>二、收入决算情况说明</w:t>
      </w:r>
      <w:bookmarkEnd w:id="31"/>
      <w:bookmarkEnd w:id="32"/>
      <w:bookmarkEnd w:id="3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年本年收入合计138.66万元</w:t>
      </w:r>
      <w:r>
        <w:rPr>
          <w:rFonts w:hint="eastAsia" w:ascii="仿宋" w:hAnsi="仿宋" w:eastAsia="仿宋"/>
          <w:color w:val="000000"/>
          <w:sz w:val="32"/>
          <w:szCs w:val="32"/>
          <w:lang w:val="en-US" w:eastAsia="zh-CN"/>
        </w:rPr>
        <w:t>，其中:一般公共预算财政拨款收入138.66万元，占100.00%</w:t>
      </w:r>
      <w:r>
        <w:rPr>
          <w:rFonts w:hint="eastAsia" w:ascii="仿宋" w:hAnsi="仿宋" w:eastAsia="仿宋"/>
          <w:color w:val="000000"/>
          <w:sz w:val="32"/>
          <w:szCs w:val="32"/>
        </w:rPr>
        <w:t>。</w:t>
      </w:r>
    </w:p>
    <w:p>
      <w:pPr>
        <w:pStyle w:val="14"/>
        <w:ind w:left="1060" w:hanging="640"/>
        <w:jc w:val="center"/>
        <w:rPr>
          <w:rFonts w:hint="eastAsia"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pPr>
      <w:r>
        <w:rPr>
          <w:rFonts w:hint="eastAsia" w:ascii="仿宋" w:hAnsi="仿宋" w:eastAsia="仿宋"/>
          <w:color w:val="000000"/>
          <w:sz w:val="32"/>
          <w:szCs w:val="32"/>
        </w:rPr>
        <w:t>（图2：收入决算结构图）</w:t>
      </w:r>
    </w:p>
    <w:p>
      <w:pPr>
        <w:pStyle w:val="4"/>
        <w:ind w:firstLine="643" w:firstLineChars="200"/>
        <w:rPr>
          <w:rFonts w:ascii="黑体" w:eastAsia="黑体" w:cs="Times New Roman"/>
          <w:bCs w:val="0"/>
          <w:color w:val="000000"/>
        </w:rPr>
      </w:pPr>
      <w:bookmarkStart w:id="34" w:name="_Toc4893"/>
      <w:bookmarkStart w:id="35" w:name="_Toc111208501"/>
      <w:bookmarkStart w:id="36" w:name="_Toc15377207"/>
      <w:r>
        <w:rPr>
          <w:rFonts w:hint="eastAsia" w:ascii="黑体" w:eastAsia="黑体" w:cs="Times New Roman"/>
          <w:bCs w:val="0"/>
          <w:color w:val="000000"/>
        </w:rPr>
        <w:t>三、支出决算情况说明</w:t>
      </w:r>
      <w:bookmarkEnd w:id="34"/>
      <w:bookmarkEnd w:id="35"/>
      <w:bookmarkEnd w:id="36"/>
    </w:p>
    <w:p>
      <w:pPr>
        <w:pStyle w:val="6"/>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150.70</w:t>
      </w:r>
      <w:r>
        <w:rPr>
          <w:rFonts w:ascii="仿宋" w:hAnsi="仿宋" w:eastAsia="仿宋"/>
          <w:color w:val="000000"/>
          <w:sz w:val="32"/>
          <w:szCs w:val="32"/>
        </w:rPr>
        <w:t>万元</w:t>
      </w:r>
      <w:r>
        <w:rPr>
          <w:rFonts w:hint="eastAsia" w:ascii="仿宋" w:hAnsi="仿宋" w:eastAsia="仿宋"/>
          <w:color w:val="000000"/>
          <w:sz w:val="32"/>
          <w:szCs w:val="32"/>
          <w:lang w:val="en-US" w:eastAsia="zh-CN"/>
        </w:rPr>
        <w:t>，其中:基本支出120.54万元，占79.98%；项目支出30.17万元，占20.02%</w:t>
      </w:r>
      <w:r>
        <w:rPr>
          <w:rFonts w:ascii="仿宋" w:hAnsi="仿宋" w:eastAsia="仿宋"/>
          <w:color w:val="000000"/>
          <w:sz w:val="32"/>
          <w:szCs w:val="32"/>
        </w:rPr>
        <w:t>。</w:t>
      </w:r>
    </w:p>
    <w:p>
      <w:pPr>
        <w:jc w:val="center"/>
        <w:rPr>
          <w:rFonts w:hint="eastAsia"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（图3：支出决算结构图）</w:t>
      </w:r>
    </w:p>
    <w:p>
      <w:pPr>
        <w:pStyle w:val="6"/>
      </w:pPr>
    </w:p>
    <w:p>
      <w:pPr>
        <w:pStyle w:val="6"/>
      </w:pPr>
    </w:p>
    <w:p>
      <w:pPr>
        <w:pStyle w:val="4"/>
        <w:ind w:firstLine="643" w:firstLineChars="200"/>
        <w:rPr>
          <w:rFonts w:ascii="黑体" w:eastAsia="黑体" w:cs="Times New Roman"/>
          <w:bCs w:val="0"/>
          <w:color w:val="000000"/>
        </w:rPr>
      </w:pPr>
      <w:bookmarkStart w:id="37" w:name="_Toc111208502"/>
      <w:bookmarkStart w:id="38" w:name="_Toc15377208"/>
      <w:bookmarkStart w:id="39" w:name="_Toc12707"/>
      <w:r>
        <w:rPr>
          <w:rFonts w:hint="eastAsia" w:ascii="黑体" w:eastAsia="黑体" w:cs="Times New Roman"/>
          <w:bCs w:val="0"/>
          <w:color w:val="000000"/>
        </w:rPr>
        <w:t>四、财政拨款收入支出决算总体情况说明</w:t>
      </w:r>
      <w:bookmarkEnd w:id="37"/>
      <w:bookmarkEnd w:id="38"/>
      <w:bookmarkEnd w:id="39"/>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2022</w:t>
      </w:r>
      <w:r>
        <w:rPr>
          <w:rFonts w:ascii="仿宋" w:hAnsi="仿宋" w:eastAsia="仿宋"/>
          <w:color w:val="000000"/>
          <w:sz w:val="32"/>
          <w:u w:color="auto"/>
        </w:rPr>
        <w:t>年财政拨款收、支总计150.70万元。与2021年相比，财政拨款收、支总计各增加27.63万元，增加22.45 %。主要变动原因是工作任务增加</w:t>
      </w:r>
      <w:r>
        <w:rPr>
          <w:rFonts w:hint="eastAsia" w:ascii="仿宋" w:hAnsi="仿宋" w:eastAsia="仿宋"/>
          <w:color w:val="000000"/>
          <w:sz w:val="32"/>
          <w:u w:color="auto"/>
          <w:lang w:eastAsia="zh-CN"/>
        </w:rPr>
        <w:t>。</w:t>
      </w:r>
    </w:p>
    <w:p>
      <w:pPr>
        <w:pStyle w:val="6"/>
        <w:ind w:firstLine="0"/>
      </w:pPr>
    </w:p>
    <w:p>
      <w:pPr>
        <w:pStyle w:val="6"/>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_GB2312" w:hAnsi="仿宋" w:eastAsia="仿宋_GB2312"/>
          <w:color w:val="000000"/>
          <w:sz w:val="32"/>
          <w:szCs w:val="32"/>
        </w:rPr>
      </w:pPr>
      <w:r>
        <w:rPr>
          <w:rFonts w:hint="eastAsia" w:ascii="仿宋" w:hAnsi="仿宋" w:eastAsia="仿宋"/>
          <w:color w:val="000000"/>
          <w:sz w:val="32"/>
          <w:szCs w:val="32"/>
        </w:rPr>
        <w:t>（图4：财政拨款收、支决算总计变动情况）</w:t>
      </w:r>
    </w:p>
    <w:p>
      <w:pPr>
        <w:pStyle w:val="6"/>
        <w:jc w:val="center"/>
      </w:pPr>
    </w:p>
    <w:p>
      <w:pPr>
        <w:pStyle w:val="4"/>
        <w:ind w:firstLine="643" w:firstLineChars="200"/>
        <w:rPr>
          <w:rFonts w:ascii="黑体" w:eastAsia="黑体" w:cs="Times New Roman"/>
          <w:bCs w:val="0"/>
          <w:color w:val="000000"/>
        </w:rPr>
      </w:pPr>
      <w:bookmarkStart w:id="40" w:name="_Toc15377209"/>
      <w:bookmarkStart w:id="41" w:name="_Toc111208503"/>
      <w:bookmarkStart w:id="42" w:name="_Toc29214"/>
      <w:r>
        <w:rPr>
          <w:rFonts w:hint="eastAsia" w:ascii="黑体" w:eastAsia="黑体" w:cs="Times New Roman"/>
          <w:bCs w:val="0"/>
          <w:color w:val="000000"/>
        </w:rPr>
        <w:t>五、一般公共预算财政拨款支出决算情况说</w:t>
      </w:r>
      <w:bookmarkEnd w:id="40"/>
      <w:r>
        <w:rPr>
          <w:rFonts w:hint="eastAsia" w:ascii="黑体" w:eastAsia="黑体" w:cs="Times New Roman"/>
          <w:bCs w:val="0"/>
          <w:color w:val="000000"/>
        </w:rPr>
        <w:t>明</w:t>
      </w:r>
      <w:bookmarkEnd w:id="41"/>
      <w:bookmarkEnd w:id="42"/>
    </w:p>
    <w:p>
      <w:pPr>
        <w:spacing w:line="600" w:lineRule="exact"/>
        <w:ind w:firstLine="643" w:firstLineChars="200"/>
        <w:outlineLvl w:val="2"/>
        <w:rPr>
          <w:rFonts w:ascii="仿宋" w:hAnsi="仿宋" w:eastAsia="仿宋"/>
          <w:b/>
          <w:color w:val="000000"/>
          <w:sz w:val="32"/>
          <w:szCs w:val="32"/>
        </w:rPr>
      </w:pPr>
      <w:bookmarkStart w:id="43" w:name="_Toc15377210"/>
      <w:r>
        <w:rPr>
          <w:rFonts w:hint="eastAsia" w:ascii="仿宋" w:hAnsi="仿宋" w:eastAsia="仿宋"/>
          <w:b/>
          <w:color w:val="000000"/>
          <w:sz w:val="32"/>
          <w:szCs w:val="32"/>
        </w:rPr>
        <w:t>（一）一般公共预算财政拨款支出决算总体情况</w:t>
      </w:r>
      <w:bookmarkEnd w:id="43"/>
    </w:p>
    <w:p>
      <w:pPr>
        <w:spacing w:line="600" w:lineRule="exact"/>
        <w:ind w:firstLine="640" w:firstLineChars="200"/>
        <w:rPr>
          <w:rFonts w:hint="eastAsia" w:ascii="仿宋_GB2312" w:hAnsi="仿宋" w:eastAsia="仿宋"/>
          <w:color w:val="000000"/>
          <w:sz w:val="32"/>
          <w:szCs w:val="32"/>
          <w:lang w:eastAsia="zh-CN"/>
        </w:rPr>
      </w:pPr>
      <w:bookmarkStart w:id="44"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年一般公共预算财政拨款支出150.70</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2021相比，一般公共预算财政拨款增加27.63</w:t>
      </w:r>
      <w:r>
        <w:rPr>
          <w:rFonts w:hint="eastAsia" w:ascii="仿宋" w:hAnsi="仿宋" w:eastAsia="仿宋"/>
          <w:color w:val="000000"/>
          <w:sz w:val="32"/>
          <w:szCs w:val="32"/>
        </w:rPr>
        <w:t>万元，</w:t>
      </w:r>
      <w:r>
        <w:rPr>
          <w:rFonts w:ascii="仿宋" w:hAnsi="仿宋" w:eastAsia="仿宋"/>
          <w:color w:val="000000"/>
          <w:sz w:val="32"/>
          <w:u w:color="auto"/>
        </w:rPr>
        <w:t>增加22.45</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主要变动原因是工作任务增加</w:t>
      </w:r>
      <w:r>
        <w:rPr>
          <w:rFonts w:hint="eastAsia" w:ascii="仿宋" w:hAnsi="仿宋" w:eastAsia="仿宋"/>
          <w:color w:val="000000"/>
          <w:sz w:val="32"/>
          <w:u w:color="auto"/>
          <w:lang w:eastAsia="zh-CN"/>
        </w:rPr>
        <w:t>。</w:t>
      </w:r>
      <w:bookmarkStart w:id="91" w:name="_GoBack"/>
      <w:bookmarkEnd w:id="91"/>
    </w:p>
    <w:p>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4"/>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年一般公共预算财政拨款支出150.70</w:t>
      </w:r>
      <w:r>
        <w:rPr>
          <w:rFonts w:hint="eastAsia" w:ascii="仿宋" w:hAnsi="仿宋" w:eastAsia="仿宋"/>
          <w:color w:val="000000"/>
          <w:sz w:val="32"/>
          <w:szCs w:val="32"/>
        </w:rPr>
        <w:t xml:space="preserve">万元，主要用于以下方面: </w:t>
      </w:r>
      <w:r>
        <w:rPr>
          <w:rFonts w:ascii="仿宋" w:hAnsi="仿宋" w:eastAsia="仿宋"/>
          <w:color w:val="000000"/>
          <w:sz w:val="32"/>
          <w:u w:color="auto"/>
        </w:rPr>
        <w:t>一般公共服务支出106.72万元，占70.82%；社会保障和就业支出11.80万元，占7.83%；卫生健康支出10.41万元，占6.91%；农林水支出12.04万元，占7.99%；住房保障支出9.73万元，占6.45%。</w:t>
      </w:r>
    </w:p>
    <w:p>
      <w:pPr>
        <w:pStyle w:val="6"/>
      </w:pPr>
      <w:bookmarkStart w:id="45" w:name="_Toc15377212"/>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5"/>
    </w:p>
    <w:p>
      <w:pPr>
        <w:spacing w:line="600" w:lineRule="exact"/>
        <w:ind w:firstLine="640"/>
        <w:rPr>
          <w:rFonts w:ascii="仿宋" w:hAnsi="仿宋" w:eastAsia="仿宋"/>
          <w:color w:val="000000"/>
          <w:sz w:val="32"/>
          <w:szCs w:val="32"/>
        </w:rPr>
      </w:pPr>
      <w:bookmarkStart w:id="46" w:name="_Toc15377444"/>
      <w:bookmarkStart w:id="47" w:name="_Toc15378460"/>
      <w:bookmarkStart w:id="48"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年一般公共预算支出决算数为150.70</w:t>
      </w:r>
      <w:r>
        <w:rPr>
          <w:rFonts w:hint="eastAsia" w:ascii="仿宋" w:hAnsi="仿宋" w:eastAsia="仿宋"/>
          <w:color w:val="000000"/>
          <w:sz w:val="32"/>
          <w:szCs w:val="32"/>
        </w:rPr>
        <w:t>万元，完成预算100%。其中：</w:t>
      </w:r>
      <w:bookmarkEnd w:id="46"/>
      <w:bookmarkEnd w:id="47"/>
      <w:bookmarkEnd w:id="4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1.一般公共服务支出（类）群众团体事务（款）行政运行（项）支出决算53.10万元，完成预算100%。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2.一般公共服务支出（类）群众团体事务（款）一般行政管理事务（项）支出决算2.86万元，完成预算100%。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3.一般公共服务支出（类）群众团体事务（款）事业运行（项）支出决算35.49万元，完成预算100%。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4.一般公共服务支出（类）群众团体事务（款）其他群众团体事务支出（项）支出决算15.27万元，完成预算100%。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5.社会保障和就业支出（类）行政事业单位养老支出（款）行政单位离退休（项）支出决算3.32万元，完成预算100%。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6.社会保障和就业支出（类）行政事业单位养老支出（款）机关事业单位基本养老保险缴费支出（项）支出决算7.88万元，完成预算100%。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7.社会保障和就业支出（类）其他社会保障和就业支出（款）其他社会保障和就业支出（项）支出决算0.60万元，完成预算100%。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8.卫生健康支出（类）行政事业单位医疗（款）行政单位医疗（项）支出决算3.43万元，完成预算100%。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9.卫生健康支出（类）行政事业单位医疗（款）事业单位医疗（项）支出决算2.72万元，完成预算100%。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10.卫生健康支出（类）行政事业单位医疗（款）公务员医疗补助（项）支出决算4.26万元，完成预算100%。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11.农林水支出（类）其他农林水支出（款）其他农林水支出（项）支出决算12.04万元，完成预算100%。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12.住房保障支出（类）住房改革支出（款）住房公积金（项）支出决算9.73万元，完成预算100%。</w:t>
      </w:r>
    </w:p>
    <w:p>
      <w:pPr>
        <w:pStyle w:val="4"/>
        <w:ind w:firstLine="643" w:firstLineChars="200"/>
        <w:rPr>
          <w:rFonts w:ascii="黑体" w:eastAsia="黑体" w:cs="Times New Roman"/>
          <w:b w:val="0"/>
          <w:color w:val="000000"/>
        </w:rPr>
      </w:pPr>
      <w:bookmarkStart w:id="49" w:name="_Toc15377214"/>
      <w:bookmarkStart w:id="50" w:name="_Toc25329"/>
      <w:bookmarkStart w:id="51" w:name="_Toc111208504"/>
      <w:r>
        <w:rPr>
          <w:rFonts w:hint="eastAsia" w:ascii="黑体" w:eastAsia="黑体" w:cs="Times New Roman"/>
          <w:bCs w:val="0"/>
          <w:color w:val="000000"/>
        </w:rPr>
        <w:t>六、一般公共预算财政拨款基本支出决算情况说</w:t>
      </w:r>
      <w:bookmarkEnd w:id="49"/>
      <w:r>
        <w:rPr>
          <w:rFonts w:hint="eastAsia" w:ascii="黑体" w:eastAsia="黑体" w:cs="Times New Roman"/>
          <w:bCs w:val="0"/>
          <w:color w:val="000000"/>
        </w:rPr>
        <w:t>明</w:t>
      </w:r>
      <w:bookmarkEnd w:id="50"/>
      <w:bookmarkEnd w:id="5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年一般公共预算财政拨款基本支出120.54</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109.89</w:t>
      </w:r>
      <w:r>
        <w:rPr>
          <w:rFonts w:hint="eastAsia" w:ascii="仿宋" w:hAnsi="仿宋" w:eastAsia="仿宋"/>
          <w:color w:val="000000"/>
          <w:sz w:val="32"/>
          <w:szCs w:val="32"/>
        </w:rPr>
        <w:t>万元，主要包括：</w:t>
      </w:r>
      <w:r>
        <w:rPr>
          <w:rFonts w:ascii="仿宋" w:hAnsi="仿宋" w:eastAsia="仿宋"/>
          <w:color w:val="000000"/>
          <w:sz w:val="32"/>
          <w:u w:color="auto"/>
        </w:rPr>
        <w:t>基本工资27.18万元、津贴补贴34.31万元、奖金5.42万元、绩效工资11.43万元、机关事业单位基本养老保险缴费7.88万元、职工基本医疗保险缴费6.15万元、公务员医疗补助缴费4.26万元、其他社会保障缴费0.60万元、住房公积金9.73万元、生活补助2.70万元、医疗费补助0.24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10.64</w:t>
      </w:r>
      <w:r>
        <w:rPr>
          <w:rFonts w:hint="eastAsia" w:ascii="仿宋" w:hAnsi="仿宋" w:eastAsia="仿宋"/>
          <w:color w:val="000000"/>
          <w:sz w:val="32"/>
          <w:szCs w:val="32"/>
        </w:rPr>
        <w:t>万元，主要包括：</w:t>
      </w:r>
      <w:r>
        <w:rPr>
          <w:rFonts w:ascii="仿宋" w:hAnsi="仿宋" w:eastAsia="仿宋"/>
          <w:color w:val="000000"/>
          <w:sz w:val="32"/>
          <w:u w:color="auto"/>
        </w:rPr>
        <w:t>办公费0.61万元、水费0.25万元、邮电费0.62万元、差旅费0.70万元、公务接待费0.24万元、委托业务费1.27万元、福利费1.31万元、其他交通费用2.97万元、其他商品和服务支出2.68万元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2" w:name="_Toc111208505"/>
      <w:bookmarkStart w:id="53" w:name="_Toc15377215"/>
      <w:bookmarkStart w:id="54" w:name="_Toc9823"/>
      <w:r>
        <w:rPr>
          <w:rFonts w:hint="eastAsia" w:ascii="黑体" w:eastAsia="黑体" w:cs="Times New Roman"/>
          <w:bCs w:val="0"/>
          <w:color w:val="000000"/>
        </w:rPr>
        <w:t>七、“三公”经费财政拨款支出决算情况说明</w:t>
      </w:r>
      <w:bookmarkEnd w:id="52"/>
      <w:bookmarkEnd w:id="53"/>
      <w:bookmarkEnd w:id="54"/>
    </w:p>
    <w:p>
      <w:pPr>
        <w:spacing w:line="600" w:lineRule="exact"/>
        <w:ind w:firstLine="643" w:firstLineChars="200"/>
        <w:outlineLvl w:val="2"/>
        <w:rPr>
          <w:rFonts w:ascii="仿宋" w:hAnsi="仿宋" w:eastAsia="仿宋"/>
          <w:b/>
          <w:color w:val="000000"/>
          <w:sz w:val="32"/>
          <w:szCs w:val="32"/>
        </w:rPr>
      </w:pPr>
      <w:bookmarkStart w:id="55" w:name="_Toc15377216"/>
      <w:r>
        <w:rPr>
          <w:rFonts w:hint="eastAsia" w:ascii="仿宋" w:hAnsi="仿宋" w:eastAsia="仿宋"/>
          <w:b/>
          <w:color w:val="000000"/>
          <w:sz w:val="32"/>
          <w:szCs w:val="32"/>
        </w:rPr>
        <w:t>（一）“三公”经费财政拨款支出决算总体情况说明</w:t>
      </w:r>
      <w:bookmarkEnd w:id="5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年“三公”经费财政拨款支出决算为0.24</w:t>
      </w:r>
      <w:r>
        <w:rPr>
          <w:rFonts w:hint="eastAsia" w:ascii="仿宋" w:hAnsi="仿宋" w:eastAsia="仿宋"/>
          <w:color w:val="000000"/>
          <w:sz w:val="32"/>
          <w:szCs w:val="32"/>
        </w:rPr>
        <w:t>万元，完成预算</w:t>
      </w:r>
      <w:r>
        <w:rPr>
          <w:rFonts w:ascii="仿宋" w:hAnsi="仿宋" w:eastAsia="仿宋"/>
          <w:color w:val="000000"/>
          <w:sz w:val="32"/>
          <w:u w:color="auto"/>
        </w:rPr>
        <w:t>100.00</w:t>
      </w:r>
      <w:r>
        <w:rPr>
          <w:rFonts w:hint="eastAsia" w:ascii="仿宋" w:hAnsi="仿宋" w:eastAsia="仿宋"/>
          <w:color w:val="000000"/>
          <w:sz w:val="32"/>
          <w:szCs w:val="32"/>
        </w:rPr>
        <w:t>%。</w:t>
      </w:r>
      <w:bookmarkStart w:id="56"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年“三公”经费财政拨款支出0.24</w:t>
      </w:r>
      <w:r>
        <w:rPr>
          <w:rFonts w:hint="eastAsia" w:ascii="仿宋" w:hAnsi="仿宋" w:eastAsia="仿宋"/>
          <w:color w:val="000000"/>
          <w:sz w:val="32"/>
          <w:szCs w:val="32"/>
        </w:rPr>
        <w:t>万元，因公出国（境）费支出决算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0.24</w:t>
      </w:r>
      <w:r>
        <w:rPr>
          <w:rFonts w:hint="eastAsia" w:ascii="仿宋" w:hAnsi="仿宋" w:eastAsia="仿宋"/>
          <w:color w:val="000000"/>
          <w:sz w:val="32"/>
          <w:szCs w:val="32"/>
        </w:rPr>
        <w:t>万元，占</w:t>
      </w:r>
      <w:r>
        <w:rPr>
          <w:rFonts w:ascii="仿宋" w:hAnsi="仿宋" w:eastAsia="仿宋"/>
          <w:color w:val="000000"/>
          <w:sz w:val="32"/>
          <w:u w:color="auto"/>
        </w:rPr>
        <w:t>100.00</w:t>
      </w:r>
      <w:r>
        <w:rPr>
          <w:rFonts w:hint="eastAsia" w:ascii="仿宋" w:hAnsi="仿宋" w:eastAsia="仿宋"/>
          <w:color w:val="000000"/>
          <w:sz w:val="32"/>
          <w:szCs w:val="32"/>
        </w:rPr>
        <w:t>%。具体情况如下：</w:t>
      </w:r>
    </w:p>
    <w:p>
      <w:pPr>
        <w:pStyle w:val="6"/>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pPr>
      <w:r>
        <w:rPr>
          <w:rFonts w:hint="eastAsia" w:ascii="仿宋" w:hAnsi="仿宋" w:eastAsia="仿宋"/>
          <w:color w:val="000000"/>
          <w:sz w:val="32"/>
          <w:szCs w:val="32"/>
        </w:rPr>
        <w:t>（图7：“三公”经费财政拨款支出结构）</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2022</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0.24万元，完成预算100.00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2021年减少0.07</w:t>
      </w:r>
      <w:r>
        <w:rPr>
          <w:rFonts w:hint="eastAsia" w:ascii="仿宋" w:hAnsi="仿宋" w:eastAsia="仿宋"/>
          <w:color w:val="000000"/>
          <w:sz w:val="32"/>
          <w:szCs w:val="32"/>
        </w:rPr>
        <w:t>万元，</w:t>
      </w:r>
      <w:r>
        <w:rPr>
          <w:rFonts w:ascii="仿宋" w:hAnsi="仿宋" w:eastAsia="仿宋"/>
          <w:color w:val="000000"/>
          <w:sz w:val="32"/>
          <w:u w:color="auto"/>
        </w:rPr>
        <w:t>减少28.42</w:t>
      </w:r>
      <w:r>
        <w:rPr>
          <w:rFonts w:ascii="仿宋" w:hAnsi="仿宋" w:eastAsia="仿宋"/>
          <w:color w:val="000000"/>
          <w:sz w:val="32"/>
          <w:szCs w:val="32"/>
        </w:rPr>
        <w:t>%</w:t>
      </w:r>
      <w:r>
        <w:rPr>
          <w:rFonts w:hint="eastAsia" w:ascii="仿宋" w:hAnsi="仿宋" w:eastAsia="仿宋"/>
          <w:color w:val="000000"/>
          <w:sz w:val="32"/>
          <w:szCs w:val="32"/>
        </w:rPr>
        <w:t>。</w:t>
      </w:r>
      <w:bookmarkStart w:id="57" w:name="_Toc15377218"/>
      <w:r>
        <w:rPr>
          <w:rFonts w:hint="eastAsia" w:ascii="仿宋" w:hAnsi="仿宋" w:eastAsia="仿宋"/>
          <w:color w:val="000000"/>
          <w:sz w:val="32"/>
          <w:szCs w:val="32"/>
        </w:rPr>
        <w:t xml:space="preserve">主要原因是压缩三公经费开支。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0.24万元。国内公务接待1批次，14人次（不包括陪同人员），共计支出0.24万元。</w:t>
      </w:r>
    </w:p>
    <w:p>
      <w:pPr>
        <w:pStyle w:val="6"/>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8" w:name="_Toc21587"/>
      <w:bookmarkStart w:id="59" w:name="_Toc111208506"/>
      <w:r>
        <w:rPr>
          <w:rFonts w:hint="eastAsia" w:ascii="黑体" w:eastAsia="黑体" w:cs="Times New Roman"/>
          <w:bCs w:val="0"/>
          <w:color w:val="000000"/>
        </w:rPr>
        <w:t>八、政府性基金预算支出决算情况说明</w:t>
      </w:r>
      <w:bookmarkEnd w:id="57"/>
      <w:bookmarkEnd w:id="58"/>
      <w:bookmarkEnd w:id="59"/>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60" w:name="_Toc15377219"/>
    </w:p>
    <w:p>
      <w:pPr>
        <w:pStyle w:val="4"/>
        <w:ind w:firstLine="643" w:firstLineChars="200"/>
        <w:rPr>
          <w:rFonts w:ascii="黑体" w:eastAsia="黑体" w:cs="Times New Roman"/>
          <w:bCs w:val="0"/>
          <w:color w:val="000000"/>
        </w:rPr>
      </w:pPr>
      <w:bookmarkStart w:id="61" w:name="_Toc29677"/>
      <w:bookmarkStart w:id="62" w:name="_Toc111208507"/>
      <w:r>
        <w:rPr>
          <w:rFonts w:hint="eastAsia" w:ascii="黑体" w:eastAsia="黑体" w:cs="Times New Roman"/>
          <w:bCs w:val="0"/>
          <w:color w:val="000000"/>
        </w:rPr>
        <w:t>九、国有资本经营预算支出决算情况说明</w:t>
      </w:r>
      <w:bookmarkEnd w:id="60"/>
      <w:bookmarkEnd w:id="61"/>
      <w:bookmarkEnd w:id="62"/>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3" w:name="_Toc15377221"/>
      <w:bookmarkStart w:id="64" w:name="_Toc111208508"/>
      <w:bookmarkStart w:id="65" w:name="_Toc8756"/>
      <w:r>
        <w:rPr>
          <w:rFonts w:hint="eastAsia" w:ascii="黑体" w:eastAsia="黑体" w:cs="Times New Roman"/>
          <w:bCs w:val="0"/>
          <w:color w:val="000000"/>
        </w:rPr>
        <w:t>十、其他重要事项的情况说明</w:t>
      </w:r>
      <w:bookmarkEnd w:id="63"/>
      <w:bookmarkEnd w:id="64"/>
      <w:bookmarkEnd w:id="65"/>
    </w:p>
    <w:p>
      <w:pPr>
        <w:spacing w:line="600" w:lineRule="exact"/>
        <w:ind w:firstLine="643" w:firstLineChars="200"/>
        <w:outlineLvl w:val="2"/>
        <w:rPr>
          <w:rFonts w:ascii="仿宋" w:hAnsi="仿宋" w:eastAsia="仿宋"/>
          <w:b/>
          <w:color w:val="000000"/>
          <w:sz w:val="32"/>
          <w:szCs w:val="32"/>
        </w:rPr>
      </w:pPr>
      <w:bookmarkStart w:id="66" w:name="_Toc15377222"/>
      <w:r>
        <w:rPr>
          <w:rFonts w:hint="eastAsia" w:ascii="仿宋" w:hAnsi="仿宋" w:eastAsia="仿宋"/>
          <w:b/>
          <w:color w:val="000000"/>
          <w:sz w:val="32"/>
          <w:szCs w:val="32"/>
        </w:rPr>
        <w:t>（一）机关运行经费支出情况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年，机关运行经费支出10.64</w:t>
      </w:r>
      <w:r>
        <w:rPr>
          <w:rFonts w:hint="eastAsia" w:ascii="仿宋" w:hAnsi="仿宋" w:eastAsia="仿宋"/>
          <w:color w:val="000000"/>
          <w:sz w:val="32"/>
          <w:szCs w:val="32"/>
        </w:rPr>
        <w:t>万元，比</w:t>
      </w:r>
      <w:r>
        <w:rPr>
          <w:rFonts w:ascii="仿宋" w:hAnsi="仿宋" w:eastAsia="仿宋"/>
          <w:color w:val="000000"/>
          <w:sz w:val="32"/>
          <w:u w:color="auto"/>
        </w:rPr>
        <w:t>2021年增加2.72</w:t>
      </w:r>
      <w:r>
        <w:rPr>
          <w:rFonts w:hint="eastAsia" w:ascii="仿宋" w:hAnsi="仿宋" w:eastAsia="仿宋"/>
          <w:color w:val="000000"/>
          <w:sz w:val="32"/>
          <w:szCs w:val="32"/>
        </w:rPr>
        <w:t>万元，</w:t>
      </w:r>
      <w:r>
        <w:rPr>
          <w:rFonts w:ascii="仿宋" w:hAnsi="仿宋" w:eastAsia="仿宋"/>
          <w:color w:val="000000"/>
          <w:sz w:val="32"/>
          <w:u w:color="auto"/>
        </w:rPr>
        <w:t xml:space="preserve">增加25.51 %。主要原因是工作任务增加、绩效考核增加。 </w:t>
      </w:r>
    </w:p>
    <w:p>
      <w:pPr>
        <w:spacing w:line="600" w:lineRule="exact"/>
        <w:ind w:firstLine="643" w:firstLineChars="200"/>
        <w:outlineLvl w:val="2"/>
        <w:rPr>
          <w:rFonts w:ascii="仿宋" w:hAnsi="仿宋" w:eastAsia="仿宋"/>
          <w:b/>
          <w:color w:val="000000"/>
          <w:sz w:val="32"/>
          <w:szCs w:val="32"/>
        </w:rPr>
      </w:pPr>
      <w:bookmarkStart w:id="67" w:name="_Toc15377223"/>
      <w:r>
        <w:rPr>
          <w:rFonts w:hint="eastAsia" w:ascii="仿宋" w:hAnsi="仿宋" w:eastAsia="仿宋"/>
          <w:b/>
          <w:color w:val="000000"/>
          <w:sz w:val="32"/>
          <w:szCs w:val="32"/>
        </w:rPr>
        <w:t>（二）政府采购支出情况</w:t>
      </w:r>
      <w:bookmarkEnd w:id="67"/>
      <w:r>
        <w:rPr>
          <w:rFonts w:hint="eastAsia" w:ascii="仿宋" w:hAnsi="仿宋" w:eastAsia="仿宋"/>
          <w:b/>
          <w:color w:val="000000"/>
          <w:sz w:val="32"/>
          <w:szCs w:val="32"/>
        </w:rPr>
        <w:t>(机构运行信息表)</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pStyle w:val="2"/>
      </w:pPr>
    </w:p>
    <w:p>
      <w:pPr>
        <w:spacing w:line="600" w:lineRule="exact"/>
        <w:ind w:firstLine="643" w:firstLineChars="200"/>
        <w:outlineLvl w:val="2"/>
        <w:rPr>
          <w:rFonts w:ascii="仿宋" w:hAnsi="仿宋" w:eastAsia="仿宋"/>
          <w:b/>
          <w:color w:val="000000"/>
          <w:sz w:val="32"/>
          <w:szCs w:val="32"/>
        </w:rPr>
      </w:pPr>
      <w:bookmarkStart w:id="68" w:name="_Toc15377224"/>
      <w:r>
        <w:rPr>
          <w:rFonts w:hint="eastAsia" w:ascii="仿宋" w:hAnsi="仿宋" w:eastAsia="仿宋"/>
          <w:b/>
          <w:color w:val="000000"/>
          <w:sz w:val="32"/>
          <w:szCs w:val="32"/>
        </w:rPr>
        <w:t>（三）国有资产占有使用情况</w:t>
      </w:r>
      <w:bookmarkEnd w:id="68"/>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0</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2"/>
        <w:numPr>
          <w:ilvl w:val="0"/>
          <w:numId w:val="0"/>
        </w:numPr>
        <w:ind w:firstLine="600" w:firstLineChars="200"/>
        <w:rPr>
          <w:rFonts w:hint="default"/>
        </w:rPr>
      </w:pPr>
      <w:r>
        <w:rPr>
          <w:rFonts w:hint="default"/>
        </w:rPr>
        <w:t>据预算绩效管理要求，本</w:t>
      </w:r>
      <w:r>
        <w:rPr>
          <w:rFonts w:hint="eastAsia"/>
          <w:lang w:val="en-US" w:eastAsia="zh-CN"/>
        </w:rPr>
        <w:t>单位</w:t>
      </w:r>
      <w:r>
        <w:rPr>
          <w:rFonts w:hint="default"/>
        </w:rPr>
        <w:t>在2022年度预算编制阶段，组织对深化文明家庭创建工作经费</w:t>
      </w:r>
      <w:r>
        <w:rPr>
          <w:rFonts w:hint="eastAsia"/>
          <w:lang w:eastAsia="zh-CN"/>
        </w:rPr>
        <w:t>、妇联专项工作经费</w:t>
      </w:r>
      <w:r>
        <w:rPr>
          <w:rFonts w:hint="eastAsia"/>
          <w:lang w:val="en-US" w:eastAsia="zh-CN"/>
        </w:rPr>
        <w:t>等5</w:t>
      </w:r>
      <w:r>
        <w:rPr>
          <w:rFonts w:hint="default"/>
        </w:rPr>
        <w:t>个项目开展了预算事前绩效评估，对</w:t>
      </w:r>
      <w:r>
        <w:rPr>
          <w:rFonts w:hint="eastAsia"/>
          <w:lang w:val="en-US" w:eastAsia="zh-CN"/>
        </w:rPr>
        <w:t>5</w:t>
      </w:r>
      <w:r>
        <w:rPr>
          <w:rFonts w:hint="default"/>
        </w:rPr>
        <w:t>个项目编制了绩效目标，预算执行过程中，选取</w:t>
      </w:r>
      <w:r>
        <w:rPr>
          <w:rFonts w:hint="eastAsia"/>
          <w:lang w:val="en-US" w:eastAsia="zh-CN"/>
        </w:rPr>
        <w:t>5</w:t>
      </w:r>
      <w:r>
        <w:rPr>
          <w:rFonts w:hint="default"/>
        </w:rPr>
        <w:t>个项目开展绩效监控</w:t>
      </w:r>
      <w:r>
        <w:rPr>
          <w:rFonts w:hint="eastAsia"/>
          <w:lang w:eastAsia="zh-CN"/>
        </w:rPr>
        <w:t>，</w:t>
      </w:r>
      <w:r>
        <w:rPr>
          <w:rFonts w:hint="eastAsia"/>
          <w:lang w:val="en-US" w:eastAsia="zh-CN"/>
        </w:rPr>
        <w:t>组织</w:t>
      </w:r>
      <w:r>
        <w:rPr>
          <w:rFonts w:hint="default"/>
        </w:rPr>
        <w:t>对</w:t>
      </w:r>
      <w:r>
        <w:rPr>
          <w:rFonts w:hint="eastAsia"/>
          <w:lang w:val="en-US" w:eastAsia="zh-CN"/>
        </w:rPr>
        <w:t>5</w:t>
      </w:r>
      <w:r>
        <w:rPr>
          <w:rFonts w:hint="default"/>
        </w:rPr>
        <w:t>个项目开展了绩效自评</w:t>
      </w:r>
      <w:r>
        <w:rPr>
          <w:rFonts w:hint="eastAsia"/>
          <w:lang w:eastAsia="zh-CN"/>
        </w:rPr>
        <w:t>，</w:t>
      </w:r>
      <w:r>
        <w:rPr>
          <w:rFonts w:hint="eastAsia" w:ascii="仿宋_GB2312" w:hAnsi="仿宋_GB2312" w:eastAsia="仿宋_GB2312" w:cs="仿宋_GB2312"/>
          <w:color w:val="auto"/>
          <w:sz w:val="32"/>
          <w:szCs w:val="32"/>
          <w:highlight w:val="none"/>
        </w:rPr>
        <w:t>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9" w:name="_Toc111208509"/>
      <w:bookmarkStart w:id="70" w:name="_Toc5071"/>
      <w:bookmarkStart w:id="71" w:name="_Toc15377225"/>
      <w:r>
        <w:rPr>
          <w:rFonts w:hint="eastAsia" w:ascii="黑体" w:hAnsi="黑体" w:eastAsia="黑体" w:cs="黑体"/>
        </w:rPr>
        <w:t>第三部分 名词解释</w:t>
      </w:r>
      <w:bookmarkEnd w:id="69"/>
      <w:bookmarkEnd w:id="70"/>
      <w:bookmarkEnd w:id="71"/>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.一般公共服务支出（类）群众团体事务（款）行政运行（项）：反映行政单位（包括实行公务员管理的事业单位）的基本支出。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.一般公共服务支出（类）群众团体事务（款）一般行政管理事务（项）：反映行政单位（包括实行公务员管理的事业单位）未单独设置项级科@的其他项目支出。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.一般公共服务支出（类）群众团体事务（款）事业运行（项）：反映事业单位的基本支出，不包括行政单位（包括实行公务员管理的事业单位）后勤服务中心、医务室等附属事业单位。</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.一般公共服务支出（类）群众团体事务（款）其他群众团体事务支出（项）：反映除上述项目以外其他用于群众团体事务方面的支出反映党委办公厅（室）及相关机构的支出。。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.社会保障和就业支出（类）行政事业单位养老支出（款）行政单位离退休（项）：反映行政单位（包括实行公务员管理的事业单位）开支的离退休经费。</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.社会保障和就业支出（类）其他社会保障和就业支出（款）其他社会保障和就业支出（项）：反映除上述项i以外其他用于社会保障和就业方面的支出。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.卫生健康支出（类）行政事业单位医疗（款）公务员医疗补助（项）：反映财政部门安排的公务员医疗补助经费。</w:t>
      </w:r>
      <w:r>
        <w:rPr>
          <w:rFonts w:hint="eastAsia" w:ascii="仿宋" w:hAnsi="仿宋" w:eastAsia="仿宋"/>
          <w:color w:val="000000"/>
          <w:sz w:val="32"/>
          <w:szCs w:val="32"/>
        </w:rPr>
        <w:cr/>
      </w:r>
      <w:r>
        <w:rPr>
          <w:rFonts w:hint="eastAsia" w:ascii="仿宋" w:hAnsi="仿宋" w:eastAsia="仿宋"/>
          <w:color w:val="000000"/>
          <w:sz w:val="32"/>
          <w:szCs w:val="32"/>
        </w:rPr>
        <w:t xml:space="preserve">    1</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.农林水支出（类）其他农林水支出（款）其他农林水支出（项）：反映除化解债务支出以外其他用于农林水方面的支出。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 xml:space="preserve">.项目支出：指在基本支出之外为完成特定行政任务和事业发展目标所发生的支出。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Style w:val="29"/>
          <w:rFonts w:ascii="黑体" w:hAnsi="黑体" w:eastAsia="黑体"/>
        </w:rPr>
      </w:pPr>
      <w:r>
        <w:rPr>
          <w:rStyle w:val="29"/>
          <w:rFonts w:ascii="黑体" w:hAnsi="黑体" w:eastAsia="黑体"/>
        </w:rPr>
        <w:br w:type="page"/>
      </w:r>
    </w:p>
    <w:p>
      <w:pPr>
        <w:pStyle w:val="3"/>
        <w:jc w:val="center"/>
        <w:rPr>
          <w:rFonts w:ascii="黑体" w:hAnsi="黑体" w:eastAsia="黑体" w:cs="黑体"/>
        </w:rPr>
      </w:pPr>
      <w:bookmarkStart w:id="72" w:name="_Toc7836"/>
      <w:bookmarkStart w:id="73" w:name="_Toc111208510"/>
      <w:r>
        <w:rPr>
          <w:rFonts w:hint="eastAsia" w:ascii="黑体" w:hAnsi="黑体" w:eastAsia="黑体" w:cs="黑体"/>
        </w:rPr>
        <w:t>第四部分 附件</w:t>
      </w:r>
      <w:bookmarkEnd w:id="72"/>
      <w:bookmarkEnd w:id="73"/>
    </w:p>
    <w:p>
      <w:pPr>
        <w:pStyle w:val="6"/>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见附件3</w:t>
      </w:r>
    </w:p>
    <w:p>
      <w:pPr>
        <w:rPr>
          <w:rFonts w:hint="default"/>
          <w:lang w:val="en-US" w:eastAsia="zh-CN"/>
        </w:rPr>
      </w:pPr>
      <w:r>
        <w:rPr>
          <w:rFonts w:hint="default"/>
          <w:lang w:val="en-US" w:eastAsia="zh-CN"/>
        </w:rPr>
        <w:br w:type="page"/>
      </w:r>
    </w:p>
    <w:p>
      <w:pPr>
        <w:pStyle w:val="3"/>
        <w:jc w:val="center"/>
        <w:rPr>
          <w:rFonts w:ascii="黑体" w:hAnsi="黑体" w:eastAsia="黑体" w:cs="黑体"/>
        </w:rPr>
      </w:pPr>
      <w:bookmarkStart w:id="74" w:name="_Toc79163635"/>
      <w:bookmarkStart w:id="75" w:name="_Toc8331"/>
      <w:bookmarkStart w:id="76" w:name="_Toc79163885"/>
      <w:bookmarkStart w:id="77" w:name="_Toc111208512"/>
      <w:r>
        <w:rPr>
          <w:rFonts w:hint="eastAsia" w:ascii="黑体" w:hAnsi="黑体" w:eastAsia="黑体" w:cs="黑体"/>
        </w:rPr>
        <w:t>第五部分 附表</w:t>
      </w:r>
      <w:bookmarkEnd w:id="74"/>
      <w:bookmarkEnd w:id="75"/>
      <w:bookmarkEnd w:id="76"/>
      <w:bookmarkEnd w:id="77"/>
    </w:p>
    <w:p>
      <w:pPr>
        <w:pStyle w:val="4"/>
        <w:ind w:firstLine="640" w:firstLineChars="200"/>
        <w:rPr>
          <w:rFonts w:ascii="黑体" w:eastAsia="黑体" w:cs="Times New Roman"/>
          <w:b w:val="0"/>
          <w:bCs/>
          <w:color w:val="000000"/>
        </w:rPr>
      </w:pPr>
      <w:bookmarkStart w:id="78" w:name="_Toc12336"/>
      <w:r>
        <w:rPr>
          <w:rFonts w:hint="eastAsia" w:ascii="黑体" w:eastAsia="黑体" w:cs="Times New Roman"/>
          <w:b w:val="0"/>
          <w:bCs/>
          <w:color w:val="000000"/>
        </w:rPr>
        <w:t>一、收入支出决算总表</w:t>
      </w:r>
      <w:bookmarkEnd w:id="78"/>
    </w:p>
    <w:p>
      <w:pPr>
        <w:pStyle w:val="4"/>
        <w:ind w:firstLine="640" w:firstLineChars="200"/>
        <w:rPr>
          <w:rFonts w:ascii="黑体" w:eastAsia="黑体" w:cs="Times New Roman"/>
          <w:b w:val="0"/>
          <w:bCs/>
          <w:color w:val="000000"/>
        </w:rPr>
      </w:pPr>
      <w:bookmarkStart w:id="79" w:name="_Toc2966"/>
      <w:r>
        <w:rPr>
          <w:rFonts w:hint="eastAsia" w:ascii="黑体" w:eastAsia="黑体" w:cs="Times New Roman"/>
          <w:b w:val="0"/>
          <w:bCs/>
          <w:color w:val="000000"/>
        </w:rPr>
        <w:t>二、收入决算表</w:t>
      </w:r>
      <w:bookmarkEnd w:id="79"/>
    </w:p>
    <w:p>
      <w:pPr>
        <w:pStyle w:val="4"/>
        <w:ind w:firstLine="640" w:firstLineChars="200"/>
        <w:rPr>
          <w:rFonts w:ascii="黑体" w:eastAsia="黑体" w:cs="Times New Roman"/>
          <w:b w:val="0"/>
          <w:bCs/>
          <w:color w:val="000000"/>
        </w:rPr>
      </w:pPr>
      <w:bookmarkStart w:id="80" w:name="_Toc14927"/>
      <w:r>
        <w:rPr>
          <w:rFonts w:hint="eastAsia" w:ascii="黑体" w:eastAsia="黑体" w:cs="Times New Roman"/>
          <w:b w:val="0"/>
          <w:bCs/>
          <w:color w:val="000000"/>
        </w:rPr>
        <w:t>三、支出决算表</w:t>
      </w:r>
      <w:bookmarkEnd w:id="80"/>
    </w:p>
    <w:p>
      <w:pPr>
        <w:pStyle w:val="4"/>
        <w:ind w:firstLine="640" w:firstLineChars="200"/>
        <w:rPr>
          <w:rFonts w:ascii="黑体" w:eastAsia="黑体" w:cs="Times New Roman"/>
          <w:b w:val="0"/>
          <w:bCs/>
          <w:color w:val="000000"/>
        </w:rPr>
      </w:pPr>
      <w:bookmarkStart w:id="81" w:name="_Toc2965"/>
      <w:r>
        <w:rPr>
          <w:rFonts w:hint="eastAsia" w:ascii="黑体" w:eastAsia="黑体" w:cs="Times New Roman"/>
          <w:b w:val="0"/>
          <w:bCs/>
          <w:color w:val="000000"/>
        </w:rPr>
        <w:t>四、财政拨款收入支出决算总表</w:t>
      </w:r>
      <w:bookmarkEnd w:id="81"/>
    </w:p>
    <w:p>
      <w:pPr>
        <w:pStyle w:val="4"/>
        <w:ind w:firstLine="640" w:firstLineChars="200"/>
        <w:rPr>
          <w:rFonts w:ascii="黑体" w:eastAsia="黑体" w:cs="Times New Roman"/>
          <w:b w:val="0"/>
          <w:bCs/>
          <w:color w:val="000000"/>
        </w:rPr>
      </w:pPr>
      <w:bookmarkStart w:id="82" w:name="_Toc24288"/>
      <w:r>
        <w:rPr>
          <w:rFonts w:hint="eastAsia" w:ascii="黑体" w:eastAsia="黑体" w:cs="Times New Roman"/>
          <w:b w:val="0"/>
          <w:bCs/>
          <w:color w:val="000000"/>
        </w:rPr>
        <w:t>五、财政拨款支出决算明细表</w:t>
      </w:r>
      <w:bookmarkEnd w:id="82"/>
    </w:p>
    <w:p>
      <w:pPr>
        <w:pStyle w:val="4"/>
        <w:ind w:firstLine="640" w:firstLineChars="200"/>
        <w:rPr>
          <w:rFonts w:ascii="黑体" w:eastAsia="黑体" w:cs="Times New Roman"/>
          <w:b w:val="0"/>
          <w:bCs/>
          <w:color w:val="000000"/>
        </w:rPr>
      </w:pPr>
      <w:bookmarkStart w:id="83" w:name="_Toc12633"/>
      <w:r>
        <w:rPr>
          <w:rFonts w:hint="eastAsia" w:ascii="黑体" w:eastAsia="黑体" w:cs="Times New Roman"/>
          <w:b w:val="0"/>
          <w:bCs/>
          <w:color w:val="000000"/>
        </w:rPr>
        <w:t>六、一般公共预算财政拨款支出决算表</w:t>
      </w:r>
      <w:bookmarkEnd w:id="83"/>
    </w:p>
    <w:p>
      <w:pPr>
        <w:pStyle w:val="4"/>
        <w:ind w:firstLine="640" w:firstLineChars="200"/>
        <w:rPr>
          <w:rFonts w:ascii="黑体" w:eastAsia="黑体" w:cs="Times New Roman"/>
          <w:b w:val="0"/>
          <w:bCs/>
          <w:color w:val="000000"/>
        </w:rPr>
      </w:pPr>
      <w:bookmarkStart w:id="84" w:name="_Toc12240"/>
      <w:r>
        <w:rPr>
          <w:rFonts w:hint="eastAsia" w:ascii="黑体" w:eastAsia="黑体" w:cs="Times New Roman"/>
          <w:b w:val="0"/>
          <w:bCs/>
          <w:color w:val="000000"/>
        </w:rPr>
        <w:t>七、一般公共预算财政拨款支出决算明细表</w:t>
      </w:r>
      <w:bookmarkEnd w:id="84"/>
    </w:p>
    <w:p>
      <w:pPr>
        <w:pStyle w:val="4"/>
        <w:ind w:firstLine="640" w:firstLineChars="200"/>
        <w:rPr>
          <w:rFonts w:ascii="黑体" w:eastAsia="黑体" w:cs="Times New Roman"/>
          <w:b w:val="0"/>
          <w:bCs/>
          <w:color w:val="000000"/>
        </w:rPr>
      </w:pPr>
      <w:bookmarkStart w:id="85" w:name="_Toc502"/>
      <w:r>
        <w:rPr>
          <w:rFonts w:hint="eastAsia" w:ascii="黑体" w:eastAsia="黑体" w:cs="Times New Roman"/>
          <w:b w:val="0"/>
          <w:bCs/>
          <w:color w:val="000000"/>
        </w:rPr>
        <w:t>八、一般公共预算财政拨款基本支出决算表</w:t>
      </w:r>
      <w:bookmarkEnd w:id="85"/>
    </w:p>
    <w:p>
      <w:pPr>
        <w:pStyle w:val="4"/>
        <w:ind w:firstLine="640" w:firstLineChars="200"/>
        <w:rPr>
          <w:rFonts w:ascii="黑体" w:eastAsia="黑体" w:cs="Times New Roman"/>
          <w:b w:val="0"/>
          <w:bCs/>
          <w:color w:val="000000"/>
        </w:rPr>
      </w:pPr>
      <w:bookmarkStart w:id="86" w:name="_Toc21847"/>
      <w:r>
        <w:rPr>
          <w:rFonts w:hint="eastAsia" w:ascii="黑体" w:eastAsia="黑体" w:cs="Times New Roman"/>
          <w:b w:val="0"/>
          <w:bCs/>
          <w:color w:val="000000"/>
        </w:rPr>
        <w:t>九、一般公共预算财政拨款项目支出决算表</w:t>
      </w:r>
      <w:bookmarkEnd w:id="86"/>
    </w:p>
    <w:p>
      <w:pPr>
        <w:pStyle w:val="4"/>
        <w:ind w:firstLine="640" w:firstLineChars="200"/>
        <w:rPr>
          <w:rFonts w:ascii="黑体" w:eastAsia="黑体" w:cs="Times New Roman"/>
          <w:b w:val="0"/>
          <w:bCs/>
          <w:color w:val="000000"/>
        </w:rPr>
      </w:pPr>
      <w:bookmarkStart w:id="87" w:name="_Toc9835"/>
      <w:r>
        <w:rPr>
          <w:rFonts w:hint="eastAsia" w:ascii="黑体" w:eastAsia="黑体" w:cs="Times New Roman"/>
          <w:b w:val="0"/>
          <w:bCs/>
          <w:color w:val="000000"/>
        </w:rPr>
        <w:t>十、政府性基金预算财政拨款收入支出决算表</w:t>
      </w:r>
      <w:bookmarkEnd w:id="87"/>
    </w:p>
    <w:p>
      <w:pPr>
        <w:pStyle w:val="4"/>
        <w:ind w:firstLine="640" w:firstLineChars="200"/>
        <w:rPr>
          <w:rFonts w:ascii="黑体" w:eastAsia="黑体" w:cs="Times New Roman"/>
          <w:b w:val="0"/>
          <w:bCs/>
          <w:color w:val="000000"/>
        </w:rPr>
      </w:pPr>
      <w:bookmarkStart w:id="88" w:name="_Toc6005"/>
      <w:r>
        <w:rPr>
          <w:rFonts w:hint="eastAsia" w:ascii="黑体" w:eastAsia="黑体" w:cs="Times New Roman"/>
          <w:b w:val="0"/>
          <w:bCs/>
          <w:color w:val="000000"/>
        </w:rPr>
        <w:t>十一、国有资本经营预算财政拨款收入支出决算表</w:t>
      </w:r>
      <w:bookmarkEnd w:id="88"/>
    </w:p>
    <w:p>
      <w:pPr>
        <w:pStyle w:val="4"/>
        <w:ind w:firstLine="640" w:firstLineChars="200"/>
        <w:rPr>
          <w:rFonts w:ascii="黑体" w:eastAsia="黑体" w:cs="Times New Roman"/>
          <w:b w:val="0"/>
          <w:bCs/>
          <w:color w:val="000000"/>
        </w:rPr>
      </w:pPr>
      <w:bookmarkStart w:id="89" w:name="_Toc1461"/>
      <w:r>
        <w:rPr>
          <w:rFonts w:hint="eastAsia" w:ascii="黑体" w:eastAsia="黑体" w:cs="Times New Roman"/>
          <w:b w:val="0"/>
          <w:bCs/>
          <w:color w:val="000000"/>
        </w:rPr>
        <w:t>十二、国有资本经营预算财政拨款支出决算表</w:t>
      </w:r>
      <w:bookmarkEnd w:id="89"/>
    </w:p>
    <w:p>
      <w:pPr>
        <w:pStyle w:val="4"/>
        <w:ind w:firstLine="640" w:firstLineChars="200"/>
        <w:rPr>
          <w:rFonts w:ascii="黑体" w:eastAsia="黑体" w:cs="Times New Roman"/>
          <w:b w:val="0"/>
          <w:bCs/>
          <w:color w:val="000000"/>
        </w:rPr>
      </w:pPr>
      <w:bookmarkStart w:id="90" w:name="_Toc27721"/>
      <w:r>
        <w:rPr>
          <w:rFonts w:hint="eastAsia" w:ascii="黑体" w:eastAsia="黑体" w:cs="Times New Roman"/>
          <w:b w:val="0"/>
          <w:bCs/>
          <w:color w:val="000000"/>
        </w:rPr>
        <w:t>十三、财政拨款“三公”经费支出决算表</w:t>
      </w:r>
      <w:bookmarkEnd w:id="90"/>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mMWNmZmQxMTEyMDFkYTI1NTM5MzgwZDVhYmZkYTc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71E"/>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5BEA"/>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1F7D"/>
    <w:rsid w:val="00317D41"/>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6B9"/>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455A3"/>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E6AFB"/>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64AA"/>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4FBA"/>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BA9"/>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A03"/>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3950"/>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293"/>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4E73FB"/>
    <w:rsid w:val="01CF32DE"/>
    <w:rsid w:val="01D74DB7"/>
    <w:rsid w:val="01D86637"/>
    <w:rsid w:val="01F04616"/>
    <w:rsid w:val="0242796A"/>
    <w:rsid w:val="03F359AA"/>
    <w:rsid w:val="0463543B"/>
    <w:rsid w:val="04A56E6E"/>
    <w:rsid w:val="051A6F96"/>
    <w:rsid w:val="06951176"/>
    <w:rsid w:val="07001BE1"/>
    <w:rsid w:val="07267DE7"/>
    <w:rsid w:val="089C4B49"/>
    <w:rsid w:val="09081517"/>
    <w:rsid w:val="091B747D"/>
    <w:rsid w:val="0A19737C"/>
    <w:rsid w:val="0B7218AA"/>
    <w:rsid w:val="0B99373B"/>
    <w:rsid w:val="0BA37CB5"/>
    <w:rsid w:val="0BCB2779"/>
    <w:rsid w:val="0D0429D6"/>
    <w:rsid w:val="0D093B48"/>
    <w:rsid w:val="0D322E51"/>
    <w:rsid w:val="0D6C338E"/>
    <w:rsid w:val="0DB37F58"/>
    <w:rsid w:val="0F474788"/>
    <w:rsid w:val="0F5E6610"/>
    <w:rsid w:val="10C055FF"/>
    <w:rsid w:val="110F7602"/>
    <w:rsid w:val="11D56DF6"/>
    <w:rsid w:val="11ED6591"/>
    <w:rsid w:val="13367661"/>
    <w:rsid w:val="13A10F7E"/>
    <w:rsid w:val="1548603E"/>
    <w:rsid w:val="16BB723D"/>
    <w:rsid w:val="17BC7656"/>
    <w:rsid w:val="17EA348C"/>
    <w:rsid w:val="1840212F"/>
    <w:rsid w:val="184656CF"/>
    <w:rsid w:val="19943114"/>
    <w:rsid w:val="1AB026BC"/>
    <w:rsid w:val="1ABB32B6"/>
    <w:rsid w:val="1BF70747"/>
    <w:rsid w:val="1C06153F"/>
    <w:rsid w:val="1C756A5A"/>
    <w:rsid w:val="1C986C96"/>
    <w:rsid w:val="1CC67594"/>
    <w:rsid w:val="1D7371C3"/>
    <w:rsid w:val="1DDC2BB3"/>
    <w:rsid w:val="1E34479D"/>
    <w:rsid w:val="1EF81F78"/>
    <w:rsid w:val="1F620905"/>
    <w:rsid w:val="201A6AB0"/>
    <w:rsid w:val="203B66A0"/>
    <w:rsid w:val="2099122F"/>
    <w:rsid w:val="20CD62BD"/>
    <w:rsid w:val="211A679A"/>
    <w:rsid w:val="21752AA9"/>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6C7E72"/>
    <w:rsid w:val="29FD04D3"/>
    <w:rsid w:val="2CAE1BBE"/>
    <w:rsid w:val="2CCF04B2"/>
    <w:rsid w:val="2E4C04E0"/>
    <w:rsid w:val="2F803D16"/>
    <w:rsid w:val="31810DA9"/>
    <w:rsid w:val="31903F88"/>
    <w:rsid w:val="319F7F4E"/>
    <w:rsid w:val="31EA18EB"/>
    <w:rsid w:val="323A1C2F"/>
    <w:rsid w:val="329448A6"/>
    <w:rsid w:val="32F45598"/>
    <w:rsid w:val="35244754"/>
    <w:rsid w:val="35D40E98"/>
    <w:rsid w:val="364D41F6"/>
    <w:rsid w:val="36FD0156"/>
    <w:rsid w:val="38F8371D"/>
    <w:rsid w:val="39226F5F"/>
    <w:rsid w:val="39902098"/>
    <w:rsid w:val="3A120E44"/>
    <w:rsid w:val="3A3A0F35"/>
    <w:rsid w:val="3A4E1148"/>
    <w:rsid w:val="3AB23B0F"/>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2E33BAB"/>
    <w:rsid w:val="43684120"/>
    <w:rsid w:val="442C5D93"/>
    <w:rsid w:val="444F07DA"/>
    <w:rsid w:val="44601E28"/>
    <w:rsid w:val="475E72DC"/>
    <w:rsid w:val="47F514AF"/>
    <w:rsid w:val="4839282C"/>
    <w:rsid w:val="487144D7"/>
    <w:rsid w:val="48FD75BD"/>
    <w:rsid w:val="4A6A3171"/>
    <w:rsid w:val="4A745623"/>
    <w:rsid w:val="4D135D42"/>
    <w:rsid w:val="4D846266"/>
    <w:rsid w:val="4D8D78A2"/>
    <w:rsid w:val="4DF123A8"/>
    <w:rsid w:val="4E832A53"/>
    <w:rsid w:val="4ED432AF"/>
    <w:rsid w:val="4F6F7A34"/>
    <w:rsid w:val="4FD74194"/>
    <w:rsid w:val="4FDA49F5"/>
    <w:rsid w:val="50772EA8"/>
    <w:rsid w:val="50AE413E"/>
    <w:rsid w:val="51E1640E"/>
    <w:rsid w:val="51EE42CA"/>
    <w:rsid w:val="52302EF2"/>
    <w:rsid w:val="52ED6284"/>
    <w:rsid w:val="5322283B"/>
    <w:rsid w:val="532B0C13"/>
    <w:rsid w:val="533E0A2A"/>
    <w:rsid w:val="53A60E02"/>
    <w:rsid w:val="53BE2B80"/>
    <w:rsid w:val="541505F1"/>
    <w:rsid w:val="54992FD0"/>
    <w:rsid w:val="55872E29"/>
    <w:rsid w:val="55FA7E1D"/>
    <w:rsid w:val="56D0674C"/>
    <w:rsid w:val="58BA52C3"/>
    <w:rsid w:val="59E11CD3"/>
    <w:rsid w:val="5ACD39D4"/>
    <w:rsid w:val="5BE202EA"/>
    <w:rsid w:val="5CFA7F1D"/>
    <w:rsid w:val="5D4E5909"/>
    <w:rsid w:val="5E2506F8"/>
    <w:rsid w:val="5E622685"/>
    <w:rsid w:val="5EA316D6"/>
    <w:rsid w:val="5F3A07D2"/>
    <w:rsid w:val="5F593A88"/>
    <w:rsid w:val="60651EAC"/>
    <w:rsid w:val="60BB3927"/>
    <w:rsid w:val="628D1AC8"/>
    <w:rsid w:val="62A42EE2"/>
    <w:rsid w:val="630D013F"/>
    <w:rsid w:val="63347FC4"/>
    <w:rsid w:val="63604CB9"/>
    <w:rsid w:val="64A36D0B"/>
    <w:rsid w:val="64C656C1"/>
    <w:rsid w:val="65DF63C9"/>
    <w:rsid w:val="662A7F2C"/>
    <w:rsid w:val="68DA2DB6"/>
    <w:rsid w:val="694D496A"/>
    <w:rsid w:val="69725134"/>
    <w:rsid w:val="6B4666B6"/>
    <w:rsid w:val="6CC85DA9"/>
    <w:rsid w:val="6D8F2D6B"/>
    <w:rsid w:val="6DAC1227"/>
    <w:rsid w:val="6DC31436"/>
    <w:rsid w:val="6ECB49CF"/>
    <w:rsid w:val="6ECB5A2B"/>
    <w:rsid w:val="6FC525E8"/>
    <w:rsid w:val="70202A42"/>
    <w:rsid w:val="72227D09"/>
    <w:rsid w:val="72E476B5"/>
    <w:rsid w:val="73BE3A62"/>
    <w:rsid w:val="746C7E4B"/>
    <w:rsid w:val="750E6C6B"/>
    <w:rsid w:val="751228D6"/>
    <w:rsid w:val="755E374E"/>
    <w:rsid w:val="76377F56"/>
    <w:rsid w:val="764B35A7"/>
    <w:rsid w:val="774325C4"/>
    <w:rsid w:val="78A4106B"/>
    <w:rsid w:val="79975481"/>
    <w:rsid w:val="79F60BE5"/>
    <w:rsid w:val="7A1B4027"/>
    <w:rsid w:val="7A965738"/>
    <w:rsid w:val="7AB56A11"/>
    <w:rsid w:val="7ABC1C9C"/>
    <w:rsid w:val="7B022DCE"/>
    <w:rsid w:val="7B272834"/>
    <w:rsid w:val="7B8F71DF"/>
    <w:rsid w:val="7CB2612E"/>
    <w:rsid w:val="7CC25607"/>
    <w:rsid w:val="7DE859ED"/>
    <w:rsid w:val="7E4C610E"/>
    <w:rsid w:val="7FFB12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Salutation"/>
    <w:basedOn w:val="1"/>
    <w:next w:val="1"/>
    <w:qFormat/>
    <w:uiPriority w:val="0"/>
    <w:rPr>
      <w:rFonts w:ascii="Times New Roman" w:hAnsi="Times New Roman"/>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{"2021","2022"}</c:f>
              <c:numCache>
                <c:formatCode>General</c:formatCode>
                <c:ptCount val="2"/>
                <c:pt idx="0">
                  <c:v>2021</c:v>
                </c:pt>
                <c:pt idx="1">
                  <c:v>2022</c:v>
                </c:pt>
              </c:numCache>
            </c:numRef>
          </c:cat>
          <c:val>
            <c:numRef>
              <c:f>{123.08,150.7}</c:f>
              <c:numCache>
                <c:formatCode>General</c:formatCode>
                <c:ptCount val="2"/>
                <c:pt idx="0">
                  <c:v>123.08</c:v>
                </c:pt>
                <c:pt idx="1">
                  <c:v>150.7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{"2021","2022"}</c:f>
              <c:numCache>
                <c:formatCode>General</c:formatCode>
                <c:ptCount val="2"/>
                <c:pt idx="0">
                  <c:v>2021</c:v>
                </c:pt>
                <c:pt idx="1">
                  <c:v>2022</c:v>
                </c:pt>
              </c:numCache>
            </c:numRef>
          </c:cat>
          <c:val>
            <c:numRef>
              <c:f>{123.08,150.7}</c:f>
              <c:numCache>
                <c:formatCode>General</c:formatCode>
                <c:ptCount val="2"/>
                <c:pt idx="0">
                  <c:v>123.08</c:v>
                </c:pt>
                <c:pt idx="1">
                  <c:v>150.7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{138.66}</c:f>
              <c:numCache>
                <c:formatCode>General</c:formatCode>
                <c:ptCount val="1"/>
                <c:pt idx="0">
                  <c:v>138.66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{120.54,30.17}</c:f>
              <c:numCache>
                <c:formatCode>General</c:formatCode>
                <c:ptCount val="2"/>
                <c:pt idx="0">
                  <c:v>120.54</c:v>
                </c:pt>
                <c:pt idx="1">
                  <c:v>30.17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{"2021","2022"}</c:f>
              <c:numCache>
                <c:formatCode>General</c:formatCode>
                <c:ptCount val="2"/>
                <c:pt idx="0">
                  <c:v>2021</c:v>
                </c:pt>
                <c:pt idx="1">
                  <c:v>2022</c:v>
                </c:pt>
              </c:numCache>
            </c:numRef>
          </c:cat>
          <c:val>
            <c:numRef>
              <c:f>{123.08,150.7}</c:f>
              <c:numCache>
                <c:formatCode>General</c:formatCode>
                <c:ptCount val="2"/>
                <c:pt idx="0">
                  <c:v>123.08</c:v>
                </c:pt>
                <c:pt idx="1">
                  <c:v>150.7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{"2021","2022"}</c:f>
              <c:numCache>
                <c:formatCode>General</c:formatCode>
                <c:ptCount val="2"/>
                <c:pt idx="0">
                  <c:v>2021</c:v>
                </c:pt>
                <c:pt idx="1">
                  <c:v>2022</c:v>
                </c:pt>
              </c:numCache>
            </c:numRef>
          </c:cat>
          <c:val>
            <c:numRef>
              <c:f>{123.08,150.7}</c:f>
              <c:numCache>
                <c:formatCode>General</c:formatCode>
                <c:ptCount val="2"/>
                <c:pt idx="0">
                  <c:v>123.08</c:v>
                </c:pt>
                <c:pt idx="1">
                  <c:v>150.7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{123.08}</c:f>
              <c:numCache>
                <c:formatCode>General</c:formatCode>
                <c:ptCount val="1"/>
                <c:pt idx="0">
                  <c:v>123.08</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{150.7}</c:f>
              <c:numCache>
                <c:formatCode>General</c:formatCode>
                <c:ptCount val="1"/>
                <c:pt idx="0">
                  <c:v>150.7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{106.72,11.8,10.41,12.04,9.73}</c:f>
              <c:numCache>
                <c:formatCode>General</c:formatCode>
                <c:ptCount val="5"/>
                <c:pt idx="0">
                  <c:v>106.72</c:v>
                </c:pt>
                <c:pt idx="1">
                  <c:v>11.8</c:v>
                </c:pt>
                <c:pt idx="2">
                  <c:v>10.41</c:v>
                </c:pt>
                <c:pt idx="3">
                  <c:v>12.04</c:v>
                </c:pt>
                <c:pt idx="4">
                  <c:v>9.73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{0,0,0.24}</c:f>
              <c:numCache>
                <c:formatCode>General</c:formatCode>
                <c:ptCount val="3"/>
                <c:pt idx="0">
                  <c:v>0</c:v>
                </c:pt>
                <c:pt idx="1">
                  <c:v>0</c:v>
                </c:pt>
                <c:pt idx="2">
                  <c:v>0.24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5761</Words>
  <Characters>6379</Characters>
  <Lines>47</Lines>
  <Paragraphs>13</Paragraphs>
  <TotalTime>14</TotalTime>
  <ScaleCrop>false</ScaleCrop>
  <LinksUpToDate>false</LinksUpToDate>
  <CharactersWithSpaces>6893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MiYi</cp:lastModifiedBy>
  <cp:lastPrinted>2021-09-26T08:39:00Z</cp:lastPrinted>
  <dcterms:modified xsi:type="dcterms:W3CDTF">2023-10-30T09:25:45Z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7D24657B88E94E9496EF2E80A3F77C37_13</vt:lpwstr>
  </property>
</Properties>
</file>