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adjustRightInd w:val="0"/>
        <w:snapToGrid w:val="0"/>
        <w:spacing w:line="360" w:lineRule="auto"/>
        <w:jc w:val="center"/>
        <w:outlineLvl w:val="0"/>
        <w:rPr>
          <w:rFonts w:hint="eastAsia" w:ascii="方正小标宋简体" w:hAnsi="宋体" w:eastAsia="方正小标宋简体"/>
          <w:color w:val="000000"/>
          <w:sz w:val="52"/>
          <w:szCs w:val="52"/>
          <w:lang w:val="en-US" w:eastAsia="zh-CN"/>
        </w:rPr>
      </w:pPr>
      <w:bookmarkStart w:id="1" w:name="_Toc15377426"/>
      <w:bookmarkStart w:id="2" w:name="_Toc15377194"/>
      <w:bookmarkStart w:id="3" w:name="_Toc15306268"/>
      <w:bookmarkStart w:id="4" w:name="_Toc15378442"/>
      <w:bookmarkStart w:id="5" w:name="_Toc15396476"/>
      <w:bookmarkStart w:id="6" w:name="_Toc15396598"/>
      <w:r>
        <w:rPr>
          <w:rFonts w:hint="eastAsia" w:ascii="方正小标宋简体" w:hAnsi="宋体" w:eastAsia="方正小标宋简体"/>
          <w:color w:val="000000"/>
          <w:sz w:val="52"/>
          <w:szCs w:val="52"/>
        </w:rPr>
        <w:t>中国共产党米易县委员会统战部</w:t>
      </w:r>
      <w:bookmarkStart w:id="7" w:name="_Toc15378441"/>
      <w:bookmarkStart w:id="8" w:name="_Toc15396475"/>
      <w:bookmarkStart w:id="9" w:name="_Toc15377425"/>
      <w:bookmarkStart w:id="10" w:name="_Toc15377193"/>
      <w:bookmarkStart w:id="11" w:name="_Toc15396597"/>
      <w:r>
        <w:rPr>
          <w:rFonts w:ascii="黑体" w:hAnsi="黑体" w:eastAsia="黑体"/>
          <w:color w:val="000000"/>
          <w:sz w:val="52"/>
          <w:szCs w:val="52"/>
        </w:rPr>
        <w:t>202</w:t>
      </w:r>
      <w:r>
        <w:rPr>
          <w:rFonts w:hint="eastAsia" w:ascii="黑体" w:hAnsi="黑体" w:eastAsia="黑体"/>
          <w:color w:val="000000"/>
          <w:sz w:val="52"/>
          <w:szCs w:val="52"/>
          <w:lang w:val="en-US" w:eastAsia="zh-CN"/>
        </w:rPr>
        <w:t>1</w:t>
      </w:r>
      <w:r>
        <w:rPr>
          <w:rFonts w:hint="eastAsia" w:ascii="方正小标宋简体" w:hAnsi="宋体" w:eastAsia="方正小标宋简体"/>
          <w:color w:val="000000"/>
          <w:sz w:val="52"/>
          <w:szCs w:val="52"/>
        </w:rPr>
        <w:t>年度</w:t>
      </w:r>
      <w:bookmarkEnd w:id="7"/>
      <w:bookmarkEnd w:id="8"/>
      <w:bookmarkEnd w:id="9"/>
      <w:bookmarkEnd w:id="10"/>
      <w:bookmarkEnd w:id="11"/>
      <w:r>
        <w:rPr>
          <w:rFonts w:hint="eastAsia" w:ascii="方正小标宋简体" w:hAnsi="宋体" w:eastAsia="方正小标宋简体"/>
          <w:color w:val="000000"/>
          <w:sz w:val="52"/>
          <w:szCs w:val="52"/>
        </w:rPr>
        <w:t>部门决算</w:t>
      </w:r>
      <w:bookmarkEnd w:id="1"/>
      <w:bookmarkEnd w:id="2"/>
      <w:bookmarkEnd w:id="3"/>
      <w:bookmarkEnd w:id="4"/>
      <w:bookmarkEnd w:id="5"/>
      <w:bookmarkEnd w:id="6"/>
      <w:r>
        <w:rPr>
          <w:rFonts w:hint="eastAsia" w:ascii="方正小标宋简体" w:hAnsi="宋体" w:eastAsia="方正小标宋简体"/>
          <w:color w:val="000000"/>
          <w:sz w:val="52"/>
          <w:szCs w:val="52"/>
          <w:lang w:eastAsia="zh-CN"/>
        </w:rPr>
        <w:t>编制说明</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12"/>
      </w:pPr>
      <w:r>
        <w:rPr>
          <w:rFonts w:hint="eastAsia"/>
        </w:rPr>
        <w:t>公开时间：</w:t>
      </w:r>
      <w:r>
        <w:t>202</w:t>
      </w:r>
      <w:r>
        <w:rPr>
          <w:rFonts w:hint="eastAsia"/>
          <w:lang w:val="en-US" w:eastAsia="zh-CN"/>
        </w:rPr>
        <w:t>2</w:t>
      </w:r>
      <w:r>
        <w:rPr>
          <w:rFonts w:hint="eastAsia"/>
        </w:rPr>
        <w:t>年</w:t>
      </w:r>
      <w:r>
        <w:rPr>
          <w:rFonts w:hint="eastAsia"/>
          <w:lang w:val="en-US" w:eastAsia="zh-CN"/>
        </w:rPr>
        <w:t xml:space="preserve"> 10</w:t>
      </w:r>
      <w:r>
        <w:rPr>
          <w:rFonts w:hint="eastAsia"/>
        </w:rPr>
        <w:t xml:space="preserve"> 月 </w:t>
      </w:r>
      <w:r>
        <w:rPr>
          <w:rFonts w:hint="eastAsia"/>
          <w:lang w:val="en-US" w:eastAsia="zh-CN"/>
        </w:rPr>
        <w:t>26</w:t>
      </w:r>
      <w:r>
        <w:rPr>
          <w:rFonts w:hint="eastAsia"/>
        </w:rPr>
        <w:t>日</w:t>
      </w:r>
    </w:p>
    <w:p>
      <w:pPr>
        <w:rPr>
          <w:sz w:val="32"/>
          <w:szCs w:val="32"/>
        </w:rPr>
      </w:pPr>
    </w:p>
    <w:p>
      <w:pPr>
        <w:pStyle w:val="12"/>
        <w:adjustRightInd w:val="0"/>
        <w:snapToGrid w:val="0"/>
        <w:spacing w:before="0" w:line="440" w:lineRule="exact"/>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bCs/>
          <w:sz w:val="28"/>
          <w:szCs w:val="28"/>
        </w:rPr>
        <w:t>第一部分 部门概况</w:t>
      </w:r>
      <w:r>
        <w:rPr>
          <w:rFonts w:hint="eastAsia"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sz w:val="28"/>
          <w:szCs w:val="28"/>
          <w:lang w:val="en-US" w:eastAsia="zh-CN"/>
        </w:rPr>
        <w:t>................................4</w:t>
      </w:r>
    </w:p>
    <w:p>
      <w:pPr>
        <w:pStyle w:val="13"/>
        <w:adjustRightInd w:val="0"/>
        <w:snapToGrid w:val="0"/>
        <w:spacing w:line="440" w:lineRule="exact"/>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一、基本职能及主要工作</w:t>
      </w:r>
      <w:r>
        <w:rPr>
          <w:rFonts w:hint="eastAsia" w:ascii="方正仿宋_GBK" w:hAnsi="方正仿宋_GBK" w:eastAsia="方正仿宋_GBK" w:cs="方正仿宋_GBK"/>
          <w:sz w:val="28"/>
          <w:szCs w:val="28"/>
          <w:lang w:val="en-US" w:eastAsia="zh-CN"/>
        </w:rPr>
        <w:t>..........................4</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二、机构设置</w:t>
      </w:r>
      <w:r>
        <w:rPr>
          <w:rFonts w:hint="eastAsia" w:ascii="方正仿宋_GBK" w:hAnsi="方正仿宋_GBK" w:eastAsia="方正仿宋_GBK" w:cs="方正仿宋_GBK"/>
          <w:sz w:val="28"/>
          <w:szCs w:val="28"/>
          <w:lang w:val="en-US" w:eastAsia="zh-CN"/>
        </w:rPr>
        <w:t>....................................8</w:t>
      </w:r>
    </w:p>
    <w:p>
      <w:pPr>
        <w:pStyle w:val="12"/>
        <w:adjustRightInd w:val="0"/>
        <w:snapToGrid w:val="0"/>
        <w:spacing w:before="0"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b/>
          <w:bCs/>
          <w:sz w:val="28"/>
          <w:szCs w:val="28"/>
        </w:rPr>
        <w:t>第二部分 202</w:t>
      </w:r>
      <w:r>
        <w:rPr>
          <w:rFonts w:hint="eastAsia" w:ascii="方正仿宋_GBK" w:hAnsi="方正仿宋_GBK" w:eastAsia="方正仿宋_GBK" w:cs="方正仿宋_GBK"/>
          <w:b/>
          <w:bCs/>
          <w:sz w:val="28"/>
          <w:szCs w:val="28"/>
          <w:lang w:val="en-US" w:eastAsia="zh-CN"/>
        </w:rPr>
        <w:t>1</w:t>
      </w:r>
      <w:r>
        <w:rPr>
          <w:rFonts w:hint="eastAsia" w:ascii="方正仿宋_GBK" w:hAnsi="方正仿宋_GBK" w:eastAsia="方正仿宋_GBK" w:cs="方正仿宋_GBK"/>
          <w:b/>
          <w:bCs/>
          <w:sz w:val="28"/>
          <w:szCs w:val="28"/>
        </w:rPr>
        <w:t>年度部门决算情况说明</w:t>
      </w:r>
      <w:r>
        <w:rPr>
          <w:rFonts w:hint="eastAsia" w:ascii="方正仿宋_GBK" w:hAnsi="方正仿宋_GBK" w:eastAsia="方正仿宋_GBK" w:cs="方正仿宋_GBK"/>
          <w:sz w:val="28"/>
          <w:szCs w:val="28"/>
          <w:lang w:val="en-US" w:eastAsia="zh-CN"/>
        </w:rPr>
        <w:t>.................9</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一、收入支出决算总体情况说明</w:t>
      </w:r>
      <w:r>
        <w:rPr>
          <w:rFonts w:hint="eastAsia" w:ascii="方正仿宋_GBK" w:hAnsi="方正仿宋_GBK" w:eastAsia="方正仿宋_GBK" w:cs="方正仿宋_GBK"/>
          <w:sz w:val="28"/>
          <w:szCs w:val="28"/>
          <w:lang w:val="en-US" w:eastAsia="zh-CN"/>
        </w:rPr>
        <w:t>....................9</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二、收入决算情况说明</w:t>
      </w:r>
      <w:r>
        <w:rPr>
          <w:rFonts w:hint="eastAsia" w:ascii="方正仿宋_GBK" w:hAnsi="方正仿宋_GBK" w:eastAsia="方正仿宋_GBK" w:cs="方正仿宋_GBK"/>
          <w:sz w:val="28"/>
          <w:szCs w:val="28"/>
          <w:lang w:val="en-US" w:eastAsia="zh-CN"/>
        </w:rPr>
        <w:t>............................9</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三、支出决算情况说明</w:t>
      </w:r>
      <w:r>
        <w:rPr>
          <w:rFonts w:hint="eastAsia" w:ascii="方正仿宋_GBK" w:hAnsi="方正仿宋_GBK" w:eastAsia="方正仿宋_GBK" w:cs="方正仿宋_GBK"/>
          <w:sz w:val="28"/>
          <w:szCs w:val="28"/>
          <w:lang w:val="en-US" w:eastAsia="zh-CN"/>
        </w:rPr>
        <w:t>............................10</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四、财政拨款收入支出决算总体情况说明</w:t>
      </w:r>
      <w:r>
        <w:rPr>
          <w:rFonts w:hint="eastAsia" w:ascii="方正仿宋_GBK" w:hAnsi="方正仿宋_GBK" w:eastAsia="方正仿宋_GBK" w:cs="方正仿宋_GBK"/>
          <w:sz w:val="28"/>
          <w:szCs w:val="28"/>
          <w:lang w:val="en-US" w:eastAsia="zh-CN"/>
        </w:rPr>
        <w:t>............11</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五、一般公共预算财政拨款支出决算情况说明</w:t>
      </w:r>
      <w:r>
        <w:rPr>
          <w:rFonts w:hint="eastAsia" w:ascii="方正仿宋_GBK" w:hAnsi="方正仿宋_GBK" w:eastAsia="方正仿宋_GBK" w:cs="方正仿宋_GBK"/>
          <w:sz w:val="28"/>
          <w:szCs w:val="28"/>
          <w:lang w:val="en-US" w:eastAsia="zh-CN"/>
        </w:rPr>
        <w:t>.......10</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六、一般公共预算财政拨款基本支出决算情况说明</w:t>
      </w:r>
      <w:r>
        <w:rPr>
          <w:rFonts w:hint="eastAsia" w:ascii="方正仿宋_GBK" w:hAnsi="方正仿宋_GBK" w:eastAsia="方正仿宋_GBK" w:cs="方正仿宋_GBK"/>
          <w:sz w:val="28"/>
          <w:szCs w:val="28"/>
          <w:lang w:val="en-US" w:eastAsia="zh-CN"/>
        </w:rPr>
        <w:t>...14</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七、“三公”经费财政拨款支出决算情况说明</w:t>
      </w:r>
      <w:r>
        <w:rPr>
          <w:rFonts w:hint="eastAsia" w:ascii="方正仿宋_GBK" w:hAnsi="方正仿宋_GBK" w:eastAsia="方正仿宋_GBK" w:cs="方正仿宋_GBK"/>
          <w:sz w:val="28"/>
          <w:szCs w:val="28"/>
          <w:lang w:val="en-US" w:eastAsia="zh-CN"/>
        </w:rPr>
        <w:t>........14</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八、政府性基金预算支出决算情况说明</w:t>
      </w:r>
      <w:r>
        <w:rPr>
          <w:rFonts w:hint="eastAsia" w:ascii="方正仿宋_GBK" w:hAnsi="方正仿宋_GBK" w:eastAsia="方正仿宋_GBK" w:cs="方正仿宋_GBK"/>
          <w:sz w:val="28"/>
          <w:szCs w:val="28"/>
          <w:lang w:val="en-US" w:eastAsia="zh-CN"/>
        </w:rPr>
        <w:t>.............17</w:t>
      </w:r>
    </w:p>
    <w:p>
      <w:pPr>
        <w:pStyle w:val="13"/>
        <w:adjustRightInd w:val="0"/>
        <w:snapToGrid w:val="0"/>
        <w:spacing w:line="440" w:lineRule="exact"/>
        <w:ind w:leftChars="0"/>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九、 国有资本经营预算支出决算情况说明</w:t>
      </w:r>
      <w:r>
        <w:rPr>
          <w:rFonts w:hint="eastAsia" w:ascii="方正仿宋_GBK" w:hAnsi="方正仿宋_GBK" w:eastAsia="方正仿宋_GBK" w:cs="方正仿宋_GBK"/>
          <w:sz w:val="28"/>
          <w:szCs w:val="28"/>
          <w:lang w:val="en-US" w:eastAsia="zh-CN"/>
        </w:rPr>
        <w:t>..........17</w:t>
      </w:r>
    </w:p>
    <w:p>
      <w:pPr>
        <w:pStyle w:val="13"/>
        <w:adjustRightInd w:val="0"/>
        <w:snapToGrid w:val="0"/>
        <w:spacing w:line="440" w:lineRule="exact"/>
        <w:ind w:leftChars="0"/>
        <w:jc w:val="left"/>
        <w:rPr>
          <w:rFonts w:hint="eastAsia" w:ascii="方正仿宋_GBK" w:hAnsi="方正仿宋_GBK" w:eastAsia="方正仿宋_GBK" w:cs="方正仿宋_GBK"/>
          <w:sz w:val="28"/>
          <w:szCs w:val="28"/>
          <w:lang w:val="en-US"/>
        </w:rPr>
      </w:pPr>
      <w:r>
        <w:rPr>
          <w:rStyle w:val="18"/>
          <w:rFonts w:hint="eastAsia" w:ascii="方正仿宋_GBK" w:hAnsi="方正仿宋_GBK" w:eastAsia="方正仿宋_GBK" w:cs="方正仿宋_GBK"/>
          <w:color w:val="000000"/>
          <w:sz w:val="28"/>
          <w:szCs w:val="28"/>
          <w:u w:val="none"/>
        </w:rPr>
        <w:t>十、</w:t>
      </w:r>
      <w:r>
        <w:rPr>
          <w:rFonts w:hint="eastAsia" w:ascii="方正仿宋_GBK" w:hAnsi="方正仿宋_GBK" w:eastAsia="方正仿宋_GBK" w:cs="方正仿宋_GBK"/>
          <w:sz w:val="28"/>
          <w:szCs w:val="28"/>
        </w:rPr>
        <w:t>其他重要事项的情况说明</w:t>
      </w:r>
      <w:r>
        <w:rPr>
          <w:rFonts w:hint="eastAsia" w:ascii="方正仿宋_GBK" w:hAnsi="方正仿宋_GBK" w:eastAsia="方正仿宋_GBK" w:cs="方正仿宋_GBK"/>
          <w:sz w:val="28"/>
          <w:szCs w:val="28"/>
          <w:lang w:val="en-US" w:eastAsia="zh-CN"/>
        </w:rPr>
        <w:t>.....................17</w:t>
      </w:r>
    </w:p>
    <w:p>
      <w:pPr>
        <w:pStyle w:val="12"/>
        <w:adjustRightInd w:val="0"/>
        <w:snapToGrid w:val="0"/>
        <w:spacing w:before="0" w:line="440" w:lineRule="exact"/>
        <w:jc w:val="left"/>
        <w:rPr>
          <w:rFonts w:hint="eastAsia" w:ascii="方正仿宋_GBK" w:hAnsi="方正仿宋_GBK" w:eastAsia="方正仿宋_GBK" w:cs="方正仿宋_GBK"/>
          <w:b/>
          <w:bCs/>
          <w:sz w:val="28"/>
          <w:szCs w:val="28"/>
          <w:lang w:val="en-US"/>
        </w:rPr>
      </w:pPr>
      <w:r>
        <w:rPr>
          <w:rFonts w:hint="eastAsia" w:ascii="方正仿宋_GBK" w:hAnsi="方正仿宋_GBK" w:eastAsia="方正仿宋_GBK" w:cs="方正仿宋_GBK"/>
          <w:b/>
          <w:bCs/>
          <w:sz w:val="28"/>
          <w:szCs w:val="28"/>
        </w:rPr>
        <w:t>第三部分 名词解释</w:t>
      </w:r>
      <w:r>
        <w:rPr>
          <w:rFonts w:hint="eastAsia" w:ascii="方正仿宋_GBK" w:hAnsi="方正仿宋_GBK" w:eastAsia="方正仿宋_GBK" w:cs="方正仿宋_GBK"/>
          <w:sz w:val="28"/>
          <w:szCs w:val="28"/>
          <w:lang w:val="en-US" w:eastAsia="zh-CN"/>
        </w:rPr>
        <w:t>................................20</w:t>
      </w:r>
    </w:p>
    <w:p>
      <w:pPr>
        <w:pStyle w:val="12"/>
        <w:adjustRightInd w:val="0"/>
        <w:snapToGrid w:val="0"/>
        <w:spacing w:before="0" w:line="440" w:lineRule="exact"/>
        <w:jc w:val="left"/>
        <w:rPr>
          <w:rFonts w:hint="eastAsia" w:ascii="方正仿宋_GBK" w:hAnsi="方正仿宋_GBK" w:eastAsia="方正仿宋_GBK" w:cs="方正仿宋_GBK"/>
          <w:b/>
          <w:bCs/>
          <w:sz w:val="28"/>
          <w:szCs w:val="28"/>
          <w:lang w:val="en-US"/>
        </w:rPr>
      </w:pPr>
      <w:r>
        <w:rPr>
          <w:rFonts w:hint="eastAsia" w:ascii="方正仿宋_GBK" w:hAnsi="方正仿宋_GBK" w:eastAsia="方正仿宋_GBK" w:cs="方正仿宋_GBK"/>
          <w:b/>
          <w:bCs/>
          <w:sz w:val="28"/>
          <w:szCs w:val="28"/>
        </w:rPr>
        <w:t>第四部分 附件</w:t>
      </w:r>
      <w:r>
        <w:rPr>
          <w:rFonts w:hint="eastAsia" w:ascii="方正仿宋_GBK" w:hAnsi="方正仿宋_GBK" w:eastAsia="方正仿宋_GBK" w:cs="方正仿宋_GBK"/>
          <w:sz w:val="28"/>
          <w:szCs w:val="28"/>
          <w:lang w:val="en-US" w:eastAsia="zh-CN"/>
        </w:rPr>
        <w:t>....................................24</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附件1</w:t>
      </w:r>
      <w:r>
        <w:rPr>
          <w:rFonts w:hint="eastAsia" w:ascii="方正仿宋_GBK" w:hAnsi="方正仿宋_GBK" w:eastAsia="方正仿宋_GBK" w:cs="方正仿宋_GBK"/>
          <w:sz w:val="28"/>
          <w:szCs w:val="28"/>
          <w:lang w:val="en-US" w:eastAsia="zh-CN"/>
        </w:rPr>
        <w:t>.........................................24</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附件2</w:t>
      </w:r>
      <w:r>
        <w:rPr>
          <w:rFonts w:hint="eastAsia" w:ascii="方正仿宋_GBK" w:hAnsi="方正仿宋_GBK" w:eastAsia="方正仿宋_GBK" w:cs="方正仿宋_GBK"/>
          <w:sz w:val="28"/>
          <w:szCs w:val="28"/>
          <w:lang w:val="en-US" w:eastAsia="zh-CN"/>
        </w:rPr>
        <w:t>.........................................26</w:t>
      </w:r>
    </w:p>
    <w:p>
      <w:pPr>
        <w:pStyle w:val="12"/>
        <w:adjustRightInd w:val="0"/>
        <w:snapToGrid w:val="0"/>
        <w:spacing w:before="0" w:line="440" w:lineRule="exact"/>
        <w:jc w:val="left"/>
        <w:rPr>
          <w:rFonts w:hint="eastAsia" w:ascii="方正仿宋_GBK" w:hAnsi="方正仿宋_GBK" w:eastAsia="方正仿宋_GBK" w:cs="方正仿宋_GBK"/>
          <w:b/>
          <w:bCs/>
          <w:sz w:val="28"/>
          <w:szCs w:val="28"/>
          <w:lang w:val="en-US"/>
        </w:rPr>
      </w:pPr>
      <w:r>
        <w:rPr>
          <w:rFonts w:hint="eastAsia" w:ascii="方正仿宋_GBK" w:hAnsi="方正仿宋_GBK" w:eastAsia="方正仿宋_GBK" w:cs="方正仿宋_GBK"/>
          <w:b/>
          <w:bCs/>
          <w:sz w:val="28"/>
          <w:szCs w:val="28"/>
        </w:rPr>
        <w:t>第五部分 附表</w:t>
      </w:r>
      <w:r>
        <w:rPr>
          <w:rFonts w:hint="eastAsia" w:ascii="方正仿宋_GBK" w:hAnsi="方正仿宋_GBK" w:eastAsia="方正仿宋_GBK" w:cs="方正仿宋_GBK"/>
          <w:sz w:val="28"/>
          <w:szCs w:val="28"/>
          <w:lang w:val="en-US" w:eastAsia="zh-CN"/>
        </w:rPr>
        <w:t>....................................27</w:t>
      </w:r>
    </w:p>
    <w:p>
      <w:pPr>
        <w:pStyle w:val="13"/>
        <w:numPr>
          <w:ilvl w:val="0"/>
          <w:numId w:val="2"/>
        </w:numPr>
        <w:adjustRightInd w:val="0"/>
        <w:snapToGrid w:val="0"/>
        <w:spacing w:line="440" w:lineRule="exact"/>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收入支出决算总表</w:t>
      </w:r>
      <w:r>
        <w:rPr>
          <w:rFonts w:hint="eastAsia" w:ascii="方正仿宋_GBK" w:hAnsi="方正仿宋_GBK" w:eastAsia="方正仿宋_GBK" w:cs="方正仿宋_GBK"/>
          <w:sz w:val="28"/>
          <w:szCs w:val="28"/>
          <w:lang w:val="en-US" w:eastAsia="zh-CN"/>
        </w:rPr>
        <w:t>...........................28</w:t>
      </w:r>
    </w:p>
    <w:p>
      <w:pPr>
        <w:pStyle w:val="13"/>
        <w:numPr>
          <w:ilvl w:val="0"/>
          <w:numId w:val="2"/>
        </w:numPr>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收入决算表</w:t>
      </w:r>
      <w:r>
        <w:rPr>
          <w:rFonts w:hint="eastAsia" w:ascii="方正仿宋_GBK" w:hAnsi="方正仿宋_GBK" w:eastAsia="方正仿宋_GBK" w:cs="方正仿宋_GBK"/>
          <w:sz w:val="28"/>
          <w:szCs w:val="28"/>
          <w:lang w:val="en-US" w:eastAsia="zh-CN"/>
        </w:rPr>
        <w:t>.................................28</w:t>
      </w:r>
    </w:p>
    <w:p>
      <w:pPr>
        <w:pStyle w:val="13"/>
        <w:numPr>
          <w:ilvl w:val="0"/>
          <w:numId w:val="2"/>
        </w:numPr>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支出决算表</w:t>
      </w:r>
      <w:r>
        <w:rPr>
          <w:rFonts w:hint="eastAsia" w:ascii="方正仿宋_GBK" w:hAnsi="方正仿宋_GBK" w:eastAsia="方正仿宋_GBK" w:cs="方正仿宋_GBK"/>
          <w:sz w:val="28"/>
          <w:szCs w:val="28"/>
          <w:lang w:val="en-US" w:eastAsia="zh-CN"/>
        </w:rPr>
        <w:t>.................................28</w:t>
      </w:r>
    </w:p>
    <w:p>
      <w:pPr>
        <w:pStyle w:val="13"/>
        <w:numPr>
          <w:ilvl w:val="0"/>
          <w:numId w:val="2"/>
        </w:numPr>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财政拨款收入支出决算总表</w:t>
      </w:r>
      <w:r>
        <w:rPr>
          <w:rFonts w:hint="eastAsia" w:ascii="方正仿宋_GBK" w:hAnsi="方正仿宋_GBK" w:eastAsia="方正仿宋_GBK" w:cs="方正仿宋_GBK"/>
          <w:sz w:val="28"/>
          <w:szCs w:val="28"/>
          <w:lang w:val="en-US" w:eastAsia="zh-CN"/>
        </w:rPr>
        <w:t>...................28</w:t>
      </w:r>
    </w:p>
    <w:p>
      <w:pPr>
        <w:pStyle w:val="13"/>
        <w:numPr>
          <w:ilvl w:val="0"/>
          <w:numId w:val="2"/>
        </w:numPr>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财政拨款支出决算明细表</w:t>
      </w:r>
      <w:r>
        <w:rPr>
          <w:rFonts w:hint="eastAsia" w:ascii="方正仿宋_GBK" w:hAnsi="方正仿宋_GBK" w:eastAsia="方正仿宋_GBK" w:cs="方正仿宋_GBK"/>
          <w:sz w:val="28"/>
          <w:szCs w:val="28"/>
          <w:lang w:val="en-US" w:eastAsia="zh-CN"/>
        </w:rPr>
        <w:t>.....................28</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六、一般公共预算财政拨款支出决算表</w:t>
      </w:r>
      <w:r>
        <w:rPr>
          <w:rFonts w:hint="eastAsia" w:ascii="方正仿宋_GBK" w:hAnsi="方正仿宋_GBK" w:eastAsia="方正仿宋_GBK" w:cs="方正仿宋_GBK"/>
          <w:sz w:val="28"/>
          <w:szCs w:val="28"/>
          <w:lang w:val="en-US" w:eastAsia="zh-CN"/>
        </w:rPr>
        <w:t>.............28</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七、一般公共预算财政拨款支出决算明细表</w:t>
      </w:r>
      <w:r>
        <w:rPr>
          <w:rFonts w:hint="eastAsia" w:ascii="方正仿宋_GBK" w:hAnsi="方正仿宋_GBK" w:eastAsia="方正仿宋_GBK" w:cs="方正仿宋_GBK"/>
          <w:sz w:val="28"/>
          <w:szCs w:val="28"/>
          <w:lang w:val="en-US" w:eastAsia="zh-CN"/>
        </w:rPr>
        <w:t>.........28</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八、一般公共预算财政拨款基本支出决算表</w:t>
      </w:r>
      <w:r>
        <w:rPr>
          <w:rFonts w:hint="eastAsia" w:ascii="方正仿宋_GBK" w:hAnsi="方正仿宋_GBK" w:eastAsia="方正仿宋_GBK" w:cs="方正仿宋_GBK"/>
          <w:sz w:val="28"/>
          <w:szCs w:val="28"/>
          <w:lang w:val="en-US" w:eastAsia="zh-CN"/>
        </w:rPr>
        <w:t>.........28</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九、一般公共预算财政拨款项目支出决算表</w:t>
      </w:r>
      <w:r>
        <w:rPr>
          <w:rFonts w:hint="eastAsia" w:ascii="方正仿宋_GBK" w:hAnsi="方正仿宋_GBK" w:eastAsia="方正仿宋_GBK" w:cs="方正仿宋_GBK"/>
          <w:sz w:val="28"/>
          <w:szCs w:val="28"/>
          <w:lang w:val="en-US" w:eastAsia="zh-CN"/>
        </w:rPr>
        <w:t>.........28</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十、一般公共预算财政拨款“三公”经费支出决算表</w:t>
      </w:r>
      <w:r>
        <w:rPr>
          <w:rFonts w:hint="eastAsia" w:ascii="方正仿宋_GBK" w:hAnsi="方正仿宋_GBK" w:eastAsia="方正仿宋_GBK" w:cs="方正仿宋_GBK"/>
          <w:sz w:val="28"/>
          <w:szCs w:val="28"/>
          <w:lang w:val="en-US" w:eastAsia="zh-CN"/>
        </w:rPr>
        <w:t>.28</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十一、政府性基金预算财政拨款收入支出决算表</w:t>
      </w:r>
      <w:r>
        <w:rPr>
          <w:rFonts w:hint="eastAsia" w:ascii="方正仿宋_GBK" w:hAnsi="方正仿宋_GBK" w:eastAsia="方正仿宋_GBK" w:cs="方正仿宋_GBK"/>
          <w:sz w:val="28"/>
          <w:szCs w:val="28"/>
          <w:lang w:val="en-US" w:eastAsia="zh-CN"/>
        </w:rPr>
        <w:t>.....28</w:t>
      </w:r>
    </w:p>
    <w:p>
      <w:pPr>
        <w:pStyle w:val="13"/>
        <w:adjustRightInd w:val="0"/>
        <w:snapToGrid w:val="0"/>
        <w:spacing w:line="440" w:lineRule="exact"/>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十二、政府性基金预算财政拨款“三公”经费支出决算表</w:t>
      </w:r>
      <w:r>
        <w:rPr>
          <w:rFonts w:hint="eastAsia" w:ascii="方正仿宋_GBK" w:hAnsi="方正仿宋_GBK" w:eastAsia="方正仿宋_GBK" w:cs="方正仿宋_GBK"/>
          <w:sz w:val="28"/>
          <w:szCs w:val="28"/>
          <w:lang w:val="en-US" w:eastAsia="zh-CN"/>
        </w:rPr>
        <w:t>...28</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十三、国有资本经营预算财政拨款收入支出决算表</w:t>
      </w:r>
      <w:r>
        <w:rPr>
          <w:rFonts w:hint="eastAsia" w:ascii="方正仿宋_GBK" w:hAnsi="方正仿宋_GBK" w:eastAsia="方正仿宋_GBK" w:cs="方正仿宋_GBK"/>
          <w:sz w:val="28"/>
          <w:szCs w:val="28"/>
          <w:lang w:val="en-US" w:eastAsia="zh-CN"/>
        </w:rPr>
        <w:t>...28</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十四、国有资本经营预算财政拨款支出决算表</w:t>
      </w:r>
      <w:r>
        <w:rPr>
          <w:rFonts w:hint="eastAsia" w:ascii="方正仿宋_GBK" w:hAnsi="方正仿宋_GBK" w:eastAsia="方正仿宋_GBK" w:cs="方正仿宋_GBK"/>
          <w:sz w:val="28"/>
          <w:szCs w:val="28"/>
          <w:lang w:val="en-US" w:eastAsia="zh-CN"/>
        </w:rPr>
        <w:t>.......28</w:t>
      </w:r>
    </w:p>
    <w:p>
      <w:pPr>
        <w:pStyle w:val="13"/>
        <w:adjustRightInd w:val="0"/>
        <w:snapToGrid w:val="0"/>
        <w:spacing w:line="440" w:lineRule="exact"/>
        <w:jc w:val="left"/>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十五、机关运行经费、资产占用情况及政府采购支出信息</w:t>
      </w:r>
      <w:r>
        <w:rPr>
          <w:rFonts w:hint="eastAsia" w:ascii="方正仿宋_GBK" w:hAnsi="方正仿宋_GBK" w:eastAsia="方正仿宋_GBK" w:cs="方正仿宋_GBK"/>
          <w:sz w:val="28"/>
          <w:szCs w:val="28"/>
          <w:lang w:eastAsia="zh-CN"/>
        </w:rPr>
        <w:t>表</w:t>
      </w:r>
      <w:r>
        <w:rPr>
          <w:rFonts w:hint="eastAsia" w:ascii="方正仿宋_GBK" w:hAnsi="方正仿宋_GBK" w:eastAsia="方正仿宋_GBK" w:cs="方正仿宋_GBK"/>
          <w:sz w:val="28"/>
          <w:szCs w:val="28"/>
          <w:lang w:val="en-US" w:eastAsia="zh-CN"/>
        </w:rPr>
        <w:t>........28</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1"/>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21"/>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rPr>
          <w:rStyle w:val="22"/>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2"/>
          <w:rFonts w:hint="eastAsia" w:ascii="黑体" w:hAnsi="黑体" w:eastAsia="黑体"/>
          <w:b w:val="0"/>
          <w:bCs w:val="0"/>
        </w:rPr>
        <w:t>本职能及主要工作</w:t>
      </w:r>
      <w:bookmarkEnd w:id="14"/>
      <w:bookmarkEnd w:id="15"/>
    </w:p>
    <w:p>
      <w:pPr>
        <w:snapToGrid w:val="0"/>
        <w:spacing w:line="560" w:lineRule="exact"/>
        <w:ind w:firstLine="640" w:firstLineChars="200"/>
        <w:rPr>
          <w:rFonts w:hint="eastAsia" w:ascii="仿宋" w:hAnsi="仿宋" w:eastAsia="仿宋"/>
          <w:bCs/>
          <w:color w:val="auto"/>
          <w:sz w:val="32"/>
          <w:szCs w:val="32"/>
        </w:rPr>
      </w:pPr>
      <w:bookmarkStart w:id="16" w:name="_Toc15378445"/>
      <w:bookmarkStart w:id="17" w:name="_Toc15377198"/>
      <w:r>
        <w:rPr>
          <w:rFonts w:hint="eastAsia" w:ascii="仿宋" w:hAnsi="仿宋" w:eastAsia="仿宋"/>
          <w:bCs/>
          <w:color w:val="auto"/>
          <w:sz w:val="32"/>
          <w:szCs w:val="32"/>
        </w:rPr>
        <w:t>（一）主要职能。</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根据《米易县机构改革方案》（米委发〔2019〕2号和《关于〈米易县机构改革方案〉的实施意见》（米机改〔2019〕2号）的规定，</w:t>
      </w:r>
      <w:r>
        <w:rPr>
          <w:rFonts w:hint="eastAsia" w:ascii="仿宋_GB2312" w:hAnsi="仿宋_GB2312" w:eastAsia="仿宋_GB2312" w:cs="仿宋_GB2312"/>
          <w:color w:val="auto"/>
          <w:sz w:val="32"/>
          <w:szCs w:val="32"/>
          <w:lang w:eastAsia="zh-CN"/>
        </w:rPr>
        <w:t>县委统战部</w:t>
      </w:r>
      <w:r>
        <w:rPr>
          <w:rFonts w:hint="eastAsia" w:ascii="仿宋_GB2312" w:hAnsi="仿宋_GB2312" w:eastAsia="仿宋_GB2312" w:cs="仿宋_GB2312"/>
          <w:color w:val="auto"/>
          <w:sz w:val="32"/>
          <w:szCs w:val="32"/>
        </w:rPr>
        <w:t>于2019年3月25日起与</w:t>
      </w:r>
      <w:r>
        <w:rPr>
          <w:rFonts w:hint="eastAsia" w:ascii="仿宋_GB2312" w:hAnsi="仿宋_GB2312" w:eastAsia="仿宋_GB2312" w:cs="仿宋_GB2312"/>
          <w:color w:val="auto"/>
          <w:sz w:val="32"/>
          <w:szCs w:val="32"/>
          <w:lang w:eastAsia="zh-CN"/>
        </w:rPr>
        <w:t>米易县民族宗教事务</w:t>
      </w:r>
      <w:r>
        <w:rPr>
          <w:rFonts w:hint="eastAsia" w:ascii="仿宋_GB2312" w:hAnsi="仿宋_GB2312" w:eastAsia="仿宋_GB2312" w:cs="仿宋_GB2312"/>
          <w:color w:val="auto"/>
          <w:sz w:val="32"/>
          <w:szCs w:val="32"/>
        </w:rPr>
        <w:t>合署办公，实行一套机构、两个机关名称。</w:t>
      </w:r>
    </w:p>
    <w:p>
      <w:pPr>
        <w:pStyle w:val="2"/>
        <w:adjustRightInd w:val="0"/>
        <w:snapToGrid w:val="0"/>
        <w:spacing w:before="93" w:line="600" w:lineRule="exact"/>
        <w:ind w:left="319" w:leftChars="152" w:firstLine="348" w:firstLineChars="109"/>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主要职责是：承办县委、县政府交办的各项工作任</w:t>
      </w:r>
      <w:r>
        <w:rPr>
          <w:rFonts w:hint="eastAsia" w:hAnsi="仿宋_GB2312" w:cs="仿宋_GB2312"/>
          <w:color w:val="auto"/>
          <w:sz w:val="32"/>
          <w:szCs w:val="32"/>
          <w:lang w:eastAsia="zh-CN"/>
        </w:rPr>
        <w:t>务</w:t>
      </w:r>
    </w:p>
    <w:bookmarkEnd w:id="16"/>
    <w:bookmarkEnd w:id="17"/>
    <w:p>
      <w:pPr>
        <w:pStyle w:val="2"/>
        <w:adjustRightInd w:val="0"/>
        <w:snapToGrid w:val="0"/>
        <w:spacing w:before="93" w:line="600" w:lineRule="exact"/>
        <w:ind w:firstLine="672" w:firstLineChars="210"/>
        <w:outlineLvl w:val="2"/>
        <w:rPr>
          <w:rFonts w:hint="eastAsia" w:ascii="仿宋" w:hAnsi="仿宋" w:eastAsia="仿宋"/>
          <w:bCs/>
          <w:color w:val="auto"/>
          <w:sz w:val="32"/>
          <w:szCs w:val="32"/>
        </w:rPr>
      </w:pPr>
      <w:bookmarkStart w:id="18" w:name="_Toc15377199"/>
      <w:bookmarkStart w:id="19" w:name="_Toc15378446"/>
      <w:r>
        <w:rPr>
          <w:rFonts w:hint="eastAsia" w:ascii="仿宋" w:hAnsi="仿宋" w:eastAsia="仿宋"/>
          <w:bCs/>
          <w:color w:val="auto"/>
          <w:sz w:val="32"/>
          <w:szCs w:val="32"/>
        </w:rPr>
        <w:t>（二）</w:t>
      </w:r>
      <w:r>
        <w:rPr>
          <w:rFonts w:ascii="仿宋" w:hAnsi="仿宋" w:eastAsia="仿宋"/>
          <w:bCs/>
          <w:color w:val="auto"/>
          <w:sz w:val="32"/>
          <w:szCs w:val="32"/>
        </w:rPr>
        <w:t>202</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rPr>
        <w:t>年重点工作完成情况。</w:t>
      </w:r>
      <w:bookmarkEnd w:id="18"/>
      <w:bookmarkEnd w:id="19"/>
    </w:p>
    <w:p>
      <w:pPr>
        <w:spacing w:line="600" w:lineRule="exact"/>
        <w:ind w:firstLine="994" w:firstLineChars="300"/>
        <w:jc w:val="left"/>
        <w:rPr>
          <w:rFonts w:hint="default" w:ascii="Times New Roman" w:hAnsi="Times New Roman" w:eastAsia="仿宋_GB2312" w:cs="Times New Roman"/>
          <w:color w:val="auto"/>
          <w:sz w:val="33"/>
          <w:szCs w:val="33"/>
          <w:shd w:val="clear" w:color="auto" w:fill="FFFFFF"/>
        </w:rPr>
      </w:pPr>
      <w:bookmarkStart w:id="20" w:name="_Toc15377200"/>
      <w:bookmarkStart w:id="21" w:name="_Toc15396601"/>
      <w:r>
        <w:rPr>
          <w:rFonts w:hint="default" w:ascii="Times New Roman" w:hAnsi="Times New Roman" w:eastAsia="方正楷体_GBK" w:cs="Times New Roman"/>
          <w:b/>
          <w:bCs/>
          <w:color w:val="auto"/>
          <w:sz w:val="33"/>
          <w:szCs w:val="33"/>
          <w:shd w:val="clear" w:color="auto" w:fill="FFFFFF"/>
          <w:lang w:val="en-US" w:eastAsia="zh-CN"/>
        </w:rPr>
        <w:t>1.</w:t>
      </w:r>
      <w:r>
        <w:rPr>
          <w:rFonts w:hint="default" w:ascii="Times New Roman" w:hAnsi="Times New Roman" w:eastAsia="方正楷体_GBK" w:cs="Times New Roman"/>
          <w:b/>
          <w:bCs/>
          <w:color w:val="auto"/>
          <w:sz w:val="33"/>
          <w:szCs w:val="33"/>
          <w:shd w:val="clear" w:color="auto" w:fill="FFFFFF"/>
        </w:rPr>
        <w:t>实现《</w:t>
      </w:r>
      <w:r>
        <w:rPr>
          <w:rFonts w:hint="default" w:ascii="Times New Roman" w:hAnsi="Times New Roman" w:eastAsia="方正楷体_GBK" w:cs="Times New Roman"/>
          <w:b/>
          <w:bCs/>
          <w:color w:val="auto"/>
          <w:sz w:val="33"/>
          <w:szCs w:val="33"/>
          <w:shd w:val="clear" w:color="auto" w:fill="FFFFFF"/>
          <w:lang w:eastAsia="zh-CN"/>
        </w:rPr>
        <w:t>中国共产党统一战线工作条例</w:t>
      </w:r>
      <w:r>
        <w:rPr>
          <w:rFonts w:hint="default" w:ascii="Times New Roman" w:hAnsi="Times New Roman" w:eastAsia="方正楷体_GBK" w:cs="Times New Roman"/>
          <w:b/>
          <w:bCs/>
          <w:color w:val="auto"/>
          <w:sz w:val="33"/>
          <w:szCs w:val="33"/>
          <w:shd w:val="clear" w:color="auto" w:fill="FFFFFF"/>
        </w:rPr>
        <w:t>》宣传全覆盖</w:t>
      </w:r>
      <w:r>
        <w:rPr>
          <w:rFonts w:hint="default" w:ascii="Times New Roman" w:hAnsi="Times New Roman" w:eastAsia="方正楷体_GBK" w:cs="Times New Roman"/>
          <w:b/>
          <w:bCs/>
          <w:color w:val="auto"/>
          <w:sz w:val="33"/>
          <w:szCs w:val="33"/>
          <w:shd w:val="clear" w:color="auto" w:fill="FFFFFF"/>
          <w:lang w:eastAsia="zh-CN"/>
        </w:rPr>
        <w:t>。</w:t>
      </w:r>
      <w:r>
        <w:rPr>
          <w:rFonts w:hint="default" w:ascii="Times New Roman" w:hAnsi="Times New Roman" w:eastAsia="仿宋_GB2312" w:cs="Times New Roman"/>
          <w:color w:val="auto"/>
          <w:sz w:val="33"/>
          <w:szCs w:val="33"/>
        </w:rPr>
        <w:t>在全省率先开展《</w:t>
      </w:r>
      <w:r>
        <w:rPr>
          <w:rFonts w:hint="default" w:ascii="Times New Roman" w:hAnsi="Times New Roman" w:eastAsia="仿宋_GB2312" w:cs="Times New Roman"/>
          <w:b w:val="0"/>
          <w:bCs w:val="0"/>
          <w:color w:val="auto"/>
          <w:sz w:val="32"/>
          <w:szCs w:val="32"/>
          <w:shd w:val="clear" w:color="auto" w:fill="FFFFFF"/>
          <w:lang w:eastAsia="zh-CN"/>
        </w:rPr>
        <w:t>中国共产党统一战线工作条例</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3"/>
          <w:szCs w:val="33"/>
        </w:rPr>
        <w:t>“进机关部门”、“进乡镇村社”、“进</w:t>
      </w:r>
      <w:r>
        <w:rPr>
          <w:rStyle w:val="17"/>
          <w:rFonts w:hint="default" w:ascii="Times New Roman" w:hAnsi="Times New Roman" w:eastAsia="仿宋_GB2312" w:cs="Times New Roman"/>
          <w:b w:val="0"/>
          <w:color w:val="auto"/>
          <w:sz w:val="33"/>
          <w:szCs w:val="33"/>
          <w:shd w:val="clear" w:color="auto" w:fill="FFFFFF"/>
        </w:rPr>
        <w:t>党外人士</w:t>
      </w:r>
      <w:r>
        <w:rPr>
          <w:rFonts w:hint="default" w:ascii="Times New Roman" w:hAnsi="Times New Roman" w:eastAsia="仿宋_GB2312" w:cs="Times New Roman"/>
          <w:color w:val="auto"/>
          <w:sz w:val="33"/>
          <w:szCs w:val="33"/>
        </w:rPr>
        <w:t>”</w:t>
      </w:r>
      <w:r>
        <w:rPr>
          <w:rStyle w:val="17"/>
          <w:rFonts w:hint="default" w:ascii="Times New Roman" w:hAnsi="Times New Roman" w:eastAsia="仿宋_GB2312" w:cs="Times New Roman"/>
          <w:b w:val="0"/>
          <w:color w:val="auto"/>
          <w:sz w:val="33"/>
          <w:szCs w:val="33"/>
          <w:shd w:val="clear" w:color="auto" w:fill="FFFFFF"/>
        </w:rPr>
        <w:t>、“进宗教界场所”、“进非公企业”、“进新阶人士”、“进侨界人士”</w:t>
      </w:r>
      <w:r>
        <w:rPr>
          <w:rStyle w:val="17"/>
          <w:rFonts w:hint="default" w:ascii="Times New Roman" w:hAnsi="Times New Roman" w:eastAsia="仿宋_GB2312" w:cs="Times New Roman"/>
          <w:b w:val="0"/>
          <w:color w:val="auto"/>
          <w:sz w:val="33"/>
          <w:szCs w:val="33"/>
          <w:shd w:val="clear" w:color="auto" w:fill="FFFFFF"/>
          <w:lang w:eastAsia="zh-CN"/>
        </w:rPr>
        <w:t>等“七进”</w:t>
      </w:r>
      <w:r>
        <w:rPr>
          <w:rFonts w:hint="default" w:ascii="Times New Roman" w:hAnsi="Times New Roman" w:eastAsia="仿宋_GB2312" w:cs="Times New Roman"/>
          <w:color w:val="auto"/>
          <w:sz w:val="33"/>
          <w:szCs w:val="33"/>
          <w:shd w:val="clear" w:color="auto" w:fill="FFFFFF"/>
        </w:rPr>
        <w:t>活动，向全县各级党组织、统战团体共赠送《</w:t>
      </w:r>
      <w:r>
        <w:rPr>
          <w:rFonts w:hint="default" w:ascii="Times New Roman" w:hAnsi="Times New Roman" w:eastAsia="仿宋_GB2312" w:cs="Times New Roman"/>
          <w:b w:val="0"/>
          <w:bCs w:val="0"/>
          <w:color w:val="auto"/>
          <w:sz w:val="32"/>
          <w:szCs w:val="32"/>
          <w:shd w:val="clear" w:color="auto" w:fill="FFFFFF"/>
          <w:lang w:eastAsia="zh-CN"/>
        </w:rPr>
        <w:t>中国共产党统一战线工作条例</w:t>
      </w:r>
      <w:r>
        <w:rPr>
          <w:rFonts w:hint="default" w:ascii="Times New Roman" w:hAnsi="Times New Roman" w:eastAsia="仿宋_GB2312" w:cs="Times New Roman"/>
          <w:color w:val="auto"/>
          <w:sz w:val="33"/>
          <w:szCs w:val="33"/>
          <w:shd w:val="clear" w:color="auto" w:fill="FFFFFF"/>
        </w:rPr>
        <w:t>》全文读本600余本。11个乡镇、73个村、13个社区干部采取不同形式学习《</w:t>
      </w:r>
      <w:r>
        <w:rPr>
          <w:rFonts w:hint="default" w:ascii="Times New Roman" w:hAnsi="Times New Roman" w:eastAsia="仿宋_GB2312" w:cs="Times New Roman"/>
          <w:b w:val="0"/>
          <w:bCs w:val="0"/>
          <w:color w:val="auto"/>
          <w:sz w:val="32"/>
          <w:szCs w:val="32"/>
          <w:shd w:val="clear" w:color="auto" w:fill="FFFFFF"/>
          <w:lang w:eastAsia="zh-CN"/>
        </w:rPr>
        <w:t>中国共产党统一战线工作条例</w:t>
      </w:r>
      <w:r>
        <w:rPr>
          <w:rFonts w:hint="default" w:ascii="Times New Roman" w:hAnsi="Times New Roman" w:eastAsia="仿宋_GB2312" w:cs="Times New Roman"/>
          <w:color w:val="auto"/>
          <w:sz w:val="33"/>
          <w:szCs w:val="33"/>
          <w:shd w:val="clear" w:color="auto" w:fill="FFFFFF"/>
        </w:rPr>
        <w:t>》</w:t>
      </w:r>
      <w:r>
        <w:rPr>
          <w:rFonts w:hint="default" w:ascii="Times New Roman" w:hAnsi="Times New Roman" w:eastAsia="仿宋_GB2312" w:cs="Times New Roman"/>
          <w:color w:val="auto"/>
          <w:sz w:val="33"/>
          <w:szCs w:val="33"/>
          <w:shd w:val="clear" w:color="auto" w:fill="FFFFFF"/>
          <w:lang w:eastAsia="zh-CN"/>
        </w:rPr>
        <w:t>。</w:t>
      </w:r>
      <w:r>
        <w:rPr>
          <w:rFonts w:hint="default" w:ascii="Times New Roman" w:hAnsi="Times New Roman" w:eastAsia="仿宋_GB2312" w:cs="Times New Roman"/>
          <w:color w:val="auto"/>
          <w:sz w:val="33"/>
          <w:szCs w:val="33"/>
          <w:shd w:val="clear" w:color="auto" w:fill="FFFFFF"/>
        </w:rPr>
        <w:t>组织五个民主党派主委、副主委和县知联部负责人</w:t>
      </w:r>
      <w:r>
        <w:rPr>
          <w:rFonts w:hint="default" w:ascii="Times New Roman" w:hAnsi="Times New Roman" w:eastAsia="仿宋_GB2312" w:cs="Times New Roman"/>
          <w:color w:val="auto"/>
          <w:sz w:val="33"/>
          <w:szCs w:val="33"/>
          <w:shd w:val="clear" w:color="auto" w:fill="FFFFFF"/>
          <w:lang w:eastAsia="zh-CN"/>
        </w:rPr>
        <w:t>、</w:t>
      </w:r>
      <w:r>
        <w:rPr>
          <w:rFonts w:hint="default" w:ascii="Times New Roman" w:hAnsi="Times New Roman" w:eastAsia="仿宋_GB2312" w:cs="Times New Roman"/>
          <w:color w:val="auto"/>
          <w:sz w:val="33"/>
          <w:szCs w:val="33"/>
          <w:shd w:val="clear" w:color="auto" w:fill="FFFFFF"/>
        </w:rPr>
        <w:t>新的社会阶层人士</w:t>
      </w:r>
      <w:r>
        <w:rPr>
          <w:rFonts w:hint="default" w:ascii="Times New Roman" w:hAnsi="Times New Roman" w:eastAsia="仿宋_GB2312" w:cs="Times New Roman"/>
          <w:color w:val="auto"/>
          <w:sz w:val="33"/>
          <w:szCs w:val="33"/>
          <w:shd w:val="clear" w:color="auto" w:fill="FFFFFF"/>
          <w:lang w:eastAsia="zh-CN"/>
        </w:rPr>
        <w:t>、</w:t>
      </w:r>
      <w:r>
        <w:rPr>
          <w:rFonts w:hint="default" w:ascii="Times New Roman" w:hAnsi="Times New Roman" w:eastAsia="仿宋_GB2312" w:cs="Times New Roman"/>
          <w:color w:val="auto"/>
          <w:sz w:val="33"/>
          <w:szCs w:val="33"/>
          <w:shd w:val="clear" w:color="auto" w:fill="FFFFFF"/>
          <w:lang w:val="en-US" w:eastAsia="zh-CN"/>
        </w:rPr>
        <w:t>宗教界人士、</w:t>
      </w:r>
      <w:r>
        <w:rPr>
          <w:rFonts w:hint="default" w:ascii="Times New Roman" w:hAnsi="Times New Roman" w:eastAsia="仿宋_GB2312" w:cs="Times New Roman"/>
          <w:color w:val="auto"/>
          <w:sz w:val="33"/>
          <w:szCs w:val="33"/>
          <w:shd w:val="clear" w:color="auto" w:fill="FFFFFF"/>
        </w:rPr>
        <w:t>县侨联班子成员、全县侨界人大代表、政协委员、重点侨眷代表人士学习《</w:t>
      </w:r>
      <w:r>
        <w:rPr>
          <w:rFonts w:hint="default" w:ascii="Times New Roman" w:hAnsi="Times New Roman" w:eastAsia="仿宋_GB2312" w:cs="Times New Roman"/>
          <w:b w:val="0"/>
          <w:bCs w:val="0"/>
          <w:color w:val="auto"/>
          <w:sz w:val="32"/>
          <w:szCs w:val="32"/>
          <w:shd w:val="clear" w:color="auto" w:fill="FFFFFF"/>
          <w:lang w:eastAsia="zh-CN"/>
        </w:rPr>
        <w:t>中国共产党统一战线工作条例</w:t>
      </w:r>
      <w:r>
        <w:rPr>
          <w:rFonts w:hint="default" w:ascii="Times New Roman" w:hAnsi="Times New Roman" w:eastAsia="仿宋_GB2312" w:cs="Times New Roman"/>
          <w:color w:val="auto"/>
          <w:sz w:val="33"/>
          <w:szCs w:val="33"/>
          <w:shd w:val="clear" w:color="auto" w:fill="FFFFFF"/>
        </w:rPr>
        <w:t>》</w:t>
      </w:r>
      <w:r>
        <w:rPr>
          <w:rFonts w:hint="default" w:ascii="Times New Roman" w:hAnsi="Times New Roman" w:eastAsia="仿宋_GB2312" w:cs="Times New Roman"/>
          <w:color w:val="auto"/>
          <w:sz w:val="33"/>
          <w:szCs w:val="33"/>
          <w:shd w:val="clear" w:color="auto" w:fill="FFFFFF"/>
          <w:lang w:eastAsia="zh-CN"/>
        </w:rPr>
        <w:t>，</w:t>
      </w:r>
      <w:r>
        <w:rPr>
          <w:rFonts w:hint="default" w:ascii="Times New Roman" w:hAnsi="Times New Roman" w:eastAsia="仿宋_GB2312" w:cs="Times New Roman"/>
          <w:color w:val="auto"/>
          <w:sz w:val="33"/>
          <w:szCs w:val="33"/>
          <w:shd w:val="clear" w:color="auto" w:fill="FFFFFF"/>
        </w:rPr>
        <w:t>强化思想引领，凝聚政治共识，做到《</w:t>
      </w:r>
      <w:r>
        <w:rPr>
          <w:rFonts w:hint="default" w:ascii="Times New Roman" w:hAnsi="Times New Roman" w:eastAsia="仿宋_GB2312" w:cs="Times New Roman"/>
          <w:b w:val="0"/>
          <w:bCs w:val="0"/>
          <w:color w:val="auto"/>
          <w:sz w:val="32"/>
          <w:szCs w:val="32"/>
          <w:shd w:val="clear" w:color="auto" w:fill="FFFFFF"/>
          <w:lang w:eastAsia="zh-CN"/>
        </w:rPr>
        <w:t>中国共产党统一战线工作条例</w:t>
      </w:r>
      <w:r>
        <w:rPr>
          <w:rFonts w:hint="default" w:ascii="Times New Roman" w:hAnsi="Times New Roman" w:eastAsia="仿宋_GB2312" w:cs="Times New Roman"/>
          <w:color w:val="auto"/>
          <w:sz w:val="33"/>
          <w:szCs w:val="33"/>
          <w:shd w:val="clear" w:color="auto" w:fill="FFFFFF"/>
        </w:rPr>
        <w:t>》学习宣传全覆盖。</w:t>
      </w:r>
    </w:p>
    <w:p>
      <w:pPr>
        <w:spacing w:line="600" w:lineRule="exact"/>
        <w:ind w:firstLine="660" w:firstLineChars="200"/>
        <w:rPr>
          <w:rFonts w:hint="default" w:ascii="Times New Roman" w:hAnsi="Times New Roman" w:eastAsia="方正仿宋_GBK" w:cs="Times New Roman"/>
          <w:b w:val="0"/>
          <w:i w:val="0"/>
          <w:caps w:val="0"/>
          <w:color w:val="090909"/>
          <w:spacing w:val="0"/>
          <w:sz w:val="32"/>
          <w:szCs w:val="32"/>
          <w:shd w:val="clear" w:fill="FFFFFF"/>
        </w:rPr>
      </w:pPr>
      <w:r>
        <w:rPr>
          <w:rFonts w:hint="default" w:ascii="Times New Roman" w:hAnsi="Times New Roman" w:eastAsia="方正黑体_GBK" w:cs="Times New Roman"/>
          <w:color w:val="auto"/>
          <w:sz w:val="33"/>
          <w:szCs w:val="33"/>
          <w:shd w:val="clear" w:color="auto" w:fill="FFFFFF"/>
          <w:lang w:val="en-US" w:eastAsia="zh-CN"/>
        </w:rPr>
        <w:t>2.</w:t>
      </w:r>
      <w:r>
        <w:rPr>
          <w:rFonts w:hint="default" w:ascii="Times New Roman" w:hAnsi="Times New Roman" w:eastAsia="方正楷体简体" w:cs="Times New Roman"/>
          <w:b/>
          <w:bCs/>
          <w:color w:val="auto"/>
          <w:sz w:val="33"/>
          <w:szCs w:val="33"/>
        </w:rPr>
        <w:t>积极开展民主党派工作。</w:t>
      </w:r>
      <w:r>
        <w:rPr>
          <w:rFonts w:hint="default" w:ascii="Times New Roman" w:hAnsi="Times New Roman" w:eastAsia="方正仿宋_GBK" w:cs="Times New Roman"/>
          <w:b w:val="0"/>
          <w:i w:val="0"/>
          <w:caps w:val="0"/>
          <w:color w:val="090909"/>
          <w:spacing w:val="0"/>
          <w:sz w:val="32"/>
          <w:szCs w:val="32"/>
          <w:shd w:val="clear" w:fill="FFFFFF"/>
        </w:rPr>
        <w:t>指导民主党派继续组织开展“不忘合作初心，继续携手前进”主题教育活动，成立了民主党派红色文化活动室，进一步巩固统一战线共同思想基础。印发《米易县关于进一步支持民主党派和无党派人士相关工作的八条措施》，积极支持民主党派和无党派人士履行职能、发挥作用。各民主党派、知联部就“土地托管+订单农业”产业新模式、物业服务类纠纷案件、学前教育普及普惠发展等课题形成了调研成果；在县政协十五届一次会议上提出集体提案</w:t>
      </w:r>
      <w:r>
        <w:rPr>
          <w:rFonts w:hint="default" w:ascii="Times New Roman" w:hAnsi="Times New Roman" w:eastAsia="方正楷体_GBK" w:cs="Times New Roman"/>
          <w:b w:val="0"/>
          <w:i w:val="0"/>
          <w:caps w:val="0"/>
          <w:color w:val="090909"/>
          <w:spacing w:val="0"/>
          <w:sz w:val="32"/>
          <w:szCs w:val="32"/>
          <w:shd w:val="clear" w:fill="FFFFFF"/>
        </w:rPr>
        <w:t>8</w:t>
      </w:r>
      <w:r>
        <w:rPr>
          <w:rFonts w:hint="default" w:ascii="Times New Roman" w:hAnsi="Times New Roman" w:eastAsia="方正仿宋_GBK" w:cs="Times New Roman"/>
          <w:b w:val="0"/>
          <w:i w:val="0"/>
          <w:caps w:val="0"/>
          <w:color w:val="090909"/>
          <w:spacing w:val="0"/>
          <w:sz w:val="32"/>
          <w:szCs w:val="32"/>
          <w:shd w:val="clear" w:fill="FFFFFF"/>
        </w:rPr>
        <w:t>个，个人提案</w:t>
      </w:r>
      <w:r>
        <w:rPr>
          <w:rFonts w:hint="default" w:ascii="Times New Roman" w:hAnsi="Times New Roman" w:eastAsia="方正仿宋_GBK" w:cs="Times New Roman"/>
          <w:b/>
          <w:bCs/>
          <w:i w:val="0"/>
          <w:caps w:val="0"/>
          <w:color w:val="090909"/>
          <w:spacing w:val="0"/>
          <w:sz w:val="32"/>
          <w:szCs w:val="32"/>
          <w:shd w:val="clear" w:fill="FFFFFF"/>
        </w:rPr>
        <w:t>31</w:t>
      </w:r>
      <w:r>
        <w:rPr>
          <w:rFonts w:hint="default" w:ascii="Times New Roman" w:hAnsi="Times New Roman" w:eastAsia="方正仿宋_GBK" w:cs="Times New Roman"/>
          <w:b w:val="0"/>
          <w:i w:val="0"/>
          <w:caps w:val="0"/>
          <w:color w:val="090909"/>
          <w:spacing w:val="0"/>
          <w:sz w:val="32"/>
          <w:szCs w:val="32"/>
          <w:shd w:val="clear" w:fill="FFFFFF"/>
        </w:rPr>
        <w:t>个，提案得到了县委、县政府的高度重视与采纳。</w:t>
      </w:r>
    </w:p>
    <w:p>
      <w:pPr>
        <w:spacing w:line="600" w:lineRule="exact"/>
        <w:ind w:firstLine="663" w:firstLineChars="200"/>
        <w:rPr>
          <w:rFonts w:hint="default" w:ascii="Times New Roman" w:hAnsi="Times New Roman" w:eastAsia="方正仿宋_GBK" w:cs="Times New Roman"/>
          <w:b w:val="0"/>
          <w:sz w:val="32"/>
          <w:szCs w:val="32"/>
        </w:rPr>
      </w:pPr>
      <w:r>
        <w:rPr>
          <w:rFonts w:hint="default" w:ascii="Times New Roman" w:hAnsi="Times New Roman" w:eastAsia="方正楷体简体" w:cs="Times New Roman"/>
          <w:b/>
          <w:bCs/>
          <w:color w:val="auto"/>
          <w:sz w:val="33"/>
          <w:szCs w:val="33"/>
          <w:lang w:val="en-US" w:eastAsia="zh-CN"/>
        </w:rPr>
        <w:t>3.</w:t>
      </w:r>
      <w:r>
        <w:rPr>
          <w:rFonts w:hint="default" w:ascii="Times New Roman" w:hAnsi="Times New Roman" w:eastAsia="方正楷体简体" w:cs="Times New Roman"/>
          <w:b/>
          <w:bCs/>
          <w:color w:val="auto"/>
          <w:sz w:val="33"/>
          <w:szCs w:val="33"/>
        </w:rPr>
        <w:t>做好党外代表人士队伍建设和党外知识分子工作。</w:t>
      </w:r>
      <w:r>
        <w:rPr>
          <w:rFonts w:hint="default" w:ascii="Times New Roman" w:hAnsi="Times New Roman" w:eastAsia="方正仿宋_GBK" w:cs="Times New Roman"/>
          <w:b w:val="0"/>
          <w:i w:val="0"/>
          <w:caps w:val="0"/>
          <w:color w:val="090909"/>
          <w:spacing w:val="0"/>
          <w:sz w:val="32"/>
          <w:szCs w:val="32"/>
          <w:shd w:val="clear" w:fill="FFFFFF"/>
        </w:rPr>
        <w:t>一是抓好党外人才发掘和储备。建立民主党派和无党派年轻后备干部人才库，发现和储备一批年轻后备干部，确保民主党派、无党派干部队伍稳定，储备充足，素质优良。目前储备党外后备干部124名。建立县知联部会员物色储备工作长效机制，县知联部吸收会员</w:t>
      </w:r>
      <w:r>
        <w:rPr>
          <w:rFonts w:hint="default" w:ascii="Times New Roman" w:hAnsi="Times New Roman" w:eastAsia="方正仿宋_GBK" w:cs="Times New Roman"/>
          <w:b w:val="0"/>
          <w:i w:val="0"/>
          <w:caps w:val="0"/>
          <w:color w:val="090909"/>
          <w:spacing w:val="0"/>
          <w:sz w:val="32"/>
          <w:szCs w:val="32"/>
          <w:shd w:val="clear" w:fill="FFFFFF"/>
          <w:lang w:val="en-US" w:eastAsia="zh-CN"/>
        </w:rPr>
        <w:t>达</w:t>
      </w:r>
      <w:r>
        <w:rPr>
          <w:rFonts w:hint="default" w:ascii="Times New Roman" w:hAnsi="Times New Roman" w:eastAsia="方正仿宋_GBK" w:cs="Times New Roman"/>
          <w:b w:val="0"/>
          <w:i w:val="0"/>
          <w:caps w:val="0"/>
          <w:color w:val="090909"/>
          <w:spacing w:val="0"/>
          <w:sz w:val="32"/>
          <w:szCs w:val="32"/>
          <w:shd w:val="clear" w:fill="FFFFFF"/>
        </w:rPr>
        <w:t>80人。二是搭建展示才华平台。安排5名党外干部在县政协大会议上分别就《牢牢抓住“一个米袋子 一手菜篮子”，倾力创建国家级现代农业粮经产业示范区》《推动农文旅深度融合发展 助力乡村全面振兴》《推进网格化社会治理 构筑米易基层治理第一屏障》《关于加快学前教育普及普惠发展的几点思考》《建设攀枝花市医疗副中心 助力米易康养产业发展》作大会发言；39名党外知识分子在庆祝第37个教师节大会上获表扬。三是做好政治安排和实职安排。1名正科级党外干部被提拔为副县级领导干部，5名党外一般干部被提拔为副科级干部。全县实职科级党外干部达39人。县政府28个部门中，15个部门的领导班子配备党外干部16名；县政府组成部门党外正职配备3人；在县法院、县检察院领导班子中分别配备1名党外干部，人大、政协委室中有一定数量的党外科级干部；推荐6名党外知识分子为市党外知识分子联谊会会员；66名非中共党员当选为县十九届人大代表，82名党外人士协商确定为县十五届政协委员；推荐12名党外代表人士、非公经济人士、民族宗教界人士、新的社会阶层人士为市第十届政协委员；非中共党员19人当选市十一届人大代表。</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376" w:beforeAutospacing="0" w:after="0" w:afterAutospacing="0" w:line="525" w:lineRule="atLeast"/>
        <w:ind w:left="0" w:right="0" w:firstLine="454"/>
        <w:jc w:val="both"/>
        <w:rPr>
          <w:rFonts w:hint="default" w:ascii="Times New Roman" w:hAnsi="Times New Roman" w:eastAsia="方正仿宋_GBK" w:cs="Times New Roman"/>
          <w:b w:val="0"/>
          <w:sz w:val="32"/>
          <w:szCs w:val="32"/>
        </w:rPr>
      </w:pPr>
      <w:r>
        <w:rPr>
          <w:rFonts w:hint="default" w:ascii="Times New Roman" w:hAnsi="Times New Roman" w:eastAsia="方正楷体_GBK" w:cs="Times New Roman"/>
          <w:b/>
          <w:bCs/>
          <w:color w:val="auto"/>
          <w:sz w:val="33"/>
          <w:szCs w:val="33"/>
          <w:lang w:val="en-US" w:eastAsia="zh-CN"/>
        </w:rPr>
        <w:t>4.</w:t>
      </w:r>
      <w:r>
        <w:rPr>
          <w:rFonts w:hint="default" w:ascii="Times New Roman" w:hAnsi="Times New Roman" w:eastAsia="方正楷体_GBK" w:cs="Times New Roman"/>
          <w:b/>
          <w:bCs/>
          <w:color w:val="auto"/>
          <w:sz w:val="33"/>
          <w:szCs w:val="33"/>
        </w:rPr>
        <w:t>持续深化新的社会阶层人士统战工作。</w:t>
      </w:r>
      <w:r>
        <w:rPr>
          <w:rFonts w:hint="default" w:ascii="Times New Roman" w:hAnsi="Times New Roman" w:eastAsia="方正仿宋_GBK" w:cs="Times New Roman"/>
          <w:b w:val="0"/>
          <w:i w:val="0"/>
          <w:caps w:val="0"/>
          <w:color w:val="090909"/>
          <w:spacing w:val="0"/>
          <w:sz w:val="32"/>
          <w:szCs w:val="32"/>
          <w:shd w:val="clear" w:fill="FFFFFF"/>
        </w:rPr>
        <w:t>加强对新阶人士的思想引领，结合党史学习教育活动，开展“学习优良传统、弘扬革命精神”爱国主义教育活动和持续开展“凝聚新力量·筑梦新时代”主题教育活动。新联会组织开展送医送药、送文化、送科技、送法律活动，到米易县撒莲镇中心校开展送爱心活动，慰问校足球队，到白马镇高龙村童梦驿站开展的“情牵留守爱暖童心”活动，为20余名留守、困境儿童送去温暖和希望。持续深化新的社会阶层人士统战工作，成立米易县特色农产品电子商务协会，吸纳会员50余人。30多名本地企业代表、种植大户参加了米易县举办的首届直播电商人才培训。13名新的社会阶层人士当选为县政协委员，2名新乡贤获评四川省首批农村致富带头人，1名新阶人士荣获“攀枝花工匠”称号。</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376" w:beforeAutospacing="0" w:after="0" w:afterAutospacing="0" w:line="525" w:lineRule="atLeast"/>
        <w:ind w:right="0" w:firstLine="663" w:firstLineChars="200"/>
        <w:jc w:val="both"/>
        <w:rPr>
          <w:rFonts w:hint="default" w:ascii="Times New Roman" w:hAnsi="Times New Roman" w:eastAsia="方正仿宋_GBK" w:cs="Times New Roman"/>
          <w:b w:val="0"/>
          <w:sz w:val="32"/>
          <w:szCs w:val="32"/>
        </w:rPr>
      </w:pPr>
      <w:r>
        <w:rPr>
          <w:rFonts w:hint="default" w:ascii="Times New Roman" w:hAnsi="Times New Roman" w:eastAsia="方正楷体_GBK" w:cs="Times New Roman"/>
          <w:b/>
          <w:bCs/>
          <w:color w:val="auto"/>
          <w:sz w:val="33"/>
          <w:szCs w:val="33"/>
          <w:lang w:val="en-US" w:eastAsia="zh-CN"/>
        </w:rPr>
        <w:t>5.</w:t>
      </w:r>
      <w:r>
        <w:rPr>
          <w:rFonts w:hint="default" w:ascii="Times New Roman" w:hAnsi="Times New Roman" w:eastAsia="方正楷体_GBK" w:cs="Times New Roman"/>
          <w:b/>
          <w:bCs/>
          <w:color w:val="auto"/>
          <w:sz w:val="33"/>
          <w:szCs w:val="33"/>
        </w:rPr>
        <w:t>认真开展非公经济“两个健康”工作。</w:t>
      </w:r>
      <w:r>
        <w:rPr>
          <w:rFonts w:hint="default" w:ascii="Times New Roman" w:hAnsi="Times New Roman" w:eastAsia="方正仿宋_GBK" w:cs="Times New Roman"/>
          <w:b w:val="0"/>
          <w:i w:val="0"/>
          <w:caps w:val="0"/>
          <w:color w:val="090909"/>
          <w:spacing w:val="0"/>
          <w:sz w:val="32"/>
          <w:szCs w:val="32"/>
          <w:shd w:val="clear" w:fill="FFFFFF"/>
        </w:rPr>
        <w:t>非公经济人士健康成长，8人当选为市县人大代表，17人协商确定为市县政协委员，其中市人大代表1人、县人大代表7人，市政协委员1人、县政协委员16人；四川安宁铁钛股份有限公司董事长兼总经理罗阳勇荣获爱心助贫“四川好人”荣誉称号。非公经济健康发展，广泛开展调研，全面了解非公经济领域情况，走访安宁股份等5家企业，组织14家企业召开座谈会，开展维权服务，切实解决非公企业实际困难和具体问题。引导企业履行社会责任，非公企业参与乡村振兴人才培养，为民族乡镇学校捐赠价值3万元的学习用品。县工商联被确认为2020-2021年度全国“五好”县级工商联。</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376" w:beforeAutospacing="0" w:after="0" w:afterAutospacing="0" w:line="525" w:lineRule="atLeast"/>
        <w:ind w:right="0" w:firstLine="663" w:firstLineChars="200"/>
        <w:jc w:val="both"/>
        <w:rPr>
          <w:rFonts w:hint="default" w:ascii="Times New Roman" w:hAnsi="Times New Roman" w:eastAsia="方正仿宋_GBK" w:cs="Times New Roman"/>
          <w:b w:val="0"/>
          <w:sz w:val="32"/>
          <w:szCs w:val="32"/>
        </w:rPr>
      </w:pPr>
      <w:r>
        <w:rPr>
          <w:rFonts w:hint="default" w:ascii="Times New Roman" w:hAnsi="Times New Roman" w:eastAsia="方正楷体_GBK" w:cs="Times New Roman"/>
          <w:b/>
          <w:bCs/>
          <w:color w:val="auto"/>
          <w:sz w:val="33"/>
          <w:szCs w:val="33"/>
          <w:lang w:val="en-US" w:eastAsia="zh-CN"/>
        </w:rPr>
        <w:t>6.</w:t>
      </w:r>
      <w:r>
        <w:rPr>
          <w:rFonts w:hint="default" w:ascii="Times New Roman" w:hAnsi="Times New Roman" w:eastAsia="方正楷体_GBK" w:cs="Times New Roman"/>
          <w:b/>
          <w:bCs/>
          <w:color w:val="auto"/>
          <w:sz w:val="33"/>
          <w:szCs w:val="33"/>
        </w:rPr>
        <w:t>认真开展侨务、台湾事务和港澳统战工作。</w:t>
      </w:r>
      <w:r>
        <w:rPr>
          <w:rFonts w:hint="default" w:ascii="Times New Roman" w:hAnsi="Times New Roman" w:eastAsia="方正仿宋_GBK" w:cs="Times New Roman"/>
          <w:b w:val="0"/>
          <w:i w:val="0"/>
          <w:caps w:val="0"/>
          <w:color w:val="090909"/>
          <w:spacing w:val="0"/>
          <w:sz w:val="32"/>
          <w:szCs w:val="32"/>
          <w:shd w:val="clear" w:fill="FFFFFF"/>
        </w:rPr>
        <w:t>广泛凝聚思想共识，不断发展爱国力量和友好人士力量。以元旦、春节等节庆契机，结合米易县“走基层、送温暖”慰问活动，深入到各乡镇走访慰问在米易的香港同胞、台胞及台资企业，宣传党的方针、政策及相关法律法规，做好心灵沟通和争取民心的工作。积极做好港澳台侨相关基础资源数据的收集、更新、完善，做到底数清、情况明。密切与港澳同胞、侨胞侨眷的联系沟通，切实维护合法权益，解决实际困难，对1户台资企业和1户台胞承包的企业开展走访调研；争取“侨爱暖心包”项目，向麻陇乡中心校困难学生发放防寒手套、脚套等御寒物资。在攀莲镇新北社区成立了“侨之家”，搭建社区侨胞之间、侨胞与社区居民之间相互交流沟通平台。1名归国留学人员当选为市人大代表、1名归侨侨眷协商确定为县政协委员，进一步凝聚侨心、汇聚侨智、发挥侨力。</w:t>
      </w:r>
    </w:p>
    <w:p>
      <w:pPr>
        <w:pStyle w:val="4"/>
        <w:rPr>
          <w:rFonts w:hint="default" w:ascii="Times New Roman" w:hAnsi="Times New Roman" w:eastAsia="方正仿宋_GBK" w:cs="Times New Roman"/>
          <w:b w:val="0"/>
          <w:i w:val="0"/>
          <w:caps w:val="0"/>
          <w:color w:val="090909"/>
          <w:spacing w:val="0"/>
          <w:sz w:val="32"/>
          <w:szCs w:val="32"/>
          <w:shd w:val="clear" w:fill="FFFFFF"/>
        </w:rPr>
      </w:pPr>
      <w:r>
        <w:rPr>
          <w:rFonts w:hint="default" w:ascii="Times New Roman" w:hAnsi="Times New Roman" w:eastAsia="方正楷体_GBK" w:cs="Times New Roman"/>
          <w:b/>
          <w:bCs/>
          <w:color w:val="auto"/>
          <w:sz w:val="33"/>
          <w:szCs w:val="33"/>
          <w:lang w:val="en-US" w:eastAsia="zh-CN"/>
        </w:rPr>
        <w:t>7.</w:t>
      </w:r>
      <w:r>
        <w:rPr>
          <w:rFonts w:hint="default" w:ascii="Times New Roman" w:hAnsi="Times New Roman" w:eastAsia="方正楷体_GBK" w:cs="Times New Roman"/>
          <w:b/>
          <w:bCs/>
          <w:color w:val="auto"/>
          <w:sz w:val="33"/>
          <w:szCs w:val="33"/>
        </w:rPr>
        <w:t>加强统战宣传文化工作。</w:t>
      </w:r>
      <w:r>
        <w:rPr>
          <w:rFonts w:hint="default" w:ascii="Times New Roman" w:hAnsi="Times New Roman" w:eastAsia="方正仿宋_GBK" w:cs="Times New Roman"/>
          <w:b w:val="0"/>
          <w:i w:val="0"/>
          <w:caps w:val="0"/>
          <w:color w:val="090909"/>
          <w:spacing w:val="0"/>
          <w:sz w:val="32"/>
          <w:szCs w:val="32"/>
          <w:shd w:val="clear" w:fill="FFFFFF"/>
        </w:rPr>
        <w:t>聚焦县委政府中心重点工作，捕捉亮点特色，挖掘总结，大力宣传米易统战工作和米易统战故事，传播“同心”米易声音。2021年，米易统战宣传信息被中央统战部、省委统战部及省级统战媒体等采用160余篇，进一步扩大了米易统一战线的影响力和凝聚力。</w:t>
      </w:r>
    </w:p>
    <w:p>
      <w:pPr>
        <w:pStyle w:val="4"/>
        <w:rPr>
          <w:rStyle w:val="22"/>
          <w:b w:val="0"/>
          <w:bCs w:val="0"/>
          <w:color w:val="auto"/>
        </w:rPr>
      </w:pPr>
      <w:r>
        <w:rPr>
          <w:rFonts w:hint="eastAsia" w:ascii="黑体" w:eastAsia="黑体"/>
          <w:b w:val="0"/>
          <w:color w:val="auto"/>
        </w:rPr>
        <w:t>二、</w:t>
      </w:r>
      <w:r>
        <w:rPr>
          <w:rFonts w:hint="eastAsia" w:ascii="黑体" w:hAnsi="黑体" w:eastAsia="黑体"/>
          <w:b w:val="0"/>
          <w:color w:val="auto"/>
        </w:rPr>
        <w:t>机</w:t>
      </w:r>
      <w:r>
        <w:rPr>
          <w:rStyle w:val="22"/>
          <w:rFonts w:hint="eastAsia" w:ascii="黑体" w:hAnsi="黑体" w:eastAsia="黑体"/>
          <w:b w:val="0"/>
          <w:bCs w:val="0"/>
          <w:color w:val="auto"/>
        </w:rPr>
        <w:t>构设置</w:t>
      </w:r>
      <w:bookmarkEnd w:id="20"/>
      <w:bookmarkEnd w:id="21"/>
    </w:p>
    <w:p>
      <w:pPr>
        <w:pStyle w:val="2"/>
        <w:adjustRightInd w:val="0"/>
        <w:snapToGrid w:val="0"/>
        <w:spacing w:before="93" w:line="600" w:lineRule="exact"/>
        <w:ind w:firstLine="672" w:firstLineChars="210"/>
        <w:rPr>
          <w:rFonts w:ascii="Times New Roman"/>
          <w:sz w:val="32"/>
        </w:rPr>
      </w:pPr>
      <w:r>
        <w:rPr>
          <w:rFonts w:hint="eastAsia" w:ascii="Times New Roman"/>
          <w:sz w:val="32"/>
          <w:lang w:eastAsia="zh-CN"/>
        </w:rPr>
        <w:t>中共米易县委统战部</w:t>
      </w:r>
      <w:r>
        <w:rPr>
          <w:rFonts w:ascii="Times New Roman"/>
          <w:sz w:val="32"/>
        </w:rPr>
        <w:t>下属非独立核算单位</w:t>
      </w:r>
      <w:r>
        <w:rPr>
          <w:rFonts w:hint="eastAsia" w:ascii="Times New Roman"/>
          <w:sz w:val="32"/>
          <w:lang w:val="en-US" w:eastAsia="zh-CN"/>
        </w:rPr>
        <w:t>1</w:t>
      </w:r>
      <w:r>
        <w:rPr>
          <w:rFonts w:ascii="Times New Roman"/>
          <w:sz w:val="32"/>
        </w:rPr>
        <w:t>个，其中行政单位</w:t>
      </w:r>
      <w:r>
        <w:rPr>
          <w:rFonts w:hint="eastAsia" w:ascii="Times New Roman"/>
          <w:sz w:val="32"/>
          <w:lang w:val="en-US" w:eastAsia="zh-CN"/>
        </w:rPr>
        <w:t>0</w:t>
      </w:r>
      <w:r>
        <w:rPr>
          <w:rFonts w:ascii="Times New Roman"/>
          <w:sz w:val="32"/>
        </w:rPr>
        <w:t>个，参照公务员法管理的事业单位</w:t>
      </w:r>
      <w:r>
        <w:rPr>
          <w:rFonts w:hint="eastAsia" w:ascii="Times New Roman"/>
          <w:sz w:val="32"/>
          <w:lang w:val="en-US" w:eastAsia="zh-CN"/>
        </w:rPr>
        <w:t>0</w:t>
      </w:r>
      <w:r>
        <w:rPr>
          <w:rFonts w:ascii="Times New Roman"/>
          <w:sz w:val="32"/>
        </w:rPr>
        <w:t>个，其他事业单位</w:t>
      </w:r>
      <w:r>
        <w:rPr>
          <w:rFonts w:hint="eastAsia" w:ascii="Times New Roman"/>
          <w:sz w:val="32"/>
          <w:lang w:val="en-US" w:eastAsia="zh-CN"/>
        </w:rPr>
        <w:t>1</w:t>
      </w:r>
      <w:bookmarkStart w:id="73" w:name="_GoBack"/>
      <w:bookmarkEnd w:id="73"/>
      <w:r>
        <w:rPr>
          <w:rFonts w:ascii="Times New Roman"/>
          <w:sz w:val="32"/>
        </w:rPr>
        <w:t>个。主要包括：</w:t>
      </w:r>
      <w:r>
        <w:rPr>
          <w:rFonts w:hint="eastAsia" w:ascii="Times New Roman"/>
          <w:sz w:val="32"/>
          <w:u w:val="single"/>
          <w:lang w:eastAsia="zh-CN"/>
        </w:rPr>
        <w:t>米易县统一战线联络服务中心</w:t>
      </w:r>
      <w:r>
        <w:rPr>
          <w:rFonts w:ascii="Times New Roman"/>
          <w:sz w:val="32"/>
        </w:rPr>
        <w:t>。</w:t>
      </w:r>
    </w:p>
    <w:p>
      <w:pPr>
        <w:pStyle w:val="2"/>
        <w:adjustRightInd w:val="0"/>
        <w:snapToGrid w:val="0"/>
        <w:spacing w:before="93" w:line="600" w:lineRule="exact"/>
        <w:ind w:firstLine="672" w:firstLineChars="21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纳入县委统战部202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年度部门决算编制范围的二级预算单位包括：无</w:t>
      </w:r>
    </w:p>
    <w:p>
      <w:pPr>
        <w:widowControl/>
        <w:jc w:val="left"/>
        <w:rPr>
          <w:rFonts w:ascii="仿宋" w:hAnsi="仿宋" w:eastAsia="仿宋"/>
          <w:color w:val="auto"/>
          <w:kern w:val="0"/>
          <w:sz w:val="32"/>
          <w:szCs w:val="32"/>
        </w:rPr>
      </w:pPr>
      <w:r>
        <w:rPr>
          <w:rFonts w:ascii="仿宋" w:hAnsi="仿宋" w:eastAsia="仿宋"/>
          <w:color w:val="auto"/>
          <w:sz w:val="32"/>
          <w:szCs w:val="32"/>
        </w:rPr>
        <w:br w:type="page"/>
      </w:r>
    </w:p>
    <w:p>
      <w:pPr>
        <w:pStyle w:val="3"/>
        <w:ind w:right="440"/>
        <w:jc w:val="right"/>
        <w:rPr>
          <w:rStyle w:val="21"/>
          <w:rFonts w:ascii="黑体" w:hAnsi="黑体" w:eastAsia="黑体"/>
          <w:b w:val="0"/>
          <w:bCs w:val="0"/>
          <w:color w:val="auto"/>
        </w:rPr>
      </w:pPr>
      <w:bookmarkStart w:id="22" w:name="_Toc15396602"/>
      <w:bookmarkStart w:id="23" w:name="_Toc15377204"/>
      <w:r>
        <w:rPr>
          <w:rFonts w:hint="eastAsia" w:ascii="黑体" w:hAnsi="黑体" w:eastAsia="黑体"/>
          <w:b w:val="0"/>
          <w:color w:val="auto"/>
        </w:rPr>
        <w:t>第二部分</w:t>
      </w:r>
      <w:r>
        <w:rPr>
          <w:rFonts w:ascii="黑体" w:hAnsi="黑体" w:eastAsia="黑体"/>
          <w:color w:val="auto"/>
        </w:rPr>
        <w:t xml:space="preserve"> </w:t>
      </w:r>
      <w:r>
        <w:rPr>
          <w:rStyle w:val="21"/>
          <w:rFonts w:ascii="黑体" w:hAnsi="黑体" w:eastAsia="黑体"/>
          <w:b w:val="0"/>
          <w:bCs w:val="0"/>
          <w:color w:val="auto"/>
        </w:rPr>
        <w:t>202</w:t>
      </w:r>
      <w:r>
        <w:rPr>
          <w:rStyle w:val="21"/>
          <w:rFonts w:hint="eastAsia" w:ascii="黑体" w:hAnsi="黑体" w:eastAsia="黑体"/>
          <w:b w:val="0"/>
          <w:bCs w:val="0"/>
          <w:color w:val="auto"/>
          <w:lang w:val="en-US" w:eastAsia="zh-CN"/>
        </w:rPr>
        <w:t>1</w:t>
      </w:r>
      <w:r>
        <w:rPr>
          <w:rStyle w:val="21"/>
          <w:rFonts w:hint="eastAsia" w:ascii="黑体" w:hAnsi="黑体" w:eastAsia="黑体"/>
          <w:b w:val="0"/>
          <w:bCs w:val="0"/>
          <w:color w:val="auto"/>
        </w:rPr>
        <w:t>年度部门决算情况说明</w:t>
      </w:r>
      <w:bookmarkEnd w:id="22"/>
      <w:bookmarkEnd w:id="23"/>
    </w:p>
    <w:p>
      <w:pPr>
        <w:rPr>
          <w:color w:val="auto"/>
        </w:rPr>
      </w:pPr>
    </w:p>
    <w:p>
      <w:pPr>
        <w:pStyle w:val="32"/>
        <w:numPr>
          <w:ilvl w:val="0"/>
          <w:numId w:val="3"/>
        </w:numPr>
        <w:spacing w:line="600" w:lineRule="exact"/>
        <w:ind w:firstLineChars="0"/>
        <w:outlineLvl w:val="1"/>
        <w:rPr>
          <w:rStyle w:val="22"/>
          <w:rFonts w:ascii="黑体" w:hAnsi="黑体" w:eastAsia="黑体"/>
          <w:b w:val="0"/>
          <w:color w:val="auto"/>
        </w:rPr>
      </w:pPr>
      <w:bookmarkStart w:id="24" w:name="_Toc15396603"/>
      <w:bookmarkStart w:id="25" w:name="_Toc15377205"/>
      <w:r>
        <w:rPr>
          <w:rFonts w:hint="eastAsia" w:ascii="黑体" w:hAnsi="黑体" w:eastAsia="黑体"/>
          <w:color w:val="auto"/>
          <w:sz w:val="32"/>
          <w:szCs w:val="32"/>
        </w:rPr>
        <w:t>收</w:t>
      </w:r>
      <w:r>
        <w:rPr>
          <w:rStyle w:val="22"/>
          <w:rFonts w:hint="eastAsia" w:ascii="黑体" w:hAnsi="黑体" w:eastAsia="黑体"/>
          <w:b w:val="0"/>
          <w:color w:val="auto"/>
        </w:rPr>
        <w:t>入支出决算总体情况说明</w:t>
      </w:r>
      <w:bookmarkEnd w:id="24"/>
      <w:bookmarkEnd w:id="25"/>
    </w:p>
    <w:p>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年度收、支总计均</w:t>
      </w:r>
      <w:r>
        <w:rPr>
          <w:rFonts w:hint="eastAsia" w:ascii="仿宋_GB2312" w:hAnsi="仿宋_GB2312" w:eastAsia="仿宋_GB2312" w:cs="仿宋_GB2312"/>
          <w:color w:val="auto"/>
          <w:sz w:val="32"/>
          <w:szCs w:val="32"/>
          <w:lang w:val="en-US" w:eastAsia="zh-CN"/>
        </w:rPr>
        <w:t>137.51</w:t>
      </w:r>
      <w:r>
        <w:rPr>
          <w:rFonts w:hint="eastAsia" w:ascii="仿宋_GB2312" w:hAnsi="仿宋_GB2312" w:eastAsia="仿宋_GB2312" w:cs="仿宋_GB2312"/>
          <w:color w:val="auto"/>
          <w:sz w:val="32"/>
          <w:szCs w:val="32"/>
        </w:rPr>
        <w:t>万元。与</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131.43万元</w:t>
      </w:r>
      <w:r>
        <w:rPr>
          <w:rFonts w:hint="eastAsia" w:ascii="仿宋_GB2312" w:hAnsi="仿宋_GB2312" w:eastAsia="仿宋_GB2312" w:cs="仿宋_GB2312"/>
          <w:color w:val="auto"/>
          <w:sz w:val="32"/>
          <w:szCs w:val="32"/>
        </w:rPr>
        <w:t>相比，收、支总计各</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6.08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增长</w:t>
      </w:r>
      <w:r>
        <w:rPr>
          <w:rFonts w:hint="eastAsia" w:ascii="仿宋_GB2312" w:hAnsi="仿宋_GB2312" w:eastAsia="仿宋_GB2312" w:cs="仿宋_GB2312"/>
          <w:color w:val="auto"/>
          <w:sz w:val="32"/>
          <w:szCs w:val="32"/>
          <w:lang w:val="en-US" w:eastAsia="zh-CN"/>
        </w:rPr>
        <w:t>4.62</w:t>
      </w:r>
      <w:r>
        <w:rPr>
          <w:rFonts w:hint="eastAsia" w:ascii="仿宋_GB2312" w:hAnsi="仿宋_GB2312" w:eastAsia="仿宋_GB2312" w:cs="仿宋_GB2312"/>
          <w:color w:val="auto"/>
          <w:sz w:val="32"/>
          <w:szCs w:val="32"/>
        </w:rPr>
        <w:t>%。主要变动原因是</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lang w:val="en-US" w:eastAsia="zh-CN"/>
        </w:rPr>
        <w:t>增加，所以支出增加。</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drawing>
          <wp:anchor distT="0" distB="0" distL="114300" distR="114300" simplePos="0" relativeHeight="251659264" behindDoc="0" locked="0" layoutInCell="1" allowOverlap="1">
            <wp:simplePos x="0" y="0"/>
            <wp:positionH relativeFrom="column">
              <wp:posOffset>462915</wp:posOffset>
            </wp:positionH>
            <wp:positionV relativeFrom="paragraph">
              <wp:posOffset>18415</wp:posOffset>
            </wp:positionV>
            <wp:extent cx="4836160" cy="2719070"/>
            <wp:effectExtent l="4445" t="4445" r="17145" b="1968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1</w:t>
      </w:r>
      <w:r>
        <w:rPr>
          <w:rFonts w:hint="eastAsia" w:ascii="仿宋" w:hAnsi="仿宋" w:eastAsia="仿宋"/>
          <w:color w:val="auto"/>
          <w:sz w:val="32"/>
          <w:szCs w:val="32"/>
        </w:rPr>
        <w:t>：收、支决算总计变动情况图）（柱状图）</w:t>
      </w:r>
    </w:p>
    <w:p>
      <w:pPr>
        <w:spacing w:line="600" w:lineRule="exact"/>
        <w:ind w:firstLine="640" w:firstLineChars="200"/>
        <w:jc w:val="left"/>
        <w:rPr>
          <w:rFonts w:ascii="仿宋_GB2312" w:eastAsia="仿宋_GB2312"/>
          <w:color w:val="auto"/>
          <w:sz w:val="32"/>
          <w:szCs w:val="32"/>
        </w:rPr>
      </w:pPr>
    </w:p>
    <w:p>
      <w:pPr>
        <w:pStyle w:val="32"/>
        <w:numPr>
          <w:ilvl w:val="0"/>
          <w:numId w:val="3"/>
        </w:numPr>
        <w:spacing w:line="600" w:lineRule="exact"/>
        <w:ind w:firstLineChars="0"/>
        <w:outlineLvl w:val="1"/>
        <w:rPr>
          <w:rStyle w:val="22"/>
          <w:rFonts w:ascii="黑体" w:hAnsi="黑体" w:eastAsia="黑体"/>
          <w:b w:val="0"/>
          <w:color w:val="auto"/>
        </w:rPr>
      </w:pPr>
      <w:bookmarkStart w:id="26" w:name="_Toc15377206"/>
      <w:bookmarkStart w:id="27" w:name="_Toc15396604"/>
      <w:r>
        <w:rPr>
          <w:rFonts w:hint="eastAsia" w:ascii="黑体" w:hAnsi="黑体" w:eastAsia="黑体"/>
          <w:color w:val="auto"/>
          <w:sz w:val="32"/>
          <w:szCs w:val="32"/>
        </w:rPr>
        <w:t>收</w:t>
      </w:r>
      <w:r>
        <w:rPr>
          <w:rStyle w:val="22"/>
          <w:rFonts w:hint="eastAsia" w:ascii="黑体" w:hAnsi="黑体" w:eastAsia="黑体"/>
          <w:b w:val="0"/>
          <w:color w:val="auto"/>
        </w:rPr>
        <w:t>入决算情况说明</w:t>
      </w:r>
      <w:bookmarkEnd w:id="26"/>
      <w:bookmarkEnd w:id="27"/>
    </w:p>
    <w:p>
      <w:pPr>
        <w:spacing w:line="600" w:lineRule="exact"/>
        <w:ind w:firstLine="640" w:firstLineChars="200"/>
        <w:outlineLvl w:val="1"/>
        <w:rPr>
          <w:rFonts w:ascii="仿宋" w:hAnsi="仿宋" w:eastAsia="仿宋"/>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年收入合计</w:t>
      </w:r>
      <w:r>
        <w:rPr>
          <w:rFonts w:hint="eastAsia" w:ascii="仿宋_GB2312" w:hAnsi="仿宋_GB2312" w:eastAsia="仿宋_GB2312" w:cs="仿宋_GB2312"/>
          <w:color w:val="auto"/>
          <w:sz w:val="32"/>
          <w:szCs w:val="32"/>
          <w:lang w:val="en-US" w:eastAsia="zh-CN"/>
        </w:rPr>
        <w:t>137.51</w:t>
      </w:r>
      <w:r>
        <w:rPr>
          <w:rFonts w:hint="eastAsia" w:ascii="仿宋_GB2312" w:hAnsi="仿宋_GB2312" w:eastAsia="仿宋_GB2312" w:cs="仿宋_GB2312"/>
          <w:color w:val="auto"/>
          <w:sz w:val="32"/>
          <w:szCs w:val="32"/>
        </w:rPr>
        <w:t>万元，其中：一般公共预算财政拨款收入</w:t>
      </w:r>
      <w:r>
        <w:rPr>
          <w:rFonts w:hint="eastAsia" w:ascii="仿宋_GB2312" w:hAnsi="仿宋_GB2312" w:eastAsia="仿宋_GB2312" w:cs="仿宋_GB2312"/>
          <w:color w:val="auto"/>
          <w:sz w:val="32"/>
          <w:szCs w:val="32"/>
          <w:lang w:val="en-US" w:eastAsia="zh-CN"/>
        </w:rPr>
        <w:t>137.51</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eastAsia="zh-CN"/>
        </w:rPr>
        <w:t>收入的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%；政府性基金预算财政拨款收入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%；国有资本经营预算财政拨款收入0万元，占0%；上级补助收入0万元，占0%；事业收入0万元，占0%；经营收入0万元，占0%；附属单位上缴收入0万元，占0%；其他收入0万元，占0%。</w:t>
      </w:r>
    </w:p>
    <w:p>
      <w:pPr>
        <w:spacing w:line="600" w:lineRule="exact"/>
        <w:ind w:firstLine="640" w:firstLineChars="200"/>
        <w:outlineLvl w:val="1"/>
        <w:rPr>
          <w:rFonts w:ascii="仿宋" w:hAnsi="仿宋" w:eastAsia="仿宋"/>
          <w:color w:val="auto"/>
          <w:sz w:val="32"/>
          <w:szCs w:val="32"/>
        </w:rPr>
      </w:pPr>
      <w:r>
        <w:rPr>
          <w:rFonts w:hint="eastAsia" w:ascii="仿宋" w:hAnsi="仿宋" w:eastAsia="仿宋"/>
          <w:color w:val="auto"/>
          <w:sz w:val="32"/>
          <w:szCs w:val="32"/>
          <w:lang w:eastAsia="zh-CN"/>
        </w:rPr>
        <w:drawing>
          <wp:anchor distT="0" distB="0" distL="114300" distR="114300" simplePos="0" relativeHeight="251660288" behindDoc="0" locked="0" layoutInCell="1" allowOverlap="1">
            <wp:simplePos x="0" y="0"/>
            <wp:positionH relativeFrom="column">
              <wp:posOffset>359410</wp:posOffset>
            </wp:positionH>
            <wp:positionV relativeFrom="paragraph">
              <wp:posOffset>56515</wp:posOffset>
            </wp:positionV>
            <wp:extent cx="4733290" cy="3025775"/>
            <wp:effectExtent l="4445" t="5080" r="5715" b="1714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outlineLvl w:val="1"/>
        <w:rPr>
          <w:rFonts w:ascii="仿宋" w:hAnsi="仿宋" w:eastAsia="仿宋"/>
          <w:color w:val="auto"/>
          <w:sz w:val="32"/>
          <w:szCs w:val="32"/>
        </w:rPr>
      </w:pPr>
    </w:p>
    <w:p>
      <w:pPr>
        <w:spacing w:line="600" w:lineRule="exact"/>
        <w:ind w:firstLine="640" w:firstLineChars="200"/>
        <w:outlineLvl w:val="1"/>
        <w:rPr>
          <w:rFonts w:ascii="仿宋" w:hAnsi="仿宋" w:eastAsia="仿宋"/>
          <w:color w:val="auto"/>
          <w:sz w:val="32"/>
          <w:szCs w:val="32"/>
        </w:rPr>
      </w:pPr>
    </w:p>
    <w:p>
      <w:pPr>
        <w:spacing w:line="600" w:lineRule="exact"/>
        <w:ind w:firstLine="640" w:firstLineChars="200"/>
        <w:outlineLvl w:val="1"/>
        <w:rPr>
          <w:rFonts w:ascii="仿宋" w:hAnsi="仿宋" w:eastAsia="仿宋"/>
          <w:color w:val="auto"/>
          <w:sz w:val="32"/>
          <w:szCs w:val="32"/>
        </w:rPr>
      </w:pPr>
    </w:p>
    <w:p>
      <w:pPr>
        <w:spacing w:line="600" w:lineRule="exact"/>
        <w:ind w:firstLine="640" w:firstLineChars="200"/>
        <w:outlineLvl w:val="1"/>
        <w:rPr>
          <w:rFonts w:ascii="仿宋" w:hAnsi="仿宋" w:eastAsia="仿宋"/>
          <w:color w:val="auto"/>
          <w:sz w:val="32"/>
          <w:szCs w:val="32"/>
        </w:rPr>
      </w:pPr>
    </w:p>
    <w:p>
      <w:pPr>
        <w:spacing w:line="600" w:lineRule="exact"/>
        <w:ind w:firstLine="640" w:firstLineChars="200"/>
        <w:outlineLvl w:val="1"/>
        <w:rPr>
          <w:rFonts w:ascii="仿宋" w:hAnsi="仿宋" w:eastAsia="仿宋"/>
          <w:color w:val="auto"/>
          <w:sz w:val="32"/>
          <w:szCs w:val="32"/>
        </w:rPr>
      </w:pPr>
    </w:p>
    <w:p>
      <w:pPr>
        <w:spacing w:line="600" w:lineRule="exact"/>
        <w:ind w:firstLine="640" w:firstLineChars="200"/>
        <w:outlineLvl w:val="1"/>
        <w:rPr>
          <w:rFonts w:hint="eastAsia" w:ascii="仿宋" w:hAnsi="仿宋" w:eastAsia="仿宋"/>
          <w:color w:val="auto"/>
          <w:sz w:val="32"/>
          <w:szCs w:val="32"/>
          <w:lang w:eastAsia="zh-CN"/>
        </w:rPr>
      </w:pPr>
    </w:p>
    <w:p>
      <w:pPr>
        <w:spacing w:line="600" w:lineRule="exact"/>
        <w:rPr>
          <w:rFonts w:hint="eastAsia"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2</w:t>
      </w:r>
      <w:r>
        <w:rPr>
          <w:rFonts w:hint="eastAsia" w:ascii="仿宋" w:hAnsi="仿宋" w:eastAsia="仿宋"/>
          <w:color w:val="auto"/>
          <w:sz w:val="32"/>
          <w:szCs w:val="32"/>
        </w:rPr>
        <w:t>：收入决算结构图）（饼状图）</w:t>
      </w:r>
    </w:p>
    <w:p>
      <w:pPr>
        <w:spacing w:line="600" w:lineRule="exact"/>
        <w:ind w:firstLine="640" w:firstLineChars="200"/>
        <w:rPr>
          <w:rFonts w:ascii="仿宋_GB2312" w:eastAsia="仿宋_GB2312"/>
          <w:color w:val="auto"/>
          <w:sz w:val="32"/>
          <w:szCs w:val="32"/>
        </w:rPr>
      </w:pPr>
    </w:p>
    <w:p>
      <w:pPr>
        <w:pStyle w:val="32"/>
        <w:numPr>
          <w:ilvl w:val="0"/>
          <w:numId w:val="3"/>
        </w:numPr>
        <w:spacing w:line="600" w:lineRule="exact"/>
        <w:ind w:firstLineChars="0"/>
        <w:outlineLvl w:val="1"/>
        <w:rPr>
          <w:rStyle w:val="22"/>
          <w:rFonts w:ascii="黑体" w:hAnsi="黑体" w:eastAsia="黑体"/>
          <w:b w:val="0"/>
          <w:color w:val="auto"/>
        </w:rPr>
      </w:pPr>
      <w:bookmarkStart w:id="28" w:name="_Toc15396605"/>
      <w:bookmarkStart w:id="29" w:name="_Toc15377207"/>
      <w:r>
        <w:rPr>
          <w:rFonts w:hint="eastAsia" w:ascii="黑体" w:hAnsi="黑体" w:eastAsia="黑体"/>
          <w:color w:val="auto"/>
          <w:sz w:val="32"/>
          <w:szCs w:val="32"/>
        </w:rPr>
        <w:t>支</w:t>
      </w:r>
      <w:r>
        <w:rPr>
          <w:rStyle w:val="22"/>
          <w:rFonts w:hint="eastAsia" w:ascii="黑体" w:hAnsi="黑体" w:eastAsia="黑体"/>
          <w:b w:val="0"/>
          <w:color w:val="auto"/>
        </w:rPr>
        <w:t>出决算情况说明</w:t>
      </w:r>
      <w:bookmarkEnd w:id="28"/>
      <w:bookmarkEnd w:id="29"/>
    </w:p>
    <w:p>
      <w:pPr>
        <w:spacing w:line="600" w:lineRule="exact"/>
        <w:ind w:firstLine="640" w:firstLineChars="200"/>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年本年支出合计</w:t>
      </w:r>
      <w:r>
        <w:rPr>
          <w:rFonts w:hint="eastAsia" w:ascii="仿宋_GB2312" w:hAnsi="仿宋_GB2312" w:eastAsia="仿宋_GB2312" w:cs="仿宋_GB2312"/>
          <w:color w:val="auto"/>
          <w:sz w:val="32"/>
          <w:szCs w:val="32"/>
          <w:lang w:val="en-US" w:eastAsia="zh-CN"/>
        </w:rPr>
        <w:t>137.51</w:t>
      </w:r>
      <w:r>
        <w:rPr>
          <w:rFonts w:hint="eastAsia" w:ascii="仿宋_GB2312" w:hAnsi="仿宋_GB2312" w:eastAsia="仿宋_GB2312" w:cs="仿宋_GB2312"/>
          <w:color w:val="auto"/>
          <w:sz w:val="32"/>
          <w:szCs w:val="32"/>
        </w:rPr>
        <w:t>万元，其中：基本支出</w:t>
      </w:r>
      <w:r>
        <w:rPr>
          <w:rFonts w:hint="eastAsia" w:ascii="仿宋_GB2312" w:hAnsi="仿宋_GB2312" w:eastAsia="仿宋_GB2312" w:cs="仿宋_GB2312"/>
          <w:color w:val="auto"/>
          <w:sz w:val="32"/>
          <w:szCs w:val="32"/>
          <w:lang w:val="en-US" w:eastAsia="zh-CN"/>
        </w:rPr>
        <w:t>124.97</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90.88</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12.54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9.12</w:t>
      </w:r>
      <w:r>
        <w:rPr>
          <w:rFonts w:hint="eastAsia" w:ascii="仿宋_GB2312" w:hAnsi="仿宋_GB2312" w:eastAsia="仿宋_GB2312" w:cs="仿宋_GB2312"/>
          <w:color w:val="auto"/>
          <w:sz w:val="32"/>
          <w:szCs w:val="32"/>
        </w:rPr>
        <w:t>%；上缴上级支出0万元，占0%；经营支出0万元，占0%；对附属单位补助支出0万元，占0%。</w:t>
      </w:r>
    </w:p>
    <w:p>
      <w:pPr>
        <w:spacing w:line="600" w:lineRule="exact"/>
        <w:ind w:firstLine="640" w:firstLineChars="200"/>
        <w:outlineLvl w:val="1"/>
        <w:rPr>
          <w:rFonts w:hint="eastAsia" w:ascii="仿宋" w:hAnsi="仿宋" w:eastAsia="仿宋"/>
          <w:color w:val="auto"/>
          <w:sz w:val="32"/>
          <w:szCs w:val="32"/>
        </w:rPr>
      </w:pPr>
      <w:r>
        <w:rPr>
          <w:rFonts w:hint="eastAsia" w:ascii="仿宋" w:hAnsi="仿宋" w:eastAsia="仿宋"/>
          <w:color w:val="auto"/>
          <w:sz w:val="32"/>
          <w:szCs w:val="32"/>
          <w:lang w:eastAsia="zh-CN"/>
        </w:rPr>
        <w:drawing>
          <wp:anchor distT="0" distB="0" distL="114300" distR="114300" simplePos="0" relativeHeight="251661312" behindDoc="0" locked="0" layoutInCell="1" allowOverlap="1">
            <wp:simplePos x="0" y="0"/>
            <wp:positionH relativeFrom="column">
              <wp:posOffset>50800</wp:posOffset>
            </wp:positionH>
            <wp:positionV relativeFrom="paragraph">
              <wp:posOffset>44450</wp:posOffset>
            </wp:positionV>
            <wp:extent cx="5247640" cy="2587625"/>
            <wp:effectExtent l="4445" t="4445" r="5715" b="1778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Fonts w:hint="eastAsia" w:ascii="仿宋" w:hAnsi="仿宋" w:eastAsia="仿宋"/>
          <w:color w:val="auto"/>
          <w:sz w:val="32"/>
          <w:szCs w:val="32"/>
        </w:rPr>
      </w:pPr>
    </w:p>
    <w:p>
      <w:pPr>
        <w:spacing w:line="600" w:lineRule="exact"/>
        <w:ind w:firstLine="640" w:firstLineChars="200"/>
        <w:outlineLvl w:val="1"/>
        <w:rPr>
          <w:rFonts w:hint="eastAsia" w:ascii="仿宋" w:hAnsi="仿宋" w:eastAsia="仿宋"/>
          <w:color w:val="auto"/>
          <w:sz w:val="32"/>
          <w:szCs w:val="32"/>
        </w:rPr>
      </w:pPr>
    </w:p>
    <w:p>
      <w:pPr>
        <w:spacing w:line="600" w:lineRule="exact"/>
        <w:ind w:firstLine="640" w:firstLineChars="200"/>
        <w:outlineLvl w:val="1"/>
        <w:rPr>
          <w:rFonts w:hint="eastAsia" w:ascii="仿宋" w:hAnsi="仿宋" w:eastAsia="仿宋"/>
          <w:color w:val="auto"/>
          <w:sz w:val="32"/>
          <w:szCs w:val="32"/>
        </w:rPr>
      </w:pPr>
    </w:p>
    <w:p>
      <w:pPr>
        <w:spacing w:line="600" w:lineRule="exact"/>
        <w:ind w:firstLine="640" w:firstLineChars="200"/>
        <w:outlineLvl w:val="1"/>
        <w:rPr>
          <w:rFonts w:hint="eastAsia" w:ascii="仿宋" w:hAnsi="仿宋" w:eastAsia="仿宋"/>
          <w:color w:val="auto"/>
          <w:sz w:val="32"/>
          <w:szCs w:val="32"/>
        </w:rPr>
      </w:pPr>
    </w:p>
    <w:p>
      <w:pPr>
        <w:spacing w:line="600" w:lineRule="exact"/>
        <w:ind w:firstLine="640" w:firstLineChars="200"/>
        <w:outlineLvl w:val="1"/>
        <w:rPr>
          <w:rFonts w:hint="eastAsia" w:ascii="仿宋" w:hAnsi="仿宋" w:eastAsia="仿宋"/>
          <w:color w:val="auto"/>
          <w:sz w:val="32"/>
          <w:szCs w:val="32"/>
          <w:lang w:eastAsia="zh-CN"/>
        </w:rPr>
      </w:pPr>
    </w:p>
    <w:p>
      <w:pPr>
        <w:spacing w:line="600" w:lineRule="exact"/>
        <w:ind w:firstLine="640"/>
        <w:rPr>
          <w:rFonts w:ascii="仿宋" w:hAnsi="仿宋" w:eastAsia="仿宋"/>
          <w:color w:val="auto"/>
          <w:sz w:val="32"/>
          <w:szCs w:val="32"/>
          <w:shd w:val="pct10" w:color="auto" w:fill="FFFFFF"/>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3</w:t>
      </w:r>
      <w:r>
        <w:rPr>
          <w:rFonts w:hint="eastAsia" w:ascii="仿宋" w:hAnsi="仿宋" w:eastAsia="仿宋"/>
          <w:color w:val="auto"/>
          <w:sz w:val="32"/>
          <w:szCs w:val="32"/>
        </w:rPr>
        <w:t>：支出决算结构图）（饼状图）</w:t>
      </w:r>
    </w:p>
    <w:p>
      <w:pPr>
        <w:spacing w:line="600" w:lineRule="exact"/>
        <w:ind w:firstLine="640" w:firstLineChars="200"/>
        <w:rPr>
          <w:rFonts w:ascii="仿宋_GB2312" w:eastAsia="仿宋_GB2312"/>
          <w:color w:val="auto"/>
          <w:sz w:val="32"/>
          <w:szCs w:val="32"/>
        </w:rPr>
      </w:pPr>
    </w:p>
    <w:p>
      <w:pPr>
        <w:spacing w:line="600" w:lineRule="exact"/>
        <w:ind w:firstLine="640" w:firstLineChars="200"/>
        <w:outlineLvl w:val="1"/>
        <w:rPr>
          <w:rStyle w:val="22"/>
          <w:rFonts w:ascii="黑体" w:hAnsi="黑体" w:eastAsia="黑体"/>
          <w:b w:val="0"/>
          <w:color w:val="auto"/>
        </w:rPr>
      </w:pPr>
      <w:bookmarkStart w:id="30" w:name="_Toc15396606"/>
      <w:bookmarkStart w:id="31" w:name="_Toc15377208"/>
      <w:r>
        <w:rPr>
          <w:rFonts w:hint="eastAsia" w:ascii="黑体" w:hAnsi="黑体" w:eastAsia="黑体"/>
          <w:color w:val="auto"/>
          <w:sz w:val="32"/>
          <w:szCs w:val="32"/>
        </w:rPr>
        <w:t>四、财</w:t>
      </w:r>
      <w:r>
        <w:rPr>
          <w:rStyle w:val="22"/>
          <w:rFonts w:hint="eastAsia" w:ascii="黑体" w:hAnsi="黑体" w:eastAsia="黑体"/>
          <w:b w:val="0"/>
          <w:color w:val="auto"/>
        </w:rPr>
        <w:t>政拨款收入支出决算总体情况说明</w:t>
      </w:r>
      <w:bookmarkEnd w:id="30"/>
      <w:bookmarkEnd w:id="31"/>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eastAsia="zh-CN"/>
        </w:rPr>
        <w:t>财政拨款收入支出</w:t>
      </w:r>
      <w:r>
        <w:rPr>
          <w:rFonts w:hint="eastAsia" w:ascii="仿宋_GB2312" w:hAnsi="仿宋_GB2312" w:eastAsia="仿宋_GB2312" w:cs="仿宋_GB2312"/>
          <w:color w:val="auto"/>
          <w:sz w:val="32"/>
          <w:szCs w:val="32"/>
        </w:rPr>
        <w:t>总计均</w:t>
      </w:r>
      <w:r>
        <w:rPr>
          <w:rFonts w:hint="eastAsia" w:ascii="仿宋_GB2312" w:hAnsi="仿宋_GB2312" w:eastAsia="仿宋_GB2312" w:cs="仿宋_GB2312"/>
          <w:color w:val="auto"/>
          <w:sz w:val="32"/>
          <w:szCs w:val="32"/>
          <w:lang w:val="en-US" w:eastAsia="zh-CN"/>
        </w:rPr>
        <w:t>137.51</w:t>
      </w:r>
      <w:r>
        <w:rPr>
          <w:rFonts w:hint="eastAsia" w:ascii="仿宋_GB2312" w:hAnsi="仿宋_GB2312" w:eastAsia="仿宋_GB2312" w:cs="仿宋_GB2312"/>
          <w:color w:val="auto"/>
          <w:sz w:val="32"/>
          <w:szCs w:val="32"/>
        </w:rPr>
        <w:t>万元。与</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131.43万元</w:t>
      </w:r>
      <w:r>
        <w:rPr>
          <w:rFonts w:hint="eastAsia" w:ascii="仿宋_GB2312" w:hAnsi="仿宋_GB2312" w:eastAsia="仿宋_GB2312" w:cs="仿宋_GB2312"/>
          <w:color w:val="auto"/>
          <w:sz w:val="32"/>
          <w:szCs w:val="32"/>
        </w:rPr>
        <w:t>相比，收、支总计各</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6.08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增长</w:t>
      </w:r>
      <w:r>
        <w:rPr>
          <w:rFonts w:hint="eastAsia" w:ascii="仿宋_GB2312" w:hAnsi="仿宋_GB2312" w:eastAsia="仿宋_GB2312" w:cs="仿宋_GB2312"/>
          <w:color w:val="auto"/>
          <w:sz w:val="32"/>
          <w:szCs w:val="32"/>
          <w:lang w:val="en-US" w:eastAsia="zh-CN"/>
        </w:rPr>
        <w:t>4.62</w:t>
      </w:r>
      <w:r>
        <w:rPr>
          <w:rFonts w:hint="eastAsia" w:ascii="仿宋_GB2312" w:hAnsi="仿宋_GB2312" w:eastAsia="仿宋_GB2312" w:cs="仿宋_GB2312"/>
          <w:color w:val="auto"/>
          <w:sz w:val="32"/>
          <w:szCs w:val="32"/>
        </w:rPr>
        <w:t>%。主要变动原因是</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lang w:val="en-US" w:eastAsia="zh-CN"/>
        </w:rPr>
        <w:t>增加，所以支出增加。</w:t>
      </w:r>
    </w:p>
    <w:p>
      <w:pPr>
        <w:spacing w:line="600" w:lineRule="exact"/>
        <w:rPr>
          <w:rFonts w:ascii="仿宋" w:hAnsi="仿宋" w:eastAsia="仿宋"/>
          <w:color w:val="auto"/>
          <w:sz w:val="32"/>
          <w:szCs w:val="32"/>
        </w:rPr>
      </w:pPr>
      <w:r>
        <w:rPr>
          <w:rFonts w:hint="eastAsia" w:ascii="仿宋" w:hAnsi="仿宋" w:eastAsia="仿宋"/>
          <w:color w:val="auto"/>
          <w:sz w:val="32"/>
          <w:szCs w:val="32"/>
          <w:lang w:eastAsia="zh-CN"/>
        </w:rPr>
        <w:drawing>
          <wp:anchor distT="0" distB="0" distL="114300" distR="114300" simplePos="0" relativeHeight="251662336" behindDoc="0" locked="0" layoutInCell="1" allowOverlap="1">
            <wp:simplePos x="0" y="0"/>
            <wp:positionH relativeFrom="column">
              <wp:posOffset>91440</wp:posOffset>
            </wp:positionH>
            <wp:positionV relativeFrom="paragraph">
              <wp:posOffset>163830</wp:posOffset>
            </wp:positionV>
            <wp:extent cx="5144135" cy="3179445"/>
            <wp:effectExtent l="4445" t="4445" r="13970" b="1651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rPr>
          <w:rFonts w:ascii="仿宋" w:hAnsi="仿宋" w:eastAsia="仿宋"/>
          <w:color w:val="auto"/>
          <w:sz w:val="32"/>
          <w:szCs w:val="32"/>
        </w:rPr>
      </w:pPr>
    </w:p>
    <w:p>
      <w:pPr>
        <w:spacing w:line="600" w:lineRule="exact"/>
        <w:rPr>
          <w:rFonts w:ascii="仿宋" w:hAnsi="仿宋" w:eastAsia="仿宋"/>
          <w:color w:val="auto"/>
          <w:sz w:val="32"/>
          <w:szCs w:val="32"/>
        </w:rPr>
      </w:pPr>
    </w:p>
    <w:p>
      <w:pPr>
        <w:spacing w:line="600" w:lineRule="exact"/>
        <w:rPr>
          <w:rFonts w:ascii="仿宋" w:hAnsi="仿宋" w:eastAsia="仿宋"/>
          <w:color w:val="auto"/>
          <w:sz w:val="32"/>
          <w:szCs w:val="32"/>
        </w:rPr>
      </w:pPr>
    </w:p>
    <w:p>
      <w:pPr>
        <w:spacing w:line="600" w:lineRule="exact"/>
        <w:rPr>
          <w:rFonts w:ascii="仿宋" w:hAnsi="仿宋" w:eastAsia="仿宋"/>
          <w:color w:val="auto"/>
          <w:sz w:val="32"/>
          <w:szCs w:val="32"/>
        </w:rPr>
      </w:pPr>
    </w:p>
    <w:p>
      <w:pPr>
        <w:spacing w:line="600" w:lineRule="exact"/>
        <w:rPr>
          <w:rFonts w:hint="eastAsia" w:ascii="仿宋" w:hAnsi="仿宋" w:eastAsia="仿宋"/>
          <w:color w:val="auto"/>
          <w:sz w:val="32"/>
          <w:szCs w:val="32"/>
          <w:lang w:eastAsia="zh-CN"/>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4</w:t>
      </w:r>
      <w:r>
        <w:rPr>
          <w:rFonts w:hint="eastAsia" w:ascii="仿宋" w:hAnsi="仿宋" w:eastAsia="仿宋"/>
          <w:color w:val="auto"/>
          <w:sz w:val="32"/>
          <w:szCs w:val="32"/>
        </w:rPr>
        <w:t>：财政拨款收、支决算总计变动情况）（柱状图）</w:t>
      </w:r>
    </w:p>
    <w:p>
      <w:pPr>
        <w:spacing w:line="600" w:lineRule="exact"/>
        <w:ind w:firstLine="640"/>
        <w:rPr>
          <w:rFonts w:ascii="仿宋" w:hAnsi="仿宋" w:eastAsia="仿宋"/>
          <w:b/>
          <w:color w:val="auto"/>
          <w:sz w:val="32"/>
          <w:szCs w:val="32"/>
        </w:rPr>
      </w:pPr>
    </w:p>
    <w:p>
      <w:pPr>
        <w:spacing w:line="600" w:lineRule="exact"/>
        <w:ind w:firstLine="640" w:firstLineChars="200"/>
        <w:outlineLvl w:val="1"/>
        <w:rPr>
          <w:rStyle w:val="22"/>
          <w:rFonts w:ascii="黑体" w:hAnsi="黑体" w:eastAsia="黑体"/>
          <w:b w:val="0"/>
          <w:color w:val="auto"/>
        </w:rPr>
      </w:pPr>
      <w:bookmarkStart w:id="32" w:name="_Toc15377209"/>
      <w:bookmarkStart w:id="33" w:name="_Toc15396607"/>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2"/>
          <w:rFonts w:hint="eastAsia" w:ascii="黑体" w:hAnsi="黑体" w:eastAsia="黑体"/>
          <w:b w:val="0"/>
          <w:color w:val="auto"/>
        </w:rPr>
        <w:t>般公共预算财政拨款支出决算情况说明</w:t>
      </w:r>
      <w:bookmarkEnd w:id="32"/>
      <w:bookmarkEnd w:id="33"/>
    </w:p>
    <w:p>
      <w:pPr>
        <w:spacing w:line="600" w:lineRule="exact"/>
        <w:ind w:firstLine="643" w:firstLineChars="200"/>
        <w:outlineLvl w:val="2"/>
        <w:rPr>
          <w:rFonts w:ascii="仿宋" w:hAnsi="仿宋" w:eastAsia="仿宋"/>
          <w:b/>
          <w:color w:val="auto"/>
          <w:sz w:val="32"/>
          <w:szCs w:val="32"/>
        </w:rPr>
      </w:pPr>
      <w:bookmarkStart w:id="34" w:name="_Toc15377210"/>
      <w:r>
        <w:rPr>
          <w:rFonts w:hint="eastAsia" w:ascii="仿宋" w:hAnsi="仿宋" w:eastAsia="仿宋"/>
          <w:b/>
          <w:color w:val="auto"/>
          <w:sz w:val="32"/>
          <w:szCs w:val="32"/>
        </w:rPr>
        <w:t>（一）一般公共预算财政拨款支出决算总体情况</w:t>
      </w:r>
      <w:bookmarkEnd w:id="34"/>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年一般公共预算财政拨款支出</w:t>
      </w:r>
      <w:r>
        <w:rPr>
          <w:rFonts w:hint="eastAsia" w:ascii="仿宋_GB2312" w:hAnsi="仿宋_GB2312" w:eastAsia="仿宋_GB2312" w:cs="仿宋_GB2312"/>
          <w:color w:val="auto"/>
          <w:sz w:val="32"/>
          <w:szCs w:val="32"/>
          <w:lang w:val="en-US" w:eastAsia="zh-CN"/>
        </w:rPr>
        <w:t>137.51</w:t>
      </w:r>
      <w:r>
        <w:rPr>
          <w:rFonts w:hint="eastAsia" w:ascii="仿宋_GB2312" w:hAnsi="仿宋_GB2312" w:eastAsia="仿宋_GB2312" w:cs="仿宋_GB2312"/>
          <w:color w:val="auto"/>
          <w:sz w:val="32"/>
          <w:szCs w:val="32"/>
        </w:rPr>
        <w:t>万元，占本年支出合计的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130.71万元</w:t>
      </w:r>
      <w:r>
        <w:rPr>
          <w:rFonts w:hint="eastAsia" w:ascii="仿宋_GB2312" w:hAnsi="仿宋_GB2312" w:eastAsia="仿宋_GB2312" w:cs="仿宋_GB2312"/>
          <w:color w:val="auto"/>
          <w:sz w:val="32"/>
          <w:szCs w:val="32"/>
        </w:rPr>
        <w:t>相比，一般公共预算财政拨款</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rPr>
        <w:t>6.8万元，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5.2</w:t>
      </w:r>
      <w:r>
        <w:rPr>
          <w:rFonts w:hint="eastAsia" w:ascii="仿宋_GB2312" w:hAnsi="仿宋_GB2312" w:eastAsia="仿宋_GB2312" w:cs="仿宋_GB2312"/>
          <w:color w:val="auto"/>
          <w:sz w:val="32"/>
          <w:szCs w:val="32"/>
        </w:rPr>
        <w:t>%。主要变动原因是</w:t>
      </w:r>
      <w:r>
        <w:rPr>
          <w:rFonts w:hint="eastAsia" w:ascii="仿宋_GB2312" w:hAnsi="仿宋_GB2312" w:eastAsia="仿宋_GB2312" w:cs="仿宋_GB2312"/>
          <w:color w:val="auto"/>
          <w:sz w:val="32"/>
          <w:szCs w:val="32"/>
          <w:lang w:eastAsia="zh-CN"/>
        </w:rPr>
        <w:t>人员增减变动增加支出</w:t>
      </w:r>
      <w:r>
        <w:rPr>
          <w:rFonts w:hint="eastAsia" w:ascii="仿宋_GB2312" w:hAnsi="仿宋_GB2312" w:eastAsia="仿宋_GB2312" w:cs="仿宋_GB2312"/>
          <w:color w:val="auto"/>
          <w:sz w:val="32"/>
          <w:szCs w:val="32"/>
        </w:rPr>
        <w:t>。</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drawing>
          <wp:anchor distT="0" distB="0" distL="114300" distR="114300" simplePos="0" relativeHeight="251663360" behindDoc="0" locked="0" layoutInCell="1" allowOverlap="1">
            <wp:simplePos x="0" y="0"/>
            <wp:positionH relativeFrom="column">
              <wp:posOffset>307340</wp:posOffset>
            </wp:positionH>
            <wp:positionV relativeFrom="paragraph">
              <wp:posOffset>172720</wp:posOffset>
            </wp:positionV>
            <wp:extent cx="4771390" cy="2949575"/>
            <wp:effectExtent l="4445" t="5080" r="5715" b="1714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lang w:eastAsia="zh-CN"/>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5</w:t>
      </w:r>
      <w:r>
        <w:rPr>
          <w:rFonts w:hint="eastAsia" w:ascii="仿宋" w:hAnsi="仿宋" w:eastAsia="仿宋"/>
          <w:color w:val="auto"/>
          <w:sz w:val="32"/>
          <w:szCs w:val="32"/>
        </w:rPr>
        <w:t>：一般公共预算财政拨款支出决算变动情况）（柱状图）</w:t>
      </w:r>
    </w:p>
    <w:p>
      <w:pPr>
        <w:spacing w:line="600" w:lineRule="exact"/>
        <w:ind w:firstLine="643" w:firstLineChars="200"/>
        <w:outlineLvl w:val="2"/>
        <w:rPr>
          <w:rFonts w:ascii="仿宋" w:hAnsi="仿宋" w:eastAsia="仿宋"/>
          <w:b/>
          <w:color w:val="auto"/>
          <w:sz w:val="32"/>
          <w:szCs w:val="32"/>
        </w:rPr>
      </w:pPr>
      <w:bookmarkStart w:id="35" w:name="_Toc15377211"/>
      <w:r>
        <w:rPr>
          <w:rFonts w:hint="eastAsia" w:ascii="仿宋" w:hAnsi="仿宋" w:eastAsia="仿宋"/>
          <w:b/>
          <w:color w:val="auto"/>
          <w:sz w:val="32"/>
          <w:szCs w:val="32"/>
        </w:rPr>
        <w:t>（二）一般公共预算财政拨款支出决算结构情况</w:t>
      </w:r>
      <w:bookmarkEnd w:id="35"/>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年一般公共预算财政拨款支出</w:t>
      </w:r>
      <w:r>
        <w:rPr>
          <w:rFonts w:hint="eastAsia" w:ascii="仿宋_GB2312" w:hAnsi="仿宋_GB2312" w:eastAsia="仿宋_GB2312" w:cs="仿宋_GB2312"/>
          <w:color w:val="auto"/>
          <w:sz w:val="32"/>
          <w:szCs w:val="32"/>
          <w:lang w:val="en-US" w:eastAsia="zh-CN"/>
        </w:rPr>
        <w:t>137.51</w:t>
      </w:r>
      <w:r>
        <w:rPr>
          <w:rFonts w:hint="eastAsia" w:ascii="仿宋_GB2312" w:hAnsi="仿宋_GB2312" w:eastAsia="仿宋_GB2312" w:cs="仿宋_GB2312"/>
          <w:color w:val="auto"/>
          <w:sz w:val="32"/>
          <w:szCs w:val="32"/>
        </w:rPr>
        <w:t>万元，主要用于以下方面:</w:t>
      </w:r>
      <w:r>
        <w:rPr>
          <w:rFonts w:hint="eastAsia" w:ascii="仿宋_GB2312" w:hAnsi="仿宋_GB2312" w:eastAsia="仿宋_GB2312" w:cs="仿宋_GB2312"/>
          <w:b/>
          <w:color w:val="auto"/>
          <w:sz w:val="32"/>
          <w:szCs w:val="32"/>
        </w:rPr>
        <w:t>一般公共服务（类）</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105.25</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76.54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社会保障和就业（类）</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14.17</w:t>
      </w:r>
      <w:r>
        <w:rPr>
          <w:rFonts w:hint="eastAsia" w:ascii="仿宋_GB2312" w:hAnsi="仿宋_GB2312" w:eastAsia="仿宋_GB2312" w:cs="仿宋_GB2312"/>
          <w:color w:val="auto"/>
          <w:sz w:val="32"/>
          <w:szCs w:val="32"/>
        </w:rPr>
        <w:t>万元，占10.</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卫生健康支出</w:t>
      </w:r>
      <w:r>
        <w:rPr>
          <w:rFonts w:hint="eastAsia" w:ascii="仿宋_GB2312" w:hAnsi="仿宋_GB2312" w:eastAsia="仿宋_GB2312" w:cs="仿宋_GB2312"/>
          <w:color w:val="auto"/>
          <w:sz w:val="32"/>
          <w:szCs w:val="32"/>
          <w:lang w:val="en-US" w:eastAsia="zh-CN"/>
        </w:rPr>
        <w:t>7.28</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住房保障支出</w:t>
      </w:r>
      <w:r>
        <w:rPr>
          <w:rFonts w:hint="eastAsia" w:ascii="仿宋_GB2312" w:hAnsi="仿宋_GB2312" w:eastAsia="仿宋_GB2312" w:cs="仿宋_GB2312"/>
          <w:color w:val="auto"/>
          <w:sz w:val="32"/>
          <w:szCs w:val="32"/>
          <w:lang w:val="en-US" w:eastAsia="zh-CN"/>
        </w:rPr>
        <w:t>10.81</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7.86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drawing>
          <wp:anchor distT="0" distB="0" distL="114300" distR="114300" simplePos="0" relativeHeight="251664384" behindDoc="0" locked="0" layoutInCell="1" allowOverlap="1">
            <wp:simplePos x="0" y="0"/>
            <wp:positionH relativeFrom="column">
              <wp:posOffset>497205</wp:posOffset>
            </wp:positionH>
            <wp:positionV relativeFrom="paragraph">
              <wp:posOffset>92710</wp:posOffset>
            </wp:positionV>
            <wp:extent cx="4784725" cy="2265680"/>
            <wp:effectExtent l="4445" t="5080" r="11430" b="1524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color w:val="auto"/>
          <w:sz w:val="32"/>
          <w:szCs w:val="32"/>
          <w:lang w:eastAsia="zh-CN"/>
        </w:rPr>
      </w:pPr>
    </w:p>
    <w:p>
      <w:pPr>
        <w:spacing w:line="600" w:lineRule="exact"/>
        <w:ind w:firstLine="640" w:firstLineChars="200"/>
        <w:rPr>
          <w:rFonts w:hint="eastAsia" w:ascii="仿宋" w:hAnsi="仿宋" w:eastAsia="仿宋"/>
          <w:color w:val="auto"/>
          <w:sz w:val="32"/>
          <w:szCs w:val="32"/>
          <w:lang w:eastAsia="zh-CN"/>
        </w:rPr>
      </w:pPr>
    </w:p>
    <w:p>
      <w:pPr>
        <w:spacing w:line="600" w:lineRule="exact"/>
        <w:ind w:firstLine="640" w:firstLineChars="200"/>
        <w:rPr>
          <w:rFonts w:hint="eastAsia" w:ascii="仿宋" w:hAnsi="仿宋" w:eastAsia="仿宋"/>
          <w:color w:val="auto"/>
          <w:sz w:val="32"/>
          <w:szCs w:val="32"/>
          <w:lang w:eastAsia="zh-CN"/>
        </w:rPr>
      </w:pPr>
    </w:p>
    <w:p>
      <w:pPr>
        <w:spacing w:line="600" w:lineRule="exact"/>
        <w:ind w:firstLine="640" w:firstLineChars="200"/>
        <w:rPr>
          <w:rFonts w:hint="eastAsia" w:ascii="仿宋" w:hAnsi="仿宋" w:eastAsia="仿宋"/>
          <w:color w:val="auto"/>
          <w:sz w:val="32"/>
          <w:szCs w:val="32"/>
          <w:lang w:eastAsia="zh-CN"/>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6</w:t>
      </w:r>
      <w:r>
        <w:rPr>
          <w:rFonts w:hint="eastAsia" w:ascii="仿宋" w:hAnsi="仿宋" w:eastAsia="仿宋"/>
          <w:color w:val="auto"/>
          <w:sz w:val="32"/>
          <w:szCs w:val="32"/>
        </w:rPr>
        <w:t>：一般公共预算财政拨款支出决算结构）（饼状图）</w:t>
      </w:r>
    </w:p>
    <w:p>
      <w:pPr>
        <w:spacing w:line="600" w:lineRule="exact"/>
        <w:ind w:firstLine="640" w:firstLineChars="200"/>
        <w:rPr>
          <w:rFonts w:ascii="仿宋" w:hAnsi="仿宋" w:eastAsia="仿宋"/>
          <w:color w:val="auto"/>
          <w:sz w:val="32"/>
          <w:szCs w:val="32"/>
        </w:rPr>
      </w:pPr>
    </w:p>
    <w:p>
      <w:pPr>
        <w:spacing w:line="600" w:lineRule="exact"/>
        <w:ind w:firstLine="643" w:firstLineChars="200"/>
        <w:outlineLvl w:val="2"/>
        <w:rPr>
          <w:rFonts w:ascii="仿宋" w:hAnsi="仿宋" w:eastAsia="仿宋"/>
          <w:b/>
          <w:color w:val="auto"/>
          <w:sz w:val="32"/>
          <w:szCs w:val="32"/>
        </w:rPr>
      </w:pPr>
      <w:bookmarkStart w:id="36" w:name="_Toc15377212"/>
      <w:r>
        <w:rPr>
          <w:rFonts w:hint="eastAsia" w:ascii="仿宋" w:hAnsi="仿宋" w:eastAsia="仿宋"/>
          <w:b/>
          <w:color w:val="auto"/>
          <w:sz w:val="32"/>
          <w:szCs w:val="32"/>
        </w:rPr>
        <w:t>（三）一般公共预算财政拨款支出决算具体情况</w:t>
      </w:r>
      <w:bookmarkEnd w:id="36"/>
    </w:p>
    <w:p>
      <w:pPr>
        <w:spacing w:line="600" w:lineRule="exact"/>
        <w:ind w:firstLine="643" w:firstLineChars="200"/>
        <w:outlineLvl w:val="2"/>
        <w:rPr>
          <w:rFonts w:hint="eastAsia" w:ascii="仿宋_GB2312" w:hAnsi="仿宋_GB2312" w:eastAsia="仿宋_GB2312" w:cs="仿宋_GB2312"/>
          <w:color w:val="auto"/>
          <w:sz w:val="32"/>
          <w:szCs w:val="32"/>
        </w:rPr>
      </w:pPr>
      <w:bookmarkStart w:id="37" w:name="_Toc15378460"/>
      <w:bookmarkStart w:id="38" w:name="_Toc15377213"/>
      <w:bookmarkStart w:id="39" w:name="_Toc15377444"/>
      <w:r>
        <w:rPr>
          <w:rFonts w:hint="eastAsia" w:ascii="仿宋_GB2312" w:hAnsi="仿宋_GB2312" w:eastAsia="仿宋_GB2312" w:cs="仿宋_GB2312"/>
          <w:b/>
          <w:color w:val="auto"/>
          <w:sz w:val="32"/>
          <w:szCs w:val="32"/>
        </w:rPr>
        <w:t>202</w:t>
      </w: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年一般公共预算支出决算数为</w:t>
      </w:r>
      <w:r>
        <w:rPr>
          <w:rFonts w:hint="eastAsia" w:ascii="仿宋_GB2312" w:hAnsi="仿宋_GB2312" w:eastAsia="仿宋_GB2312" w:cs="仿宋_GB2312"/>
          <w:color w:val="auto"/>
          <w:sz w:val="32"/>
          <w:szCs w:val="32"/>
          <w:lang w:val="en-US" w:eastAsia="zh-CN"/>
        </w:rPr>
        <w:t>137.51</w:t>
      </w:r>
      <w:r>
        <w:rPr>
          <w:rFonts w:hint="eastAsia" w:ascii="仿宋_GB2312" w:hAnsi="仿宋_GB2312" w:eastAsia="仿宋_GB2312" w:cs="仿宋_GB2312"/>
          <w:color w:val="auto"/>
          <w:sz w:val="32"/>
          <w:szCs w:val="32"/>
        </w:rPr>
        <w:t>万元，</w:t>
      </w:r>
      <w:r>
        <w:rPr>
          <w:rStyle w:val="17"/>
          <w:rFonts w:hint="eastAsia" w:ascii="仿宋_GB2312" w:hAnsi="仿宋_GB2312" w:eastAsia="仿宋_GB2312" w:cs="仿宋_GB2312"/>
          <w:bCs/>
          <w:color w:val="auto"/>
          <w:sz w:val="32"/>
          <w:szCs w:val="32"/>
        </w:rPr>
        <w:t>完成预算100%。其中：</w:t>
      </w:r>
      <w:bookmarkEnd w:id="37"/>
      <w:bookmarkEnd w:id="38"/>
      <w:bookmarkEnd w:id="39"/>
    </w:p>
    <w:p>
      <w:pPr>
        <w:spacing w:line="600" w:lineRule="exact"/>
        <w:ind w:firstLine="964" w:firstLineChars="300"/>
        <w:rPr>
          <w:rStyle w:val="17"/>
          <w:rFonts w:hint="eastAsia" w:ascii="仿宋_GB2312" w:hAnsi="仿宋_GB2312" w:eastAsia="仿宋_GB2312" w:cs="仿宋_GB2312"/>
          <w:b w:val="0"/>
          <w:bCs/>
          <w:color w:val="auto"/>
          <w:sz w:val="32"/>
          <w:szCs w:val="32"/>
        </w:rPr>
      </w:pPr>
      <w:r>
        <w:rPr>
          <w:rStyle w:val="17"/>
          <w:rFonts w:hint="eastAsia" w:ascii="仿宋_GB2312" w:hAnsi="仿宋_GB2312" w:eastAsia="仿宋_GB2312" w:cs="仿宋_GB2312"/>
          <w:bCs/>
          <w:color w:val="auto"/>
          <w:sz w:val="32"/>
          <w:szCs w:val="32"/>
        </w:rPr>
        <w:t>1.一般公共服务（类）统战事务（款）  行政运行（项）:</w:t>
      </w:r>
      <w:r>
        <w:rPr>
          <w:rStyle w:val="17"/>
          <w:rFonts w:hint="eastAsia" w:ascii="仿宋_GB2312" w:hAnsi="仿宋_GB2312" w:eastAsia="仿宋_GB2312" w:cs="仿宋_GB2312"/>
          <w:b w:val="0"/>
          <w:bCs/>
          <w:color w:val="auto"/>
          <w:sz w:val="32"/>
          <w:szCs w:val="32"/>
        </w:rPr>
        <w:t xml:space="preserve"> 支出决算为</w:t>
      </w:r>
      <w:r>
        <w:rPr>
          <w:rStyle w:val="17"/>
          <w:rFonts w:hint="eastAsia" w:ascii="仿宋_GB2312" w:hAnsi="仿宋_GB2312" w:eastAsia="仿宋_GB2312" w:cs="仿宋_GB2312"/>
          <w:b w:val="0"/>
          <w:bCs/>
          <w:color w:val="auto"/>
          <w:sz w:val="32"/>
          <w:szCs w:val="32"/>
          <w:lang w:val="en-US" w:eastAsia="zh-CN"/>
        </w:rPr>
        <w:t>61.02</w:t>
      </w:r>
      <w:r>
        <w:rPr>
          <w:rStyle w:val="17"/>
          <w:rFonts w:hint="eastAsia" w:ascii="仿宋_GB2312" w:hAnsi="仿宋_GB2312" w:eastAsia="仿宋_GB2312" w:cs="仿宋_GB2312"/>
          <w:b w:val="0"/>
          <w:bCs/>
          <w:color w:val="auto"/>
          <w:sz w:val="32"/>
          <w:szCs w:val="32"/>
        </w:rPr>
        <w:t>万元，完成预算100%，决算数与预算数持平。</w:t>
      </w:r>
    </w:p>
    <w:p>
      <w:pPr>
        <w:spacing w:line="600" w:lineRule="exact"/>
        <w:ind w:firstLine="1285" w:firstLineChars="400"/>
        <w:rPr>
          <w:rStyle w:val="17"/>
          <w:rFonts w:hint="eastAsia" w:ascii="仿宋_GB2312" w:hAnsi="仿宋_GB2312" w:eastAsia="仿宋_GB2312" w:cs="仿宋_GB2312"/>
          <w:b w:val="0"/>
          <w:bCs/>
          <w:color w:val="auto"/>
          <w:sz w:val="32"/>
          <w:szCs w:val="32"/>
        </w:rPr>
      </w:pPr>
      <w:r>
        <w:rPr>
          <w:rStyle w:val="17"/>
          <w:rFonts w:hint="eastAsia" w:ascii="仿宋_GB2312" w:hAnsi="仿宋_GB2312" w:eastAsia="仿宋_GB2312" w:cs="仿宋_GB2312"/>
          <w:bCs/>
          <w:color w:val="auto"/>
          <w:sz w:val="32"/>
          <w:szCs w:val="32"/>
        </w:rPr>
        <w:t>一般公共服务（类）统战事务（款）一般行政管理事务（项）:</w:t>
      </w:r>
      <w:r>
        <w:rPr>
          <w:rStyle w:val="17"/>
          <w:rFonts w:hint="eastAsia" w:ascii="仿宋_GB2312" w:hAnsi="仿宋_GB2312" w:eastAsia="仿宋_GB2312" w:cs="仿宋_GB2312"/>
          <w:b w:val="0"/>
          <w:bCs/>
          <w:color w:val="auto"/>
          <w:sz w:val="32"/>
          <w:szCs w:val="32"/>
        </w:rPr>
        <w:t xml:space="preserve"> 支出决算为</w:t>
      </w:r>
      <w:r>
        <w:rPr>
          <w:rStyle w:val="17"/>
          <w:rFonts w:hint="eastAsia" w:ascii="仿宋_GB2312" w:hAnsi="仿宋_GB2312" w:eastAsia="仿宋_GB2312" w:cs="仿宋_GB2312"/>
          <w:b w:val="0"/>
          <w:bCs/>
          <w:color w:val="auto"/>
          <w:sz w:val="32"/>
          <w:szCs w:val="32"/>
          <w:lang w:val="en-US" w:eastAsia="zh-CN"/>
        </w:rPr>
        <w:t>12.54</w:t>
      </w:r>
      <w:r>
        <w:rPr>
          <w:rStyle w:val="17"/>
          <w:rFonts w:hint="eastAsia" w:ascii="仿宋_GB2312" w:hAnsi="仿宋_GB2312" w:eastAsia="仿宋_GB2312" w:cs="仿宋_GB2312"/>
          <w:b w:val="0"/>
          <w:bCs/>
          <w:color w:val="auto"/>
          <w:sz w:val="32"/>
          <w:szCs w:val="32"/>
        </w:rPr>
        <w:t>万元，完成预算100%，决算数与预算数持平。</w:t>
      </w:r>
    </w:p>
    <w:p>
      <w:pPr>
        <w:spacing w:line="600" w:lineRule="exact"/>
        <w:ind w:firstLine="1285" w:firstLineChars="400"/>
        <w:rPr>
          <w:rStyle w:val="17"/>
          <w:rFonts w:hint="eastAsia" w:ascii="仿宋_GB2312" w:hAnsi="仿宋_GB2312" w:eastAsia="仿宋_GB2312" w:cs="仿宋_GB2312"/>
          <w:b w:val="0"/>
          <w:bCs/>
          <w:color w:val="auto"/>
          <w:sz w:val="32"/>
          <w:szCs w:val="32"/>
        </w:rPr>
      </w:pPr>
      <w:r>
        <w:rPr>
          <w:rStyle w:val="17"/>
          <w:rFonts w:hint="eastAsia" w:ascii="仿宋_GB2312" w:hAnsi="仿宋_GB2312" w:eastAsia="仿宋_GB2312" w:cs="仿宋_GB2312"/>
          <w:bCs/>
          <w:color w:val="auto"/>
          <w:sz w:val="32"/>
          <w:szCs w:val="32"/>
        </w:rPr>
        <w:t>一般公共服务（类）统战事务（款）事业运行（项）:</w:t>
      </w:r>
      <w:r>
        <w:rPr>
          <w:rStyle w:val="17"/>
          <w:rFonts w:hint="eastAsia" w:ascii="仿宋_GB2312" w:hAnsi="仿宋_GB2312" w:eastAsia="仿宋_GB2312" w:cs="仿宋_GB2312"/>
          <w:b w:val="0"/>
          <w:bCs/>
          <w:color w:val="auto"/>
          <w:sz w:val="32"/>
          <w:szCs w:val="32"/>
        </w:rPr>
        <w:t>支出决算为</w:t>
      </w:r>
      <w:r>
        <w:rPr>
          <w:rStyle w:val="17"/>
          <w:rFonts w:hint="eastAsia" w:ascii="仿宋_GB2312" w:hAnsi="仿宋_GB2312" w:eastAsia="仿宋_GB2312" w:cs="仿宋_GB2312"/>
          <w:b w:val="0"/>
          <w:bCs/>
          <w:color w:val="auto"/>
          <w:sz w:val="32"/>
          <w:szCs w:val="32"/>
          <w:lang w:val="en-US" w:eastAsia="zh-CN"/>
        </w:rPr>
        <w:t>31.69</w:t>
      </w:r>
      <w:r>
        <w:rPr>
          <w:rStyle w:val="17"/>
          <w:rFonts w:hint="eastAsia" w:ascii="仿宋_GB2312" w:hAnsi="仿宋_GB2312" w:eastAsia="仿宋_GB2312" w:cs="仿宋_GB2312"/>
          <w:b w:val="0"/>
          <w:bCs/>
          <w:color w:val="auto"/>
          <w:sz w:val="32"/>
          <w:szCs w:val="32"/>
        </w:rPr>
        <w:t xml:space="preserve">万元，完成预算100%，决算数与预算数持平。 </w:t>
      </w:r>
    </w:p>
    <w:p>
      <w:pPr>
        <w:spacing w:line="600" w:lineRule="exact"/>
        <w:ind w:firstLine="643" w:firstLineChars="200"/>
        <w:rPr>
          <w:rStyle w:val="17"/>
          <w:rFonts w:hint="eastAsia" w:ascii="仿宋_GB2312" w:hAnsi="仿宋_GB2312" w:eastAsia="仿宋_GB2312" w:cs="仿宋_GB2312"/>
          <w:b w:val="0"/>
          <w:bCs/>
          <w:color w:val="auto"/>
          <w:sz w:val="32"/>
          <w:szCs w:val="32"/>
        </w:rPr>
      </w:pPr>
      <w:r>
        <w:rPr>
          <w:rStyle w:val="17"/>
          <w:rFonts w:hint="eastAsia" w:ascii="仿宋_GB2312" w:hAnsi="仿宋_GB2312" w:eastAsia="仿宋_GB2312" w:cs="仿宋_GB2312"/>
          <w:bCs/>
          <w:color w:val="auto"/>
          <w:sz w:val="32"/>
          <w:szCs w:val="32"/>
        </w:rPr>
        <w:t>2.社会保障和就业（类）行政事业单位养老支出（款）  行政单位离退休（项）:</w:t>
      </w:r>
      <w:r>
        <w:rPr>
          <w:rStyle w:val="17"/>
          <w:rFonts w:hint="eastAsia" w:ascii="仿宋_GB2312" w:hAnsi="仿宋_GB2312" w:eastAsia="仿宋_GB2312" w:cs="仿宋_GB2312"/>
          <w:b w:val="0"/>
          <w:bCs/>
          <w:color w:val="auto"/>
          <w:sz w:val="32"/>
          <w:szCs w:val="32"/>
        </w:rPr>
        <w:t xml:space="preserve"> 支出决算为</w:t>
      </w:r>
      <w:r>
        <w:rPr>
          <w:rStyle w:val="17"/>
          <w:rFonts w:hint="eastAsia" w:ascii="仿宋_GB2312" w:hAnsi="仿宋_GB2312" w:eastAsia="仿宋_GB2312" w:cs="仿宋_GB2312"/>
          <w:b w:val="0"/>
          <w:bCs/>
          <w:color w:val="auto"/>
          <w:sz w:val="32"/>
          <w:szCs w:val="32"/>
          <w:lang w:val="en-US" w:eastAsia="zh-CN"/>
        </w:rPr>
        <w:t>6.86</w:t>
      </w:r>
      <w:r>
        <w:rPr>
          <w:rStyle w:val="17"/>
          <w:rFonts w:hint="eastAsia" w:ascii="仿宋_GB2312" w:hAnsi="仿宋_GB2312" w:eastAsia="仿宋_GB2312" w:cs="仿宋_GB2312"/>
          <w:b w:val="0"/>
          <w:bCs/>
          <w:color w:val="auto"/>
          <w:sz w:val="32"/>
          <w:szCs w:val="32"/>
        </w:rPr>
        <w:t xml:space="preserve">万元，完成预算100%，决算数与预算数持平。 </w:t>
      </w:r>
    </w:p>
    <w:p>
      <w:pPr>
        <w:spacing w:line="600" w:lineRule="exact"/>
        <w:ind w:firstLine="643" w:firstLineChars="200"/>
        <w:rPr>
          <w:rStyle w:val="17"/>
          <w:rFonts w:hint="eastAsia" w:ascii="仿宋_GB2312" w:hAnsi="仿宋_GB2312" w:eastAsia="仿宋_GB2312" w:cs="仿宋_GB2312"/>
          <w:b w:val="0"/>
          <w:bCs/>
          <w:color w:val="auto"/>
          <w:sz w:val="32"/>
          <w:szCs w:val="32"/>
        </w:rPr>
      </w:pPr>
      <w:r>
        <w:rPr>
          <w:rStyle w:val="17"/>
          <w:rFonts w:hint="eastAsia" w:ascii="仿宋_GB2312" w:hAnsi="仿宋_GB2312" w:eastAsia="仿宋_GB2312" w:cs="仿宋_GB2312"/>
          <w:bCs/>
          <w:color w:val="auto"/>
          <w:sz w:val="32"/>
          <w:szCs w:val="32"/>
        </w:rPr>
        <w:t>社会保障和就业（类）行政事业单位养老支出（款）    机关事业单位基本养老保险缴费支出（项）:</w:t>
      </w:r>
      <w:r>
        <w:rPr>
          <w:rStyle w:val="17"/>
          <w:rFonts w:hint="eastAsia" w:ascii="仿宋_GB2312" w:hAnsi="仿宋_GB2312" w:eastAsia="仿宋_GB2312" w:cs="仿宋_GB2312"/>
          <w:b w:val="0"/>
          <w:bCs/>
          <w:color w:val="auto"/>
          <w:sz w:val="32"/>
          <w:szCs w:val="32"/>
        </w:rPr>
        <w:t xml:space="preserve"> 支出决算为</w:t>
      </w:r>
      <w:r>
        <w:rPr>
          <w:rStyle w:val="17"/>
          <w:rFonts w:hint="eastAsia" w:ascii="仿宋_GB2312" w:hAnsi="仿宋_GB2312" w:eastAsia="仿宋_GB2312" w:cs="仿宋_GB2312"/>
          <w:b w:val="0"/>
          <w:bCs/>
          <w:color w:val="auto"/>
          <w:sz w:val="32"/>
          <w:szCs w:val="32"/>
          <w:lang w:val="en-US" w:eastAsia="zh-CN"/>
        </w:rPr>
        <w:t>7.31</w:t>
      </w:r>
      <w:r>
        <w:rPr>
          <w:rStyle w:val="17"/>
          <w:rFonts w:hint="eastAsia" w:ascii="仿宋_GB2312" w:hAnsi="仿宋_GB2312" w:eastAsia="仿宋_GB2312" w:cs="仿宋_GB2312"/>
          <w:b w:val="0"/>
          <w:bCs/>
          <w:color w:val="auto"/>
          <w:sz w:val="32"/>
          <w:szCs w:val="32"/>
        </w:rPr>
        <w:t>万元，完成预算100%，决算数与预算数持平。</w:t>
      </w:r>
    </w:p>
    <w:p>
      <w:pPr>
        <w:spacing w:line="600" w:lineRule="exact"/>
        <w:ind w:firstLine="643" w:firstLineChars="200"/>
        <w:rPr>
          <w:rStyle w:val="17"/>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color w:val="auto"/>
          <w:sz w:val="32"/>
          <w:szCs w:val="32"/>
        </w:rPr>
        <w:t>3.卫生健康</w:t>
      </w:r>
      <w:r>
        <w:rPr>
          <w:rStyle w:val="17"/>
          <w:rFonts w:hint="eastAsia" w:ascii="仿宋_GB2312" w:hAnsi="仿宋_GB2312" w:eastAsia="仿宋_GB2312" w:cs="仿宋_GB2312"/>
          <w:bCs/>
          <w:color w:val="auto"/>
          <w:sz w:val="32"/>
          <w:szCs w:val="32"/>
        </w:rPr>
        <w:t>（类）行政事业单位医疗（款）行政单位医疗（项）:</w:t>
      </w:r>
      <w:r>
        <w:rPr>
          <w:rStyle w:val="17"/>
          <w:rFonts w:hint="eastAsia" w:ascii="仿宋_GB2312" w:hAnsi="仿宋_GB2312" w:eastAsia="仿宋_GB2312" w:cs="仿宋_GB2312"/>
          <w:b w:val="0"/>
          <w:bCs/>
          <w:color w:val="auto"/>
          <w:sz w:val="32"/>
          <w:szCs w:val="32"/>
        </w:rPr>
        <w:t>支出决算为</w:t>
      </w:r>
      <w:r>
        <w:rPr>
          <w:rStyle w:val="17"/>
          <w:rFonts w:hint="eastAsia" w:ascii="仿宋_GB2312" w:hAnsi="仿宋_GB2312" w:eastAsia="仿宋_GB2312" w:cs="仿宋_GB2312"/>
          <w:b w:val="0"/>
          <w:bCs/>
          <w:color w:val="auto"/>
          <w:sz w:val="32"/>
          <w:szCs w:val="32"/>
          <w:lang w:val="en-US" w:eastAsia="zh-CN"/>
        </w:rPr>
        <w:t>4.37</w:t>
      </w:r>
      <w:r>
        <w:rPr>
          <w:rStyle w:val="17"/>
          <w:rFonts w:hint="eastAsia" w:ascii="仿宋_GB2312" w:hAnsi="仿宋_GB2312" w:eastAsia="仿宋_GB2312" w:cs="仿宋_GB2312"/>
          <w:b w:val="0"/>
          <w:bCs/>
          <w:color w:val="auto"/>
          <w:sz w:val="32"/>
          <w:szCs w:val="32"/>
        </w:rPr>
        <w:t>万元，完成预算100%，决算数与预算数持平。</w:t>
      </w:r>
    </w:p>
    <w:p>
      <w:pPr>
        <w:spacing w:line="600" w:lineRule="exact"/>
        <w:ind w:firstLine="643" w:firstLineChars="200"/>
        <w:rPr>
          <w:rStyle w:val="17"/>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color w:val="auto"/>
          <w:sz w:val="32"/>
          <w:szCs w:val="32"/>
          <w:lang w:eastAsia="zh-CN"/>
        </w:rPr>
        <w:t>卫</w:t>
      </w:r>
      <w:r>
        <w:rPr>
          <w:rFonts w:hint="eastAsia" w:ascii="仿宋_GB2312" w:hAnsi="仿宋_GB2312" w:eastAsia="仿宋_GB2312" w:cs="仿宋_GB2312"/>
          <w:b/>
          <w:bCs/>
          <w:color w:val="auto"/>
          <w:sz w:val="32"/>
          <w:szCs w:val="32"/>
        </w:rPr>
        <w:t>生健康</w:t>
      </w:r>
      <w:r>
        <w:rPr>
          <w:rStyle w:val="17"/>
          <w:rFonts w:hint="eastAsia" w:ascii="仿宋_GB2312" w:hAnsi="仿宋_GB2312" w:eastAsia="仿宋_GB2312" w:cs="仿宋_GB2312"/>
          <w:bCs/>
          <w:color w:val="auto"/>
          <w:sz w:val="32"/>
          <w:szCs w:val="32"/>
        </w:rPr>
        <w:t>（类）行政事业单位医疗（款）事业单位医疗（项）:</w:t>
      </w:r>
      <w:r>
        <w:rPr>
          <w:rStyle w:val="17"/>
          <w:rFonts w:hint="eastAsia" w:ascii="仿宋_GB2312" w:hAnsi="仿宋_GB2312" w:eastAsia="仿宋_GB2312" w:cs="仿宋_GB2312"/>
          <w:b w:val="0"/>
          <w:bCs/>
          <w:color w:val="auto"/>
          <w:sz w:val="32"/>
          <w:szCs w:val="32"/>
        </w:rPr>
        <w:t>支出决算为</w:t>
      </w:r>
      <w:r>
        <w:rPr>
          <w:rStyle w:val="17"/>
          <w:rFonts w:hint="eastAsia" w:ascii="仿宋_GB2312" w:hAnsi="仿宋_GB2312" w:eastAsia="仿宋_GB2312" w:cs="仿宋_GB2312"/>
          <w:b w:val="0"/>
          <w:bCs/>
          <w:color w:val="auto"/>
          <w:sz w:val="32"/>
          <w:szCs w:val="32"/>
          <w:lang w:val="en-US" w:eastAsia="zh-CN"/>
        </w:rPr>
        <w:t>2.59</w:t>
      </w:r>
      <w:r>
        <w:rPr>
          <w:rStyle w:val="17"/>
          <w:rFonts w:hint="eastAsia" w:ascii="仿宋_GB2312" w:hAnsi="仿宋_GB2312" w:eastAsia="仿宋_GB2312" w:cs="仿宋_GB2312"/>
          <w:b w:val="0"/>
          <w:bCs/>
          <w:color w:val="auto"/>
          <w:sz w:val="32"/>
          <w:szCs w:val="32"/>
        </w:rPr>
        <w:t>万元，完成预算100%，决算数与预算数持平</w:t>
      </w:r>
    </w:p>
    <w:p>
      <w:pPr>
        <w:spacing w:line="600" w:lineRule="exact"/>
        <w:ind w:firstLine="643" w:firstLineChars="200"/>
        <w:rPr>
          <w:rStyle w:val="17"/>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color w:val="auto"/>
          <w:sz w:val="32"/>
          <w:szCs w:val="32"/>
          <w:lang w:eastAsia="zh-CN"/>
        </w:rPr>
        <w:t>卫</w:t>
      </w:r>
      <w:r>
        <w:rPr>
          <w:rFonts w:hint="eastAsia" w:ascii="仿宋_GB2312" w:hAnsi="仿宋_GB2312" w:eastAsia="仿宋_GB2312" w:cs="仿宋_GB2312"/>
          <w:b/>
          <w:bCs/>
          <w:color w:val="auto"/>
          <w:sz w:val="32"/>
          <w:szCs w:val="32"/>
        </w:rPr>
        <w:t>生健康</w:t>
      </w:r>
      <w:r>
        <w:rPr>
          <w:rStyle w:val="17"/>
          <w:rFonts w:hint="eastAsia" w:ascii="仿宋_GB2312" w:hAnsi="仿宋_GB2312" w:eastAsia="仿宋_GB2312" w:cs="仿宋_GB2312"/>
          <w:bCs/>
          <w:color w:val="auto"/>
          <w:sz w:val="32"/>
          <w:szCs w:val="32"/>
        </w:rPr>
        <w:t>（类）行政事业单位医疗（款）行政单位医疗（项）:</w:t>
      </w:r>
      <w:r>
        <w:rPr>
          <w:rStyle w:val="17"/>
          <w:rFonts w:hint="eastAsia" w:ascii="仿宋_GB2312" w:hAnsi="仿宋_GB2312" w:eastAsia="仿宋_GB2312" w:cs="仿宋_GB2312"/>
          <w:bCs/>
          <w:color w:val="auto"/>
          <w:sz w:val="32"/>
          <w:szCs w:val="32"/>
          <w:lang w:eastAsia="zh-CN"/>
        </w:rPr>
        <w:t>公务员医疗补助：</w:t>
      </w:r>
      <w:r>
        <w:rPr>
          <w:rStyle w:val="17"/>
          <w:rFonts w:hint="eastAsia" w:ascii="仿宋_GB2312" w:hAnsi="仿宋_GB2312" w:eastAsia="仿宋_GB2312" w:cs="仿宋_GB2312"/>
          <w:b w:val="0"/>
          <w:bCs/>
          <w:color w:val="auto"/>
          <w:sz w:val="32"/>
          <w:szCs w:val="32"/>
        </w:rPr>
        <w:t>支出决算为</w:t>
      </w:r>
      <w:r>
        <w:rPr>
          <w:rStyle w:val="17"/>
          <w:rFonts w:hint="eastAsia" w:ascii="仿宋_GB2312" w:hAnsi="仿宋_GB2312" w:eastAsia="仿宋_GB2312" w:cs="仿宋_GB2312"/>
          <w:b w:val="0"/>
          <w:bCs/>
          <w:color w:val="auto"/>
          <w:sz w:val="32"/>
          <w:szCs w:val="32"/>
          <w:lang w:val="en-US" w:eastAsia="zh-CN"/>
        </w:rPr>
        <w:t>0.32</w:t>
      </w:r>
      <w:r>
        <w:rPr>
          <w:rStyle w:val="17"/>
          <w:rFonts w:hint="eastAsia" w:ascii="仿宋_GB2312" w:hAnsi="仿宋_GB2312" w:eastAsia="仿宋_GB2312" w:cs="仿宋_GB2312"/>
          <w:b w:val="0"/>
          <w:bCs/>
          <w:color w:val="auto"/>
          <w:sz w:val="32"/>
          <w:szCs w:val="32"/>
        </w:rPr>
        <w:t>万元，完成预算100%，决算数与预算数持平</w:t>
      </w:r>
    </w:p>
    <w:p>
      <w:pPr>
        <w:spacing w:line="600" w:lineRule="exact"/>
        <w:ind w:firstLine="640" w:firstLineChars="200"/>
        <w:rPr>
          <w:rStyle w:val="17"/>
          <w:rFonts w:hint="eastAsia" w:ascii="仿宋_GB2312" w:hAnsi="仿宋_GB2312" w:eastAsia="仿宋_GB2312" w:cs="仿宋_GB2312"/>
          <w:b w:val="0"/>
          <w:bCs/>
          <w:color w:val="auto"/>
          <w:sz w:val="32"/>
          <w:szCs w:val="32"/>
        </w:rPr>
      </w:pPr>
      <w:r>
        <w:rPr>
          <w:rStyle w:val="17"/>
          <w:rFonts w:hint="eastAsia" w:ascii="仿宋_GB2312" w:hAnsi="仿宋_GB2312" w:eastAsia="仿宋_GB2312" w:cs="仿宋_GB2312"/>
          <w:b w:val="0"/>
          <w:bCs/>
          <w:color w:val="auto"/>
          <w:sz w:val="32"/>
          <w:szCs w:val="32"/>
        </w:rPr>
        <w:t>4.</w:t>
      </w:r>
      <w:r>
        <w:rPr>
          <w:rFonts w:hint="eastAsia" w:ascii="仿宋_GB2312" w:hAnsi="仿宋_GB2312" w:eastAsia="仿宋_GB2312" w:cs="仿宋_GB2312"/>
          <w:b/>
          <w:bCs/>
          <w:color w:val="auto"/>
          <w:sz w:val="32"/>
          <w:szCs w:val="32"/>
        </w:rPr>
        <w:t>住房保障支出</w:t>
      </w:r>
      <w:r>
        <w:rPr>
          <w:rStyle w:val="17"/>
          <w:rFonts w:hint="eastAsia" w:ascii="仿宋_GB2312" w:hAnsi="仿宋_GB2312" w:eastAsia="仿宋_GB2312" w:cs="仿宋_GB2312"/>
          <w:bCs/>
          <w:color w:val="auto"/>
          <w:sz w:val="32"/>
          <w:szCs w:val="32"/>
        </w:rPr>
        <w:t>（类）住房改革支出（款）住房公积金（项）</w:t>
      </w:r>
      <w:r>
        <w:rPr>
          <w:rStyle w:val="17"/>
          <w:rFonts w:hint="eastAsia" w:ascii="仿宋_GB2312" w:hAnsi="仿宋_GB2312" w:eastAsia="仿宋_GB2312" w:cs="仿宋_GB2312"/>
          <w:b w:val="0"/>
          <w:bCs/>
          <w:color w:val="auto"/>
          <w:sz w:val="32"/>
          <w:szCs w:val="32"/>
        </w:rPr>
        <w:t>支出决算为</w:t>
      </w:r>
      <w:r>
        <w:rPr>
          <w:rStyle w:val="17"/>
          <w:rFonts w:hint="eastAsia" w:ascii="仿宋_GB2312" w:hAnsi="仿宋_GB2312" w:eastAsia="仿宋_GB2312" w:cs="仿宋_GB2312"/>
          <w:b w:val="0"/>
          <w:bCs/>
          <w:color w:val="auto"/>
          <w:sz w:val="32"/>
          <w:szCs w:val="32"/>
          <w:lang w:val="en-US" w:eastAsia="zh-CN"/>
        </w:rPr>
        <w:t>10.81</w:t>
      </w:r>
      <w:r>
        <w:rPr>
          <w:rStyle w:val="17"/>
          <w:rFonts w:hint="eastAsia" w:ascii="仿宋_GB2312" w:hAnsi="仿宋_GB2312" w:eastAsia="仿宋_GB2312" w:cs="仿宋_GB2312"/>
          <w:b w:val="0"/>
          <w:bCs/>
          <w:color w:val="auto"/>
          <w:sz w:val="32"/>
          <w:szCs w:val="32"/>
        </w:rPr>
        <w:t>万元，完成预算100%，决算数与预算数持平</w:t>
      </w:r>
    </w:p>
    <w:p>
      <w:pPr>
        <w:spacing w:line="600" w:lineRule="exact"/>
        <w:rPr>
          <w:rFonts w:ascii="仿宋" w:hAnsi="仿宋" w:eastAsia="仿宋"/>
          <w:b/>
          <w:color w:val="auto"/>
          <w:sz w:val="32"/>
          <w:szCs w:val="32"/>
        </w:rPr>
      </w:pPr>
    </w:p>
    <w:p>
      <w:pPr>
        <w:tabs>
          <w:tab w:val="right" w:pos="8306"/>
        </w:tabs>
        <w:spacing w:line="600" w:lineRule="exact"/>
        <w:ind w:firstLine="640"/>
        <w:outlineLvl w:val="1"/>
        <w:rPr>
          <w:rStyle w:val="22"/>
          <w:color w:val="auto"/>
        </w:rPr>
      </w:pPr>
      <w:bookmarkStart w:id="40" w:name="_Toc15396608"/>
      <w:bookmarkStart w:id="41" w:name="_Toc15377214"/>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22"/>
          <w:rFonts w:hint="eastAsia" w:ascii="黑体" w:hAnsi="黑体" w:eastAsia="黑体"/>
          <w:b w:val="0"/>
          <w:color w:val="auto"/>
        </w:rPr>
        <w:t>般公共预算财政拨款基本支出决算情况说明</w:t>
      </w:r>
      <w:bookmarkEnd w:id="40"/>
      <w:bookmarkEnd w:id="41"/>
      <w:r>
        <w:rPr>
          <w:rStyle w:val="22"/>
          <w:rFonts w:ascii="黑体" w:hAnsi="黑体" w:eastAsia="黑体"/>
          <w:b w:val="0"/>
          <w:color w:val="auto"/>
        </w:rPr>
        <w:tab/>
      </w:r>
    </w:p>
    <w:p>
      <w:pPr>
        <w:spacing w:line="60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年一般公共预算财政拨款基本支出</w:t>
      </w:r>
      <w:r>
        <w:rPr>
          <w:rFonts w:hint="eastAsia" w:ascii="仿宋_GB2312" w:hAnsi="仿宋_GB2312" w:eastAsia="仿宋_GB2312" w:cs="仿宋_GB2312"/>
          <w:color w:val="auto"/>
          <w:sz w:val="32"/>
          <w:szCs w:val="32"/>
          <w:lang w:val="en-US" w:eastAsia="zh-CN"/>
        </w:rPr>
        <w:t>124.97</w:t>
      </w:r>
      <w:r>
        <w:rPr>
          <w:rFonts w:hint="eastAsia" w:ascii="仿宋_GB2312" w:hAnsi="仿宋_GB2312" w:eastAsia="仿宋_GB2312" w:cs="仿宋_GB2312"/>
          <w:color w:val="auto"/>
          <w:sz w:val="32"/>
          <w:szCs w:val="32"/>
        </w:rPr>
        <w:t>万元，其中：</w:t>
      </w:r>
    </w:p>
    <w:p>
      <w:pPr>
        <w:spacing w:line="600" w:lineRule="exact"/>
        <w:ind w:firstLine="645"/>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人员经费</w:t>
      </w:r>
      <w:r>
        <w:rPr>
          <w:rFonts w:hint="eastAsia" w:ascii="仿宋_GB2312" w:hAnsi="仿宋_GB2312" w:eastAsia="仿宋_GB2312" w:cs="仿宋_GB2312"/>
          <w:color w:val="auto"/>
          <w:sz w:val="32"/>
          <w:szCs w:val="32"/>
          <w:lang w:val="en-US" w:eastAsia="zh-CN"/>
        </w:rPr>
        <w:t>114.51</w:t>
      </w:r>
      <w:r>
        <w:rPr>
          <w:rFonts w:hint="eastAsia" w:ascii="仿宋_GB2312" w:hAnsi="仿宋_GB2312" w:eastAsia="仿宋_GB2312" w:cs="仿宋_GB2312"/>
          <w:color w:val="auto"/>
          <w:sz w:val="32"/>
          <w:szCs w:val="32"/>
        </w:rPr>
        <w:t>万元，主要包括：基本工资、津贴补贴、奖金、</w:t>
      </w:r>
      <w:r>
        <w:rPr>
          <w:rFonts w:hint="eastAsia" w:ascii="仿宋_GB2312" w:hAnsi="仿宋_GB2312" w:eastAsia="仿宋_GB2312" w:cs="仿宋_GB2312"/>
          <w:color w:val="auto"/>
          <w:sz w:val="32"/>
          <w:szCs w:val="32"/>
          <w:lang w:eastAsia="zh-CN"/>
        </w:rPr>
        <w:t>绩效工资、</w:t>
      </w:r>
      <w:r>
        <w:rPr>
          <w:rFonts w:hint="eastAsia" w:ascii="仿宋_GB2312" w:hAnsi="仿宋_GB2312" w:eastAsia="仿宋_GB2312" w:cs="仿宋_GB2312"/>
          <w:color w:val="auto"/>
          <w:sz w:val="32"/>
          <w:szCs w:val="32"/>
        </w:rPr>
        <w:t>机关事业单位基本养老保险缴费、</w:t>
      </w:r>
      <w:r>
        <w:rPr>
          <w:rFonts w:hint="eastAsia" w:ascii="仿宋_GB2312" w:hAnsi="仿宋_GB2312" w:eastAsia="仿宋_GB2312" w:cs="仿宋_GB2312"/>
          <w:color w:val="auto"/>
          <w:sz w:val="32"/>
          <w:szCs w:val="32"/>
          <w:lang w:eastAsia="zh-CN"/>
        </w:rPr>
        <w:t>职工基本医疗保险缴费、公务员医疗补助缴费、</w:t>
      </w:r>
      <w:r>
        <w:rPr>
          <w:rFonts w:hint="eastAsia" w:ascii="仿宋_GB2312" w:hAnsi="仿宋_GB2312" w:eastAsia="仿宋_GB2312" w:cs="仿宋_GB2312"/>
          <w:color w:val="auto"/>
          <w:sz w:val="32"/>
          <w:szCs w:val="32"/>
        </w:rPr>
        <w:t>住房公积金、</w:t>
      </w:r>
      <w:r>
        <w:rPr>
          <w:rFonts w:hint="eastAsia" w:ascii="仿宋_GB2312" w:hAnsi="仿宋_GB2312" w:eastAsia="仿宋_GB2312" w:cs="仿宋_GB2312"/>
          <w:color w:val="auto"/>
          <w:sz w:val="32"/>
          <w:szCs w:val="32"/>
          <w:lang w:eastAsia="zh-CN"/>
        </w:rPr>
        <w:t>其他工资福利支出、</w:t>
      </w:r>
      <w:r>
        <w:rPr>
          <w:rFonts w:hint="eastAsia" w:ascii="仿宋_GB2312" w:hAnsi="仿宋_GB2312" w:eastAsia="仿宋_GB2312" w:cs="仿宋_GB2312"/>
          <w:color w:val="auto"/>
          <w:sz w:val="32"/>
          <w:szCs w:val="32"/>
        </w:rPr>
        <w:t>生活补助、奖励金等。</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日常公用经费</w:t>
      </w:r>
      <w:r>
        <w:rPr>
          <w:rFonts w:hint="eastAsia" w:ascii="仿宋_GB2312" w:hAnsi="仿宋_GB2312" w:eastAsia="仿宋_GB2312" w:cs="仿宋_GB2312"/>
          <w:color w:val="auto"/>
          <w:sz w:val="32"/>
          <w:szCs w:val="32"/>
          <w:lang w:val="en-US" w:eastAsia="zh-CN"/>
        </w:rPr>
        <w:t>10.46</w:t>
      </w:r>
      <w:r>
        <w:rPr>
          <w:rFonts w:hint="eastAsia" w:ascii="仿宋_GB2312" w:hAnsi="仿宋_GB2312" w:eastAsia="仿宋_GB2312" w:cs="仿宋_GB2312"/>
          <w:color w:val="auto"/>
          <w:sz w:val="32"/>
          <w:szCs w:val="32"/>
        </w:rPr>
        <w:t>万元，主要包括：办公费、</w:t>
      </w:r>
      <w:r>
        <w:rPr>
          <w:rFonts w:hint="eastAsia" w:ascii="仿宋_GB2312" w:hAnsi="仿宋_GB2312" w:eastAsia="仿宋_GB2312" w:cs="仿宋_GB2312"/>
          <w:color w:val="auto"/>
          <w:sz w:val="32"/>
          <w:szCs w:val="32"/>
          <w:lang w:eastAsia="zh-CN"/>
        </w:rPr>
        <w:t>邮电费、</w:t>
      </w:r>
      <w:r>
        <w:rPr>
          <w:rFonts w:hint="eastAsia" w:ascii="仿宋_GB2312" w:hAnsi="仿宋_GB2312" w:eastAsia="仿宋_GB2312" w:cs="仿宋_GB2312"/>
          <w:color w:val="auto"/>
          <w:sz w:val="32"/>
          <w:szCs w:val="32"/>
        </w:rPr>
        <w:t>差旅费、</w:t>
      </w:r>
      <w:r>
        <w:rPr>
          <w:rFonts w:hint="eastAsia" w:ascii="仿宋_GB2312" w:hAnsi="仿宋_GB2312" w:eastAsia="仿宋_GB2312" w:cs="仿宋_GB2312"/>
          <w:color w:val="auto"/>
          <w:sz w:val="32"/>
          <w:szCs w:val="32"/>
          <w:lang w:eastAsia="zh-CN"/>
        </w:rPr>
        <w:t>培训费、</w:t>
      </w:r>
      <w:r>
        <w:rPr>
          <w:rFonts w:hint="eastAsia" w:ascii="仿宋_GB2312" w:hAnsi="仿宋_GB2312" w:eastAsia="仿宋_GB2312" w:cs="仿宋_GB2312"/>
          <w:color w:val="auto"/>
          <w:sz w:val="32"/>
          <w:szCs w:val="32"/>
        </w:rPr>
        <w:t>公务接待费、福利费、其他交通费、其他商品和服务支出等。</w:t>
      </w:r>
    </w:p>
    <w:p>
      <w:pPr>
        <w:spacing w:line="600" w:lineRule="exact"/>
        <w:ind w:firstLine="640"/>
        <w:outlineLvl w:val="1"/>
        <w:rPr>
          <w:rStyle w:val="22"/>
          <w:rFonts w:ascii="黑体" w:hAnsi="黑体" w:eastAsia="黑体"/>
          <w:b w:val="0"/>
          <w:color w:val="auto"/>
        </w:rPr>
      </w:pPr>
      <w:bookmarkStart w:id="42" w:name="_Toc15396609"/>
      <w:bookmarkStart w:id="43" w:name="_Toc15377215"/>
      <w:r>
        <w:rPr>
          <w:rFonts w:hint="eastAsia" w:ascii="黑体" w:eastAsia="黑体"/>
          <w:color w:val="auto"/>
          <w:sz w:val="32"/>
          <w:szCs w:val="32"/>
        </w:rPr>
        <w:t>七、</w:t>
      </w:r>
      <w:r>
        <w:rPr>
          <w:rStyle w:val="22"/>
          <w:rFonts w:hint="eastAsia" w:ascii="黑体" w:hAnsi="黑体" w:eastAsia="黑体"/>
          <w:color w:val="auto"/>
        </w:rPr>
        <w:t>“</w:t>
      </w:r>
      <w:r>
        <w:rPr>
          <w:rStyle w:val="22"/>
          <w:rFonts w:hint="eastAsia" w:ascii="黑体" w:hAnsi="黑体" w:eastAsia="黑体"/>
          <w:b w:val="0"/>
          <w:color w:val="auto"/>
        </w:rPr>
        <w:t>三公”经费财政拨款支出决算情况说明</w:t>
      </w:r>
      <w:bookmarkEnd w:id="42"/>
      <w:bookmarkEnd w:id="43"/>
    </w:p>
    <w:p>
      <w:pPr>
        <w:spacing w:line="600" w:lineRule="exact"/>
        <w:ind w:firstLine="640"/>
        <w:outlineLvl w:val="2"/>
        <w:rPr>
          <w:rFonts w:ascii="仿宋" w:hAnsi="仿宋" w:eastAsia="仿宋"/>
          <w:b/>
          <w:color w:val="auto"/>
          <w:sz w:val="32"/>
          <w:szCs w:val="32"/>
        </w:rPr>
      </w:pPr>
      <w:bookmarkStart w:id="44" w:name="_Toc15377216"/>
      <w:r>
        <w:rPr>
          <w:rFonts w:hint="eastAsia" w:ascii="仿宋" w:hAnsi="仿宋" w:eastAsia="仿宋"/>
          <w:b/>
          <w:color w:val="auto"/>
          <w:sz w:val="32"/>
          <w:szCs w:val="32"/>
        </w:rPr>
        <w:t>（一）“三公”经费财政拨款支出决算总体情况说明</w:t>
      </w:r>
      <w:bookmarkEnd w:id="44"/>
    </w:p>
    <w:p>
      <w:pPr>
        <w:spacing w:line="600" w:lineRule="exact"/>
        <w:ind w:firstLine="640"/>
        <w:rPr>
          <w:rFonts w:hint="eastAsia" w:ascii="仿宋" w:hAnsi="仿宋" w:eastAsia="仿宋"/>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年“三公”经费财政拨款支出决算为</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万元，完成预算100%，决算数与预算数一致。</w:t>
      </w:r>
    </w:p>
    <w:p>
      <w:pPr>
        <w:spacing w:line="600" w:lineRule="exact"/>
        <w:ind w:firstLine="640"/>
        <w:outlineLvl w:val="2"/>
        <w:rPr>
          <w:rFonts w:ascii="仿宋" w:hAnsi="仿宋" w:eastAsia="仿宋"/>
          <w:b/>
          <w:color w:val="auto"/>
          <w:sz w:val="32"/>
          <w:szCs w:val="32"/>
        </w:rPr>
      </w:pPr>
      <w:bookmarkStart w:id="45" w:name="_Toc15377217"/>
      <w:r>
        <w:rPr>
          <w:rFonts w:hint="eastAsia" w:ascii="仿宋" w:hAnsi="仿宋" w:eastAsia="仿宋"/>
          <w:b/>
          <w:color w:val="auto"/>
          <w:sz w:val="32"/>
          <w:szCs w:val="32"/>
        </w:rPr>
        <w:t>（二）“三公”经费财政拨款支出决算具体情况说明</w:t>
      </w:r>
      <w:bookmarkEnd w:id="45"/>
    </w:p>
    <w:p>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年“三公”经费财政拨款支出决算中，因公出国（境）费支出决算0万元，占0%；公务用车购置及运行维护费支出决算0万元，占0%；公务接待费支出决算</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万元，占100%。具体情况如下：</w:t>
      </w:r>
    </w:p>
    <w:p>
      <w:pPr>
        <w:spacing w:line="600" w:lineRule="exact"/>
        <w:ind w:firstLine="640"/>
        <w:rPr>
          <w:rFonts w:hint="eastAsia" w:ascii="仿宋" w:hAnsi="仿宋" w:eastAsia="仿宋"/>
          <w:color w:val="auto"/>
          <w:sz w:val="32"/>
          <w:szCs w:val="32"/>
        </w:rPr>
      </w:pPr>
      <w:r>
        <w:rPr>
          <w:rFonts w:hint="eastAsia" w:ascii="仿宋" w:hAnsi="仿宋" w:eastAsia="仿宋"/>
          <w:color w:val="auto"/>
          <w:sz w:val="32"/>
          <w:szCs w:val="32"/>
          <w:lang w:eastAsia="zh-CN"/>
        </w:rPr>
        <w:drawing>
          <wp:anchor distT="0" distB="0" distL="114300" distR="114300" simplePos="0" relativeHeight="251665408" behindDoc="0" locked="0" layoutInCell="1" allowOverlap="1">
            <wp:simplePos x="0" y="0"/>
            <wp:positionH relativeFrom="column">
              <wp:posOffset>436245</wp:posOffset>
            </wp:positionH>
            <wp:positionV relativeFrom="paragraph">
              <wp:posOffset>6985</wp:posOffset>
            </wp:positionV>
            <wp:extent cx="4720590" cy="3037205"/>
            <wp:effectExtent l="5080" t="4445" r="17780" b="635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color w:val="auto"/>
          <w:sz w:val="32"/>
          <w:szCs w:val="32"/>
        </w:rPr>
      </w:pPr>
    </w:p>
    <w:p>
      <w:pPr>
        <w:spacing w:line="600" w:lineRule="exact"/>
        <w:ind w:firstLine="640"/>
        <w:rPr>
          <w:rFonts w:hint="eastAsia" w:ascii="仿宋" w:hAnsi="仿宋" w:eastAsia="仿宋"/>
          <w:color w:val="auto"/>
          <w:sz w:val="32"/>
          <w:szCs w:val="32"/>
        </w:rPr>
      </w:pPr>
    </w:p>
    <w:p>
      <w:pPr>
        <w:spacing w:line="600" w:lineRule="exact"/>
        <w:ind w:firstLine="640"/>
        <w:rPr>
          <w:rFonts w:hint="eastAsia" w:ascii="仿宋" w:hAnsi="仿宋" w:eastAsia="仿宋"/>
          <w:color w:val="auto"/>
          <w:sz w:val="32"/>
          <w:szCs w:val="32"/>
        </w:rPr>
      </w:pPr>
    </w:p>
    <w:p>
      <w:pPr>
        <w:spacing w:line="600" w:lineRule="exact"/>
        <w:ind w:firstLine="640"/>
        <w:rPr>
          <w:rFonts w:hint="eastAsia" w:ascii="仿宋" w:hAnsi="仿宋" w:eastAsia="仿宋"/>
          <w:color w:val="auto"/>
          <w:sz w:val="32"/>
          <w:szCs w:val="32"/>
        </w:rPr>
      </w:pPr>
    </w:p>
    <w:p>
      <w:pPr>
        <w:spacing w:line="600" w:lineRule="exact"/>
        <w:ind w:firstLine="640"/>
        <w:rPr>
          <w:rFonts w:hint="eastAsia" w:ascii="仿宋" w:hAnsi="仿宋" w:eastAsia="仿宋"/>
          <w:color w:val="auto"/>
          <w:sz w:val="32"/>
          <w:szCs w:val="32"/>
          <w:lang w:eastAsia="zh-CN"/>
        </w:rPr>
      </w:pPr>
    </w:p>
    <w:p>
      <w:pPr>
        <w:spacing w:line="600" w:lineRule="exact"/>
        <w:ind w:firstLine="640"/>
        <w:rPr>
          <w:rFonts w:hint="eastAsia" w:ascii="仿宋" w:hAnsi="仿宋" w:eastAsia="仿宋"/>
          <w:color w:val="auto"/>
          <w:sz w:val="32"/>
          <w:szCs w:val="32"/>
        </w:rPr>
      </w:pPr>
    </w:p>
    <w:p>
      <w:pPr>
        <w:spacing w:line="600" w:lineRule="exact"/>
        <w:ind w:firstLine="640"/>
        <w:rPr>
          <w:rFonts w:hint="eastAsia" w:ascii="仿宋" w:hAnsi="仿宋" w:eastAsia="仿宋"/>
          <w:color w:val="auto"/>
          <w:sz w:val="32"/>
          <w:szCs w:val="32"/>
        </w:rPr>
      </w:pPr>
    </w:p>
    <w:p>
      <w:pPr>
        <w:spacing w:line="600" w:lineRule="exact"/>
        <w:ind w:firstLine="640"/>
        <w:rPr>
          <w:rFonts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7</w:t>
      </w:r>
      <w:r>
        <w:rPr>
          <w:rFonts w:hint="eastAsia" w:ascii="仿宋" w:hAnsi="仿宋" w:eastAsia="仿宋"/>
          <w:color w:val="auto"/>
          <w:sz w:val="32"/>
          <w:szCs w:val="32"/>
        </w:rPr>
        <w:t>：“三公”经费财政拨款支出结构）（饼状图）</w:t>
      </w:r>
    </w:p>
    <w:p>
      <w:pPr>
        <w:spacing w:line="60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1.因公出国（境）经费支出</w:t>
      </w:r>
      <w:r>
        <w:rPr>
          <w:rFonts w:hint="eastAsia" w:ascii="仿宋_GB2312" w:hAnsi="仿宋_GB2312" w:eastAsia="仿宋_GB2312" w:cs="仿宋_GB2312"/>
          <w:color w:val="auto"/>
          <w:sz w:val="32"/>
          <w:szCs w:val="32"/>
        </w:rPr>
        <w:t>0万元，</w:t>
      </w:r>
      <w:r>
        <w:rPr>
          <w:rStyle w:val="17"/>
          <w:rFonts w:hint="eastAsia" w:ascii="仿宋_GB2312" w:hAnsi="仿宋_GB2312" w:eastAsia="仿宋_GB2312" w:cs="仿宋_GB2312"/>
          <w:b w:val="0"/>
          <w:bCs/>
          <w:color w:val="auto"/>
          <w:sz w:val="32"/>
          <w:szCs w:val="32"/>
        </w:rPr>
        <w:t>完成预算0%。</w:t>
      </w:r>
      <w:r>
        <w:rPr>
          <w:rFonts w:hint="eastAsia" w:ascii="仿宋_GB2312" w:hAnsi="仿宋_GB2312" w:eastAsia="仿宋_GB2312" w:cs="仿宋_GB2312"/>
          <w:color w:val="auto"/>
          <w:sz w:val="32"/>
          <w:szCs w:val="32"/>
        </w:rPr>
        <w:t>全年安排因公出国（境）团组0次，出国（境）0人。因公出国（境）支出决算与20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年持平。</w:t>
      </w:r>
    </w:p>
    <w:p>
      <w:pPr>
        <w:spacing w:line="600" w:lineRule="exact"/>
        <w:ind w:firstLine="64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2.公务用车购置及运行维护费支出</w:t>
      </w:r>
      <w:r>
        <w:rPr>
          <w:rFonts w:hint="eastAsia" w:ascii="仿宋_GB2312" w:hAnsi="仿宋_GB2312" w:eastAsia="仿宋_GB2312" w:cs="仿宋_GB2312"/>
          <w:color w:val="auto"/>
          <w:sz w:val="32"/>
          <w:szCs w:val="32"/>
        </w:rPr>
        <w:t>0万元,</w:t>
      </w:r>
      <w:r>
        <w:rPr>
          <w:rStyle w:val="17"/>
          <w:rFonts w:hint="eastAsia" w:ascii="仿宋_GB2312" w:hAnsi="仿宋_GB2312" w:eastAsia="仿宋_GB2312" w:cs="仿宋_GB2312"/>
          <w:b w:val="0"/>
          <w:bCs/>
          <w:color w:val="auto"/>
          <w:sz w:val="32"/>
          <w:szCs w:val="32"/>
        </w:rPr>
        <w:t>完成预算0%。</w:t>
      </w:r>
      <w:r>
        <w:rPr>
          <w:rFonts w:hint="eastAsia" w:ascii="仿宋_GB2312" w:hAnsi="仿宋_GB2312" w:eastAsia="仿宋_GB2312" w:cs="仿宋_GB2312"/>
          <w:color w:val="auto"/>
          <w:sz w:val="32"/>
          <w:szCs w:val="32"/>
        </w:rPr>
        <w:t>公务用车购置及运行维护费支出决算与20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年持平。</w:t>
      </w:r>
    </w:p>
    <w:p>
      <w:pPr>
        <w:spacing w:line="60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b/>
          <w:color w:val="auto"/>
          <w:sz w:val="32"/>
          <w:szCs w:val="32"/>
        </w:rPr>
        <w:t>公务用车购置支出</w:t>
      </w:r>
      <w:r>
        <w:rPr>
          <w:rFonts w:hint="eastAsia" w:ascii="仿宋_GB2312" w:hAnsi="仿宋_GB2312" w:eastAsia="仿宋_GB2312" w:cs="仿宋_GB2312"/>
          <w:color w:val="auto"/>
          <w:sz w:val="32"/>
          <w:szCs w:val="32"/>
        </w:rPr>
        <w:t>0万元。全年按规定更新购置公务用车0辆，其中：轿车0辆、金额0万元，越野车0辆、金额0万元，载客汽车0辆、金额0万元。截至202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年12月底，单位共有公务用车0辆，其中：轿车0辆、越野车0辆、载客汽车0辆。</w:t>
      </w:r>
    </w:p>
    <w:p>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公务用车运行维护费支出</w:t>
      </w:r>
      <w:r>
        <w:rPr>
          <w:rFonts w:hint="eastAsia" w:ascii="仿宋_GB2312" w:hAnsi="仿宋_GB2312" w:eastAsia="仿宋_GB2312" w:cs="仿宋_GB2312"/>
          <w:color w:val="auto"/>
          <w:sz w:val="32"/>
          <w:szCs w:val="32"/>
        </w:rPr>
        <w:t>0万元。</w:t>
      </w:r>
    </w:p>
    <w:p>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3.公务接待费支出</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万元，</w:t>
      </w:r>
      <w:r>
        <w:rPr>
          <w:rStyle w:val="17"/>
          <w:rFonts w:hint="eastAsia" w:ascii="仿宋_GB2312" w:hAnsi="仿宋_GB2312" w:eastAsia="仿宋_GB2312" w:cs="仿宋_GB2312"/>
          <w:b w:val="0"/>
          <w:bCs/>
          <w:color w:val="auto"/>
          <w:sz w:val="32"/>
          <w:szCs w:val="32"/>
        </w:rPr>
        <w:t>完成预算100%。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年2.62</w:t>
      </w:r>
      <w:r>
        <w:rPr>
          <w:rFonts w:hint="eastAsia" w:ascii="仿宋_GB2312" w:hAnsi="仿宋_GB2312" w:eastAsia="仿宋_GB2312" w:cs="仿宋_GB2312"/>
          <w:color w:val="auto"/>
          <w:sz w:val="32"/>
          <w:szCs w:val="32"/>
          <w:lang w:eastAsia="zh-CN"/>
        </w:rPr>
        <w:t>万元相比，</w:t>
      </w:r>
      <w:r>
        <w:rPr>
          <w:rFonts w:hint="eastAsia" w:ascii="仿宋_GB2312" w:hAnsi="仿宋_GB2312" w:eastAsia="仿宋_GB2312" w:cs="仿宋_GB2312"/>
          <w:color w:val="auto"/>
          <w:sz w:val="32"/>
          <w:szCs w:val="32"/>
        </w:rPr>
        <w:t>减少</w:t>
      </w:r>
      <w:r>
        <w:rPr>
          <w:rFonts w:hint="eastAsia" w:ascii="仿宋_GB2312" w:hAnsi="仿宋_GB2312" w:eastAsia="仿宋_GB2312" w:cs="仿宋_GB2312"/>
          <w:color w:val="auto"/>
          <w:sz w:val="32"/>
          <w:szCs w:val="32"/>
          <w:lang w:val="en-US" w:eastAsia="zh-CN"/>
        </w:rPr>
        <w:t>1.62</w:t>
      </w:r>
      <w:r>
        <w:rPr>
          <w:rFonts w:hint="eastAsia" w:ascii="仿宋_GB2312" w:hAnsi="仿宋_GB2312" w:eastAsia="仿宋_GB2312" w:cs="仿宋_GB2312"/>
          <w:color w:val="auto"/>
          <w:sz w:val="32"/>
          <w:szCs w:val="32"/>
        </w:rPr>
        <w:t>万元，下降</w:t>
      </w:r>
      <w:r>
        <w:rPr>
          <w:rFonts w:hint="eastAsia" w:ascii="仿宋_GB2312" w:hAnsi="仿宋_GB2312" w:eastAsia="仿宋_GB2312" w:cs="仿宋_GB2312"/>
          <w:color w:val="auto"/>
          <w:sz w:val="32"/>
          <w:szCs w:val="32"/>
          <w:lang w:val="en-US" w:eastAsia="zh-CN"/>
        </w:rPr>
        <w:t>61.83</w:t>
      </w:r>
      <w:r>
        <w:rPr>
          <w:rFonts w:hint="eastAsia" w:ascii="仿宋_GB2312" w:hAnsi="仿宋_GB2312" w:eastAsia="仿宋_GB2312" w:cs="仿宋_GB2312"/>
          <w:color w:val="auto"/>
          <w:sz w:val="32"/>
          <w:szCs w:val="32"/>
        </w:rPr>
        <w:t>%。主要原因是按照公务接待相关政策，严守审核关，反对浪费，厉行节约。其中：</w:t>
      </w:r>
      <w:r>
        <w:rPr>
          <w:rFonts w:hint="eastAsia" w:ascii="仿宋_GB2312" w:hAnsi="仿宋_GB2312" w:eastAsia="仿宋_GB2312" w:cs="仿宋_GB2312"/>
          <w:b/>
          <w:color w:val="auto"/>
          <w:sz w:val="32"/>
          <w:szCs w:val="32"/>
        </w:rPr>
        <w:t>国内公务接待支出</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万元，主要用于接待上级部门和相关单位因统一战线、民主党派等工作的调研、学习交流和</w:t>
      </w:r>
      <w:r>
        <w:rPr>
          <w:rFonts w:hint="eastAsia" w:ascii="仿宋_GB2312" w:hAnsi="仿宋_GB2312" w:eastAsia="仿宋_GB2312" w:cs="仿宋_GB2312"/>
          <w:color w:val="auto"/>
          <w:sz w:val="32"/>
          <w:szCs w:val="32"/>
          <w:lang w:eastAsia="zh-CN"/>
        </w:rPr>
        <w:t>督导</w:t>
      </w:r>
      <w:r>
        <w:rPr>
          <w:rFonts w:hint="eastAsia" w:ascii="仿宋_GB2312" w:hAnsi="仿宋_GB2312" w:eastAsia="仿宋_GB2312" w:cs="仿宋_GB2312"/>
          <w:color w:val="auto"/>
          <w:sz w:val="32"/>
          <w:szCs w:val="32"/>
        </w:rPr>
        <w:t>检查来访时用餐费。国内公务接待</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批次，</w:t>
      </w:r>
      <w:r>
        <w:rPr>
          <w:rFonts w:hint="eastAsia" w:ascii="仿宋_GB2312" w:hAnsi="仿宋_GB2312" w:eastAsia="仿宋_GB2312" w:cs="仿宋_GB2312"/>
          <w:color w:val="auto"/>
          <w:sz w:val="32"/>
          <w:szCs w:val="32"/>
          <w:lang w:val="en-US" w:eastAsia="zh-CN"/>
        </w:rPr>
        <w:t>87</w:t>
      </w:r>
      <w:r>
        <w:rPr>
          <w:rFonts w:hint="eastAsia" w:ascii="仿宋_GB2312" w:hAnsi="仿宋_GB2312" w:eastAsia="仿宋_GB2312" w:cs="仿宋_GB2312"/>
          <w:color w:val="auto"/>
          <w:sz w:val="32"/>
          <w:szCs w:val="32"/>
        </w:rPr>
        <w:t>人次（不包括陪同人员），共计支出</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万元，具体内容包括：</w:t>
      </w:r>
    </w:p>
    <w:p>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因统战创新实践基地建设工作调研接待中共攀枝花市委统战部一行</w:t>
      </w:r>
      <w:r>
        <w:rPr>
          <w:rFonts w:hint="eastAsia" w:ascii="仿宋_GB2312" w:hAnsi="仿宋_GB2312" w:eastAsia="仿宋_GB2312" w:cs="仿宋_GB2312"/>
          <w:color w:val="auto"/>
          <w:sz w:val="32"/>
          <w:szCs w:val="32"/>
          <w:lang w:val="en-US" w:eastAsia="zh-CN"/>
        </w:rPr>
        <w:t>4人，费用0.07万元</w:t>
      </w:r>
      <w:r>
        <w:rPr>
          <w:rFonts w:hint="eastAsia" w:ascii="仿宋_GB2312" w:hAnsi="仿宋_GB2312" w:eastAsia="仿宋_GB2312" w:cs="仿宋_GB2312"/>
          <w:color w:val="auto"/>
          <w:sz w:val="32"/>
          <w:szCs w:val="32"/>
        </w:rPr>
        <w:t>。</w:t>
      </w:r>
    </w:p>
    <w:p>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因基层统战重点工作调研接待中共攀枝花市委统战部一行</w:t>
      </w:r>
      <w:r>
        <w:rPr>
          <w:rFonts w:hint="eastAsia" w:ascii="仿宋_GB2312" w:hAnsi="仿宋_GB2312" w:eastAsia="仿宋_GB2312" w:cs="仿宋_GB2312"/>
          <w:color w:val="auto"/>
          <w:sz w:val="32"/>
          <w:szCs w:val="32"/>
          <w:lang w:val="en-US" w:eastAsia="zh-CN"/>
        </w:rPr>
        <w:t>4人，费用0.07万元</w:t>
      </w:r>
      <w:r>
        <w:rPr>
          <w:rFonts w:hint="eastAsia" w:ascii="仿宋_GB2312" w:hAnsi="仿宋_GB2312" w:eastAsia="仿宋_GB2312" w:cs="仿宋_GB2312"/>
          <w:color w:val="auto"/>
          <w:sz w:val="32"/>
          <w:szCs w:val="32"/>
        </w:rPr>
        <w:t>。</w:t>
      </w:r>
    </w:p>
    <w:p>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2019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因学习交流发挥民主党派参政议政作用，促进经济社会发展情况接待中共攀枝花市仁和区委统战部一行</w:t>
      </w:r>
      <w:r>
        <w:rPr>
          <w:rFonts w:hint="eastAsia" w:ascii="仿宋_GB2312" w:hAnsi="仿宋_GB2312" w:eastAsia="仿宋_GB2312" w:cs="仿宋_GB2312"/>
          <w:color w:val="auto"/>
          <w:sz w:val="32"/>
          <w:szCs w:val="32"/>
          <w:lang w:val="en-US" w:eastAsia="zh-CN"/>
        </w:rPr>
        <w:t>21人</w:t>
      </w:r>
      <w:r>
        <w:rPr>
          <w:rFonts w:hint="eastAsia" w:ascii="仿宋_GB2312" w:hAnsi="仿宋_GB2312" w:eastAsia="仿宋_GB2312" w:cs="仿宋_GB2312"/>
          <w:color w:val="auto"/>
          <w:sz w:val="32"/>
          <w:szCs w:val="32"/>
          <w:lang w:eastAsia="zh-CN"/>
        </w:rPr>
        <w:t>，费用</w:t>
      </w:r>
      <w:r>
        <w:rPr>
          <w:rFonts w:hint="eastAsia" w:ascii="仿宋_GB2312" w:hAnsi="仿宋_GB2312" w:eastAsia="仿宋_GB2312" w:cs="仿宋_GB2312"/>
          <w:color w:val="auto"/>
          <w:sz w:val="32"/>
          <w:szCs w:val="32"/>
          <w:lang w:val="en-US" w:eastAsia="zh-CN"/>
        </w:rPr>
        <w:t>0.14万元</w:t>
      </w:r>
      <w:r>
        <w:rPr>
          <w:rFonts w:hint="eastAsia" w:ascii="仿宋_GB2312" w:hAnsi="仿宋_GB2312" w:eastAsia="仿宋_GB2312" w:cs="仿宋_GB2312"/>
          <w:color w:val="auto"/>
          <w:sz w:val="32"/>
          <w:szCs w:val="32"/>
        </w:rPr>
        <w:t>。</w:t>
      </w:r>
    </w:p>
    <w:p>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因考察学习脱贫攻坚及乡村振兴工作接待攀枝花市仁和区一行</w:t>
      </w:r>
      <w:r>
        <w:rPr>
          <w:rFonts w:hint="eastAsia" w:ascii="仿宋_GB2312" w:hAnsi="仿宋_GB2312" w:eastAsia="仿宋_GB2312" w:cs="仿宋_GB2312"/>
          <w:color w:val="auto"/>
          <w:sz w:val="32"/>
          <w:szCs w:val="32"/>
          <w:lang w:val="en-US" w:eastAsia="zh-CN"/>
        </w:rPr>
        <w:t>23人，费用0.24万元</w:t>
      </w:r>
      <w:r>
        <w:rPr>
          <w:rFonts w:hint="eastAsia" w:ascii="仿宋_GB2312" w:hAnsi="仿宋_GB2312" w:eastAsia="仿宋_GB2312" w:cs="仿宋_GB2312"/>
          <w:color w:val="auto"/>
          <w:sz w:val="32"/>
          <w:szCs w:val="32"/>
        </w:rPr>
        <w:t>。</w:t>
      </w:r>
    </w:p>
    <w:p>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年11月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因学习交流康养产业项目接待重庆綦江区委统战一行</w:t>
      </w:r>
      <w:r>
        <w:rPr>
          <w:rFonts w:hint="eastAsia" w:ascii="仿宋_GB2312" w:hAnsi="仿宋_GB2312" w:eastAsia="仿宋_GB2312" w:cs="仿宋_GB2312"/>
          <w:color w:val="auto"/>
          <w:sz w:val="32"/>
          <w:szCs w:val="32"/>
          <w:lang w:val="en-US" w:eastAsia="zh-CN"/>
        </w:rPr>
        <w:t>14人，费用0.23万元</w:t>
      </w:r>
      <w:r>
        <w:rPr>
          <w:rFonts w:hint="eastAsia" w:ascii="仿宋_GB2312" w:hAnsi="仿宋_GB2312" w:eastAsia="仿宋_GB2312" w:cs="仿宋_GB2312"/>
          <w:color w:val="auto"/>
          <w:sz w:val="32"/>
          <w:szCs w:val="32"/>
        </w:rPr>
        <w:t>。</w:t>
      </w:r>
    </w:p>
    <w:p>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年12月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因开展“康养产业发展”专题调研接待民革四川省委一行</w:t>
      </w:r>
      <w:r>
        <w:rPr>
          <w:rFonts w:hint="eastAsia" w:ascii="仿宋_GB2312" w:hAnsi="仿宋_GB2312" w:eastAsia="仿宋_GB2312" w:cs="仿宋_GB2312"/>
          <w:color w:val="auto"/>
          <w:sz w:val="32"/>
          <w:szCs w:val="32"/>
          <w:lang w:val="en-US" w:eastAsia="zh-CN"/>
        </w:rPr>
        <w:t>13人，费用0.15万元</w:t>
      </w:r>
      <w:r>
        <w:rPr>
          <w:rFonts w:hint="eastAsia" w:ascii="仿宋_GB2312" w:hAnsi="仿宋_GB2312" w:eastAsia="仿宋_GB2312" w:cs="仿宋_GB2312"/>
          <w:color w:val="auto"/>
          <w:sz w:val="32"/>
          <w:szCs w:val="32"/>
        </w:rPr>
        <w:t>。</w:t>
      </w:r>
    </w:p>
    <w:p>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因社会评价及基层统战工作、创新实践基地验收工作等调研接待中共攀枝花市委统战部一行</w:t>
      </w:r>
      <w:r>
        <w:rPr>
          <w:rFonts w:hint="eastAsia" w:ascii="仿宋_GB2312" w:hAnsi="仿宋_GB2312" w:eastAsia="仿宋_GB2312" w:cs="仿宋_GB2312"/>
          <w:color w:val="auto"/>
          <w:sz w:val="32"/>
          <w:szCs w:val="32"/>
          <w:lang w:val="en-US" w:eastAsia="zh-CN"/>
        </w:rPr>
        <w:t>4人，费用0.06万元</w:t>
      </w:r>
      <w:r>
        <w:rPr>
          <w:rFonts w:hint="eastAsia" w:ascii="仿宋_GB2312" w:hAnsi="仿宋_GB2312" w:eastAsia="仿宋_GB2312" w:cs="仿宋_GB2312"/>
          <w:color w:val="auto"/>
          <w:sz w:val="32"/>
          <w:szCs w:val="32"/>
        </w:rPr>
        <w:t>。</w:t>
      </w:r>
    </w:p>
    <w:p>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月27日，</w:t>
      </w:r>
      <w:r>
        <w:rPr>
          <w:rFonts w:hint="eastAsia" w:ascii="仿宋_GB2312" w:hAnsi="仿宋_GB2312" w:eastAsia="仿宋_GB2312" w:cs="仿宋_GB2312"/>
          <w:color w:val="auto"/>
          <w:sz w:val="32"/>
          <w:szCs w:val="32"/>
          <w:lang w:eastAsia="zh-CN"/>
        </w:rPr>
        <w:t>因各民主党派、市工商联领导班子成员读书班点位调研接待中共攀枝花市委统战部一行</w:t>
      </w:r>
      <w:r>
        <w:rPr>
          <w:rFonts w:hint="eastAsia" w:ascii="仿宋_GB2312" w:hAnsi="仿宋_GB2312" w:eastAsia="仿宋_GB2312" w:cs="仿宋_GB2312"/>
          <w:color w:val="auto"/>
          <w:sz w:val="32"/>
          <w:szCs w:val="32"/>
          <w:lang w:val="en-US" w:eastAsia="zh-CN"/>
        </w:rPr>
        <w:t>4人，费用0.04万元</w:t>
      </w:r>
      <w:r>
        <w:rPr>
          <w:rFonts w:hint="eastAsia" w:ascii="仿宋_GB2312" w:hAnsi="仿宋_GB2312" w:eastAsia="仿宋_GB2312" w:cs="仿宋_GB2312"/>
          <w:color w:val="auto"/>
          <w:sz w:val="32"/>
          <w:szCs w:val="32"/>
        </w:rPr>
        <w:t>。</w:t>
      </w:r>
    </w:p>
    <w:p>
      <w:pPr>
        <w:spacing w:line="60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外事接待支出</w:t>
      </w:r>
      <w:r>
        <w:rPr>
          <w:rFonts w:hint="eastAsia" w:ascii="仿宋_GB2312" w:hAnsi="仿宋_GB2312" w:eastAsia="仿宋_GB2312" w:cs="仿宋_GB2312"/>
          <w:color w:val="auto"/>
          <w:sz w:val="32"/>
          <w:szCs w:val="32"/>
        </w:rPr>
        <w:t>0万元，外事接待0批次，0人，共计支出0万元。</w:t>
      </w:r>
    </w:p>
    <w:p>
      <w:pPr>
        <w:spacing w:line="600" w:lineRule="exact"/>
        <w:ind w:firstLine="640"/>
        <w:outlineLvl w:val="1"/>
        <w:rPr>
          <w:rFonts w:hint="eastAsia" w:ascii="仿宋_GB2312" w:hAnsi="仿宋_GB2312" w:eastAsia="仿宋_GB2312" w:cs="仿宋_GB2312"/>
          <w:color w:val="auto"/>
          <w:sz w:val="32"/>
          <w:szCs w:val="32"/>
        </w:rPr>
      </w:pPr>
      <w:bookmarkStart w:id="46" w:name="_Toc15377218"/>
      <w:bookmarkStart w:id="47" w:name="_Toc15396610"/>
    </w:p>
    <w:p>
      <w:pPr>
        <w:spacing w:line="600" w:lineRule="exact"/>
        <w:ind w:firstLine="640"/>
        <w:outlineLvl w:val="1"/>
        <w:rPr>
          <w:rStyle w:val="22"/>
          <w:rFonts w:ascii="黑体" w:hAnsi="黑体" w:eastAsia="黑体"/>
          <w:color w:val="auto"/>
        </w:rPr>
      </w:pPr>
      <w:r>
        <w:rPr>
          <w:rFonts w:hint="eastAsia" w:ascii="黑体" w:eastAsia="黑体"/>
          <w:color w:val="auto"/>
          <w:sz w:val="32"/>
          <w:szCs w:val="32"/>
        </w:rPr>
        <w:t>八、</w:t>
      </w:r>
      <w:r>
        <w:rPr>
          <w:rStyle w:val="22"/>
          <w:rFonts w:hint="eastAsia" w:ascii="黑体" w:hAnsi="黑体" w:eastAsia="黑体"/>
          <w:b w:val="0"/>
          <w:color w:val="auto"/>
        </w:rPr>
        <w:t>政府性基金预算支出决算情况说明</w:t>
      </w:r>
      <w:bookmarkEnd w:id="46"/>
      <w:bookmarkEnd w:id="47"/>
    </w:p>
    <w:p>
      <w:pPr>
        <w:spacing w:line="600" w:lineRule="exact"/>
        <w:ind w:firstLine="640"/>
        <w:rPr>
          <w:rFonts w:ascii="仿宋_GB2312" w:eastAsia="仿宋_GB2312"/>
          <w:color w:val="auto"/>
          <w:sz w:val="32"/>
          <w:szCs w:val="32"/>
        </w:rPr>
      </w:pPr>
      <w:r>
        <w:rPr>
          <w:rFonts w:ascii="仿宋_GB2312" w:eastAsia="仿宋_GB2312"/>
          <w:color w:val="auto"/>
          <w:sz w:val="32"/>
          <w:szCs w:val="32"/>
        </w:rPr>
        <w:t>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年政府性基金预算拨款支出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numPr>
          <w:ilvl w:val="0"/>
          <w:numId w:val="4"/>
        </w:numPr>
        <w:spacing w:line="600" w:lineRule="exact"/>
        <w:ind w:firstLine="640"/>
        <w:outlineLvl w:val="1"/>
        <w:rPr>
          <w:rStyle w:val="22"/>
          <w:rFonts w:ascii="黑体" w:hAnsi="黑体" w:eastAsia="黑体"/>
          <w:b w:val="0"/>
          <w:color w:val="auto"/>
        </w:rPr>
      </w:pPr>
      <w:bookmarkStart w:id="48" w:name="_Toc15377219"/>
      <w:bookmarkStart w:id="49" w:name="_Toc15396611"/>
      <w:r>
        <w:rPr>
          <w:rStyle w:val="22"/>
          <w:rFonts w:hint="eastAsia" w:ascii="黑体" w:hAnsi="黑体" w:eastAsia="黑体"/>
          <w:b w:val="0"/>
          <w:color w:val="auto"/>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color w:val="auto"/>
          <w:sz w:val="44"/>
          <w:szCs w:val="44"/>
        </w:rPr>
      </w:pPr>
      <w:r>
        <w:rPr>
          <w:rFonts w:ascii="仿宋_GB2312" w:eastAsia="仿宋_GB2312"/>
          <w:color w:val="auto"/>
          <w:sz w:val="32"/>
          <w:szCs w:val="32"/>
        </w:rPr>
        <w:t>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年国有资本经营预算拨款支出0万元。</w:t>
      </w:r>
    </w:p>
    <w:p>
      <w:pPr>
        <w:spacing w:line="600" w:lineRule="exact"/>
        <w:ind w:firstLine="800" w:firstLineChars="250"/>
        <w:outlineLvl w:val="1"/>
        <w:rPr>
          <w:rStyle w:val="22"/>
          <w:rFonts w:ascii="黑体" w:hAnsi="黑体" w:eastAsia="黑体"/>
          <w:color w:val="auto"/>
        </w:rPr>
      </w:pPr>
      <w:bookmarkStart w:id="50" w:name="_Toc15377221"/>
      <w:bookmarkStart w:id="51" w:name="_Toc15396612"/>
      <w:r>
        <w:rPr>
          <w:rFonts w:hint="eastAsia" w:ascii="黑体" w:hAnsi="黑体" w:eastAsia="黑体"/>
          <w:color w:val="auto"/>
          <w:sz w:val="32"/>
          <w:szCs w:val="32"/>
        </w:rPr>
        <w:t>十</w:t>
      </w:r>
      <w:r>
        <w:rPr>
          <w:rStyle w:val="22"/>
          <w:rFonts w:hint="eastAsia" w:ascii="黑体" w:hAnsi="黑体" w:eastAsia="黑体"/>
          <w:color w:val="auto"/>
        </w:rPr>
        <w:t>、</w:t>
      </w:r>
      <w:r>
        <w:rPr>
          <w:rStyle w:val="22"/>
          <w:rFonts w:hint="eastAsia" w:ascii="黑体" w:hAnsi="黑体" w:eastAsia="黑体"/>
          <w:b w:val="0"/>
          <w:color w:val="auto"/>
        </w:rPr>
        <w:t>其他重要事项的情况说明</w:t>
      </w:r>
      <w:bookmarkEnd w:id="50"/>
      <w:bookmarkEnd w:id="51"/>
    </w:p>
    <w:p>
      <w:pPr>
        <w:spacing w:line="600" w:lineRule="exact"/>
        <w:ind w:firstLine="643" w:firstLineChars="200"/>
        <w:outlineLvl w:val="2"/>
        <w:rPr>
          <w:rFonts w:ascii="仿宋" w:hAnsi="仿宋" w:eastAsia="仿宋"/>
          <w:color w:val="auto"/>
          <w:sz w:val="32"/>
          <w:szCs w:val="32"/>
        </w:rPr>
      </w:pPr>
      <w:bookmarkStart w:id="52" w:name="_Toc15377222"/>
      <w:r>
        <w:rPr>
          <w:rFonts w:hint="eastAsia" w:ascii="仿宋" w:hAnsi="仿宋" w:eastAsia="仿宋"/>
          <w:b/>
          <w:color w:val="auto"/>
          <w:sz w:val="32"/>
          <w:szCs w:val="32"/>
        </w:rPr>
        <w:t>（一）机关运行经费支出情况</w:t>
      </w:r>
      <w:bookmarkEnd w:id="52"/>
    </w:p>
    <w:p>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年，县委统战部机关运行经费支出10</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46万元，</w:t>
      </w:r>
      <w:r>
        <w:rPr>
          <w:rFonts w:hint="eastAsia" w:ascii="仿宋_GB2312" w:eastAsia="仿宋_GB2312"/>
          <w:color w:val="auto"/>
          <w:sz w:val="32"/>
          <w:szCs w:val="32"/>
          <w:lang w:eastAsia="zh-CN"/>
        </w:rPr>
        <w:t>与</w:t>
      </w: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年6.43</w:t>
      </w:r>
      <w:r>
        <w:rPr>
          <w:rFonts w:hint="eastAsia" w:ascii="仿宋_GB2312" w:eastAsia="仿宋_GB2312"/>
          <w:color w:val="auto"/>
          <w:sz w:val="32"/>
          <w:szCs w:val="32"/>
          <w:lang w:eastAsia="zh-CN"/>
        </w:rPr>
        <w:t>万元相比增加</w:t>
      </w:r>
      <w:r>
        <w:rPr>
          <w:rFonts w:hint="eastAsia" w:ascii="仿宋_GB2312" w:eastAsia="仿宋_GB2312"/>
          <w:color w:val="auto"/>
          <w:sz w:val="32"/>
          <w:szCs w:val="32"/>
          <w:lang w:val="en-US" w:eastAsia="zh-CN"/>
        </w:rPr>
        <w:t>4.03</w:t>
      </w:r>
      <w:r>
        <w:rPr>
          <w:rFonts w:hint="eastAsia" w:ascii="仿宋_GB2312" w:eastAsia="仿宋_GB2312"/>
          <w:color w:val="auto"/>
          <w:sz w:val="32"/>
          <w:szCs w:val="32"/>
        </w:rPr>
        <w:t>万元，</w:t>
      </w:r>
      <w:r>
        <w:rPr>
          <w:rFonts w:hint="eastAsia" w:ascii="仿宋_GB2312" w:eastAsia="仿宋_GB2312"/>
          <w:color w:val="auto"/>
          <w:sz w:val="32"/>
          <w:szCs w:val="32"/>
          <w:lang w:eastAsia="zh-CN"/>
        </w:rPr>
        <w:t>增长</w:t>
      </w:r>
      <w:r>
        <w:rPr>
          <w:rFonts w:hint="eastAsia" w:ascii="仿宋_GB2312" w:eastAsia="仿宋_GB2312"/>
          <w:color w:val="auto"/>
          <w:sz w:val="32"/>
          <w:szCs w:val="32"/>
          <w:lang w:val="en-US" w:eastAsia="zh-CN"/>
        </w:rPr>
        <w:t>62.67</w:t>
      </w:r>
      <w:r>
        <w:rPr>
          <w:rFonts w:ascii="仿宋_GB2312" w:eastAsia="仿宋_GB2312"/>
          <w:color w:val="auto"/>
          <w:sz w:val="32"/>
          <w:szCs w:val="32"/>
        </w:rPr>
        <w:t>%</w:t>
      </w:r>
      <w:r>
        <w:rPr>
          <w:rFonts w:hint="eastAsia" w:ascii="仿宋_GB2312" w:eastAsia="仿宋_GB2312"/>
          <w:color w:val="auto"/>
          <w:sz w:val="32"/>
          <w:szCs w:val="32"/>
        </w:rPr>
        <w:t>。主要</w:t>
      </w:r>
      <w:r>
        <w:rPr>
          <w:rFonts w:hint="eastAsia" w:ascii="仿宋_GB2312" w:eastAsia="仿宋_GB2312"/>
          <w:color w:val="auto"/>
          <w:sz w:val="32"/>
          <w:szCs w:val="32"/>
          <w:lang w:eastAsia="zh-CN"/>
        </w:rPr>
        <w:t>是</w:t>
      </w:r>
      <w:r>
        <w:rPr>
          <w:rFonts w:hint="eastAsia" w:ascii="仿宋_GB2312" w:eastAsia="仿宋_GB2312"/>
          <w:color w:val="auto"/>
          <w:sz w:val="32"/>
          <w:szCs w:val="32"/>
        </w:rPr>
        <w:t>因</w:t>
      </w:r>
      <w:r>
        <w:rPr>
          <w:rFonts w:hint="eastAsia" w:ascii="仿宋_GB2312" w:eastAsia="仿宋_GB2312"/>
          <w:color w:val="auto"/>
          <w:sz w:val="32"/>
          <w:szCs w:val="32"/>
          <w:lang w:eastAsia="zh-CN"/>
        </w:rPr>
        <w:t>统战各类工作任务及疫情防控、森林草原防灭火等工作需要，增加相关支出</w:t>
      </w:r>
      <w:r>
        <w:rPr>
          <w:rFonts w:hint="eastAsia" w:ascii="仿宋_GB2312" w:eastAsia="仿宋_GB2312"/>
          <w:color w:val="auto"/>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rPr>
      </w:pPr>
      <w:bookmarkStart w:id="53" w:name="_Toc15377223"/>
      <w:r>
        <w:rPr>
          <w:rFonts w:hint="eastAsia" w:ascii="仿宋" w:hAnsi="仿宋" w:eastAsia="仿宋"/>
          <w:b/>
          <w:color w:val="auto"/>
          <w:sz w:val="32"/>
          <w:szCs w:val="32"/>
        </w:rPr>
        <w:t>（二）政府采购支出情况</w:t>
      </w:r>
      <w:bookmarkEnd w:id="53"/>
    </w:p>
    <w:p>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年，县委统战部政府采购支出总额0万元，其中：政府采购货物支出0万元、政府采购工程支出0万元、政府采购服务支出0万元。授予中小企业合同金额0万元，占政府采购支出总额的0</w:t>
      </w:r>
      <w:r>
        <w:rPr>
          <w:rFonts w:ascii="仿宋_GB2312" w:eastAsia="仿宋_GB2312"/>
          <w:color w:val="auto"/>
          <w:sz w:val="32"/>
          <w:szCs w:val="32"/>
        </w:rPr>
        <w:t>%</w:t>
      </w:r>
      <w:r>
        <w:rPr>
          <w:rFonts w:hint="eastAsia" w:ascii="仿宋_GB2312" w:eastAsia="仿宋_GB2312"/>
          <w:color w:val="auto"/>
          <w:sz w:val="32"/>
          <w:szCs w:val="32"/>
        </w:rPr>
        <w:t>，其中：授予小微企业合同金额0万元，占政府采购支出总额的0</w:t>
      </w:r>
      <w:r>
        <w:rPr>
          <w:rFonts w:ascii="仿宋_GB2312" w:eastAsia="仿宋_GB2312"/>
          <w:color w:val="auto"/>
          <w:sz w:val="32"/>
          <w:szCs w:val="32"/>
        </w:rPr>
        <w:t>%</w:t>
      </w:r>
      <w:r>
        <w:rPr>
          <w:rFonts w:hint="eastAsia" w:ascii="仿宋_GB2312" w:eastAsia="仿宋_GB2312"/>
          <w:color w:val="auto"/>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rPr>
      </w:pPr>
      <w:bookmarkStart w:id="54" w:name="_Toc15377224"/>
      <w:r>
        <w:rPr>
          <w:rFonts w:hint="eastAsia" w:ascii="仿宋" w:hAnsi="仿宋" w:eastAsia="仿宋"/>
          <w:b/>
          <w:color w:val="auto"/>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auto"/>
          <w:sz w:val="32"/>
          <w:szCs w:val="32"/>
        </w:rPr>
      </w:pPr>
      <w:r>
        <w:rPr>
          <w:rFonts w:hint="eastAsia" w:ascii="仿宋_GB2312" w:eastAsia="仿宋_GB2312"/>
          <w:color w:val="auto"/>
          <w:sz w:val="32"/>
          <w:szCs w:val="32"/>
        </w:rPr>
        <w:t>截至</w:t>
      </w:r>
      <w:r>
        <w:rPr>
          <w:rFonts w:ascii="仿宋_GB2312" w:eastAsia="仿宋_GB2312"/>
          <w:color w:val="auto"/>
          <w:sz w:val="32"/>
          <w:szCs w:val="32"/>
        </w:rPr>
        <w:t>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日，县委统战部共有车辆0辆，其中：主要领导干部用车0辆、机要通信用车0辆、应急保障用车0辆、其他用车0辆。单价</w:t>
      </w:r>
      <w:r>
        <w:rPr>
          <w:rFonts w:ascii="仿宋_GB2312" w:eastAsia="仿宋_GB2312"/>
          <w:color w:val="auto"/>
          <w:sz w:val="32"/>
          <w:szCs w:val="32"/>
        </w:rPr>
        <w:t>50</w:t>
      </w:r>
      <w:r>
        <w:rPr>
          <w:rFonts w:hint="eastAsia" w:ascii="仿宋_GB2312" w:eastAsia="仿宋_GB2312"/>
          <w:color w:val="auto"/>
          <w:sz w:val="32"/>
          <w:szCs w:val="32"/>
        </w:rPr>
        <w:t>万元以上通用设备0台（套），单价</w:t>
      </w:r>
      <w:r>
        <w:rPr>
          <w:rFonts w:ascii="仿宋_GB2312" w:eastAsia="仿宋_GB2312"/>
          <w:color w:val="auto"/>
          <w:sz w:val="32"/>
          <w:szCs w:val="32"/>
        </w:rPr>
        <w:t>100</w:t>
      </w:r>
      <w:r>
        <w:rPr>
          <w:rFonts w:hint="eastAsia" w:ascii="仿宋_GB2312" w:eastAsia="仿宋_GB2312"/>
          <w:color w:val="auto"/>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rPr>
      </w:pPr>
      <w:r>
        <w:rPr>
          <w:rFonts w:hint="eastAsia" w:ascii="仿宋" w:hAnsi="仿宋" w:eastAsia="仿宋"/>
          <w:b/>
          <w:color w:val="auto"/>
          <w:sz w:val="32"/>
          <w:szCs w:val="32"/>
        </w:rPr>
        <w:t>（四）预算绩效管理情况。</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根据预算绩效管理要求，本部门（单位）在年初预算编制阶段，</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lang w:val="en-US" w:eastAsia="zh-CN"/>
        </w:rPr>
        <w:t>2021年统战工作经费及各民主党派、知联部和新年会活动经费进行了预算编制，被县财政纳入预算的项目为0个，所以年初本部门</w:t>
      </w:r>
      <w:r>
        <w:rPr>
          <w:rFonts w:hint="eastAsia" w:ascii="仿宋_GB2312" w:hAnsi="仿宋_GB2312" w:eastAsia="仿宋_GB2312" w:cs="仿宋_GB2312"/>
          <w:color w:val="auto"/>
          <w:sz w:val="32"/>
          <w:szCs w:val="32"/>
        </w:rPr>
        <w:t>组织对</w:t>
      </w:r>
      <w:r>
        <w:rPr>
          <w:rFonts w:hint="eastAsia" w:ascii="仿宋_GB2312" w:hAnsi="仿宋_GB2312" w:eastAsia="仿宋_GB2312" w:cs="仿宋_GB2312"/>
          <w:color w:val="auto"/>
          <w:sz w:val="32"/>
          <w:szCs w:val="32"/>
          <w:lang w:val="en-US" w:eastAsia="zh-CN"/>
        </w:rPr>
        <w:t>0个</w:t>
      </w:r>
      <w:r>
        <w:rPr>
          <w:rFonts w:hint="eastAsia" w:ascii="仿宋_GB2312" w:hAnsi="仿宋_GB2312" w:eastAsia="仿宋_GB2312" w:cs="仿宋_GB2312"/>
          <w:color w:val="auto"/>
          <w:sz w:val="32"/>
          <w:szCs w:val="32"/>
        </w:rPr>
        <w:t>项目开展了预算事前绩效评估，对0个项目编制了绩效目标，预算执行过程中，选取0个项目开展绩效监控，年终执行完毕后，对0个项目开展了绩效目标完成情况自评。</w:t>
      </w:r>
    </w:p>
    <w:p>
      <w:pPr>
        <w:widowControl/>
        <w:adjustRightInd w:val="0"/>
        <w:snapToGrid w:val="0"/>
        <w:spacing w:line="540" w:lineRule="exact"/>
        <w:ind w:firstLine="720"/>
        <w:jc w:val="left"/>
        <w:rPr>
          <w:rFonts w:hint="eastAsia" w:ascii="仿宋_GB2312" w:hAnsi="仿宋_GB2312" w:eastAsia="仿宋_GB2312" w:cs="仿宋_GB2312"/>
          <w:bCs/>
          <w:color w:val="auto"/>
          <w:kern w:val="0"/>
          <w:sz w:val="32"/>
          <w:szCs w:val="32"/>
          <w:shd w:val="clear" w:color="auto" w:fill="FFFFFF"/>
          <w:lang w:val="zh-CN"/>
        </w:rPr>
      </w:pPr>
      <w:r>
        <w:rPr>
          <w:rFonts w:hint="eastAsia" w:ascii="仿宋_GB2312" w:hAnsi="仿宋_GB2312" w:eastAsia="仿宋_GB2312" w:cs="仿宋_GB2312"/>
          <w:color w:val="auto"/>
          <w:sz w:val="32"/>
          <w:szCs w:val="32"/>
        </w:rPr>
        <w:t>本部门按要求对</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rPr>
        <w:t>年部门整体支出开展绩效自评，从评价情况来看</w:t>
      </w:r>
      <w:r>
        <w:rPr>
          <w:rFonts w:hint="eastAsia" w:ascii="仿宋_GB2312" w:hAnsi="仿宋_GB2312" w:eastAsia="仿宋_GB2312" w:cs="仿宋_GB2312"/>
          <w:bCs/>
          <w:color w:val="auto"/>
          <w:kern w:val="0"/>
          <w:sz w:val="32"/>
          <w:szCs w:val="32"/>
          <w:shd w:val="clear" w:color="auto" w:fill="FFFFFF"/>
          <w:lang w:val="zh-CN"/>
        </w:rPr>
        <w:t>基本支出方面逐月发放职工工资，按时缴纳职工机关事业单位基本养老保险、其他社会保障性缴费、住房公积金等各项人员经费，严格分解使用本单位的公用经费，把好审核关，把本单位的公用经费支出按制在规定的范围内。</w:t>
      </w:r>
    </w:p>
    <w:p>
      <w:pPr>
        <w:spacing w:line="600" w:lineRule="exact"/>
        <w:ind w:firstLine="630" w:firstLineChars="197"/>
        <w:rPr>
          <w:rFonts w:hint="eastAsia" w:ascii="仿宋_GB2312" w:hAnsi="仿宋_GB2312" w:eastAsia="仿宋_GB2312" w:cs="仿宋_GB2312"/>
          <w:bCs/>
          <w:color w:val="auto"/>
          <w:kern w:val="0"/>
          <w:sz w:val="32"/>
          <w:szCs w:val="32"/>
          <w:shd w:val="clear" w:color="auto" w:fill="FFFFFF"/>
          <w:lang w:val="zh-CN"/>
        </w:rPr>
      </w:pPr>
      <w:r>
        <w:rPr>
          <w:rFonts w:hint="eastAsia" w:ascii="仿宋_GB2312" w:hAnsi="仿宋_GB2312" w:eastAsia="仿宋_GB2312" w:cs="仿宋_GB2312"/>
          <w:bCs/>
          <w:color w:val="auto"/>
          <w:kern w:val="0"/>
          <w:sz w:val="32"/>
          <w:szCs w:val="32"/>
          <w:shd w:val="clear" w:color="auto" w:fill="FFFFFF"/>
          <w:lang w:val="zh-CN"/>
        </w:rPr>
        <w:t>项目支出方面严格按照资金的用途，及时拨付各民主党派的活动经费，确保了早期归乔生活补助，铸牢统一战线的血肉联系，使本部门的各项工作得以圆满完成。</w:t>
      </w:r>
    </w:p>
    <w:p>
      <w:pPr>
        <w:widowControl/>
        <w:adjustRightInd w:val="0"/>
        <w:snapToGrid w:val="0"/>
        <w:spacing w:line="540" w:lineRule="exact"/>
        <w:ind w:firstLine="72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val="zh-CN"/>
        </w:rPr>
        <w:t>本部门无专项预算项目，因此未组织开展项目支出绩效评价。</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1.项目绩效目标完成情况。</w:t>
      </w:r>
      <w:r>
        <w:rPr>
          <w:rFonts w:ascii="楷体_GB2312" w:hAnsi="楷体_GB2312" w:eastAsia="楷体_GB2312" w:cs="楷体_GB2312"/>
          <w:color w:val="auto"/>
          <w:sz w:val="32"/>
          <w:szCs w:val="32"/>
        </w:rPr>
        <w:br w:type="textWrapping"/>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无</w:t>
      </w:r>
    </w:p>
    <w:p>
      <w:pPr>
        <w:spacing w:line="580" w:lineRule="exact"/>
        <w:ind w:firstLine="640" w:firstLineChars="200"/>
        <w:rPr>
          <w:rFonts w:ascii="仿宋_GB2312" w:hAnsi="仿宋_GB2312" w:eastAsia="仿宋_GB2312" w:cs="仿宋_GB2312"/>
          <w:color w:val="auto"/>
          <w:sz w:val="32"/>
          <w:szCs w:val="32"/>
        </w:rPr>
      </w:pPr>
      <w:r>
        <w:rPr>
          <w:rFonts w:ascii="楷体_GB2312" w:hAnsi="楷体_GB2312" w:eastAsia="楷体_GB2312" w:cs="楷体_GB2312"/>
          <w:color w:val="auto"/>
          <w:sz w:val="32"/>
          <w:szCs w:val="32"/>
        </w:rPr>
        <w:t>2.</w:t>
      </w:r>
      <w:r>
        <w:rPr>
          <w:rFonts w:hint="eastAsia" w:ascii="楷体_GB2312" w:hAnsi="楷体_GB2312" w:eastAsia="楷体_GB2312" w:cs="楷体_GB2312"/>
          <w:color w:val="auto"/>
          <w:sz w:val="32"/>
          <w:szCs w:val="32"/>
        </w:rPr>
        <w:t>部门绩效评价结果。</w:t>
      </w:r>
    </w:p>
    <w:p>
      <w:pPr>
        <w:tabs>
          <w:tab w:val="left" w:pos="4246"/>
        </w:tabs>
        <w:snapToGrid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对本单位整体绩效的自评，本部门不管是在资金预算编制方面，还是预算执行、综合管理、整体绩效方面，都按相关规定严格执行，合理使用各项财政资金，使财政资金发辉最大的效益。所以我单位总体评价为优。其中在预算部门管理方面得分49分，专项预算管理方面得分19分，绩效结果应用自评得分29分，合计总得分97分。</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《米易县委统战部</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年部门整体支出绩效评价报告》见附件（附件</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w:t>
      </w:r>
    </w:p>
    <w:p>
      <w:pPr>
        <w:spacing w:line="580" w:lineRule="exact"/>
        <w:ind w:firstLine="640" w:firstLineChars="200"/>
        <w:rPr>
          <w:rFonts w:ascii="仿宋_GB2312" w:eastAsia="仿宋_GB2312"/>
          <w:b/>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年度本部门</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资金为保单位正常运转的经费，无工程项目建设，</w:t>
      </w:r>
      <w:r>
        <w:rPr>
          <w:rFonts w:hint="eastAsia" w:ascii="仿宋_GB2312" w:hAnsi="仿宋_GB2312" w:eastAsia="仿宋_GB2312" w:cs="仿宋_GB2312"/>
          <w:color w:val="auto"/>
          <w:sz w:val="32"/>
          <w:szCs w:val="32"/>
        </w:rPr>
        <w:t>所以没有开展项目绩效评价。</w:t>
      </w:r>
    </w:p>
    <w:p>
      <w:pPr>
        <w:widowControl/>
        <w:jc w:val="left"/>
        <w:rPr>
          <w:rFonts w:ascii="仿宋_GB2312" w:eastAsia="仿宋_GB2312"/>
          <w:b/>
          <w:color w:val="auto"/>
          <w:sz w:val="32"/>
          <w:szCs w:val="32"/>
        </w:rPr>
      </w:pPr>
      <w:r>
        <w:rPr>
          <w:rFonts w:ascii="仿宋_GB2312" w:eastAsia="仿宋_GB2312"/>
          <w:b/>
          <w:color w:val="auto"/>
          <w:sz w:val="32"/>
          <w:szCs w:val="32"/>
        </w:rPr>
        <w:br w:type="page"/>
      </w:r>
    </w:p>
    <w:p>
      <w:pPr>
        <w:numPr>
          <w:ilvl w:val="0"/>
          <w:numId w:val="5"/>
        </w:numPr>
        <w:spacing w:line="600" w:lineRule="exact"/>
        <w:ind w:firstLine="660" w:firstLineChars="150"/>
        <w:jc w:val="center"/>
        <w:outlineLvl w:val="0"/>
        <w:rPr>
          <w:rStyle w:val="21"/>
          <w:rFonts w:ascii="黑体" w:hAnsi="黑体" w:eastAsia="黑体"/>
          <w:b w:val="0"/>
          <w:color w:val="auto"/>
        </w:rPr>
      </w:pPr>
      <w:bookmarkStart w:id="55" w:name="_Toc15377225"/>
      <w:bookmarkStart w:id="56" w:name="_Toc15396613"/>
      <w:r>
        <w:rPr>
          <w:rFonts w:hint="eastAsia" w:ascii="黑体" w:hAnsi="黑体" w:eastAsia="黑体"/>
          <w:color w:val="auto"/>
          <w:sz w:val="44"/>
          <w:szCs w:val="44"/>
        </w:rPr>
        <w:t>名</w:t>
      </w:r>
      <w:r>
        <w:rPr>
          <w:rStyle w:val="21"/>
          <w:rFonts w:hint="eastAsia" w:ascii="黑体" w:hAnsi="黑体" w:eastAsia="黑体"/>
          <w:b w:val="0"/>
          <w:color w:val="auto"/>
        </w:rPr>
        <w:t>词解释</w:t>
      </w:r>
      <w:bookmarkEnd w:id="55"/>
      <w:bookmarkEnd w:id="56"/>
    </w:p>
    <w:p>
      <w:pPr>
        <w:spacing w:line="600" w:lineRule="exact"/>
        <w:jc w:val="left"/>
        <w:rPr>
          <w:rFonts w:ascii="宋体"/>
          <w:b/>
          <w:color w:val="auto"/>
          <w:sz w:val="44"/>
          <w:szCs w:val="44"/>
        </w:rPr>
      </w:pPr>
    </w:p>
    <w:p>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31"/>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31"/>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color w:val="auto"/>
          <w:sz w:val="32"/>
          <w:szCs w:val="32"/>
        </w:rPr>
      </w:pPr>
      <w:r>
        <w:rPr>
          <w:rFonts w:ascii="仿宋_GB2312" w:eastAsia="仿宋_GB2312"/>
          <w:color w:val="auto"/>
          <w:sz w:val="32"/>
          <w:szCs w:val="32"/>
        </w:rPr>
        <w:t>9.</w:t>
      </w:r>
      <w:r>
        <w:rPr>
          <w:rFonts w:hint="eastAsia" w:ascii="仿宋_GB2312" w:eastAsia="仿宋_GB2312"/>
          <w:color w:val="auto"/>
          <w:sz w:val="32"/>
          <w:szCs w:val="32"/>
        </w:rPr>
        <w:t>一般公共服务（类）统战事务（款）行政运行（项）：指反映行政单位（包括实行公务员管理的事业单位）的基本支出。</w:t>
      </w:r>
    </w:p>
    <w:p>
      <w:pPr>
        <w:ind w:firstLine="640" w:firstLineChars="200"/>
        <w:rPr>
          <w:rFonts w:hint="eastAsia" w:ascii="仿宋_GB2312" w:eastAsia="仿宋_GB2312"/>
          <w:color w:val="auto"/>
          <w:sz w:val="32"/>
          <w:szCs w:val="32"/>
        </w:rPr>
      </w:pPr>
      <w:r>
        <w:rPr>
          <w:rFonts w:ascii="仿宋_GB2312" w:eastAsia="仿宋_GB2312"/>
          <w:color w:val="auto"/>
          <w:sz w:val="32"/>
          <w:szCs w:val="32"/>
        </w:rPr>
        <w:t>10.</w:t>
      </w:r>
      <w:r>
        <w:rPr>
          <w:rFonts w:hint="eastAsia" w:ascii="仿宋_GB2312" w:eastAsia="仿宋_GB2312"/>
          <w:color w:val="auto"/>
          <w:sz w:val="32"/>
          <w:szCs w:val="32"/>
        </w:rPr>
        <w:t>一般公共服务（类）统战事务（款）一般行政管理事务（项）：指反映行政单位（包括实行公务员管理的事业单位）未独立设置项级科目的其他项目支出。</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11.一般公共服务（类）统战事务（款）事业运行（项）：指事业单位的基本支出。指不包括行政单位（包括实行公务员管理的事业单位）后勤服务中心、医务室等附属事业单位。</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12.社会保障和就业（类）行政事业单位离退休（款）未归口管理的行政单位离退休（项）：指实行归口管理的行政单位（包括实行公务员管理的事业单位）开支的离退休支出。</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13.社会保障和就业（类）行政事业单位离退休（款）机关事业单位基本养老保险缴费支出（项）：指行政事业单位按人力资源和社会保障部、财政部规定的基本工资和津贴补贴以及规定比例为职工缴纳的基本养老保险缴费。</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14.卫生健康支出（类）行政事业单位医疗（款）行政单位医疗（项）：指财政部门集中安排的行政单位基本医疗保险缴费经费。</w:t>
      </w:r>
    </w:p>
    <w:p>
      <w:pPr>
        <w:ind w:firstLine="640" w:firstLineChars="200"/>
        <w:rPr>
          <w:rFonts w:hint="eastAsia" w:ascii="仿宋_GB2312" w:eastAsia="仿宋_GB2312"/>
          <w:color w:val="auto"/>
          <w:sz w:val="30"/>
          <w:szCs w:val="30"/>
        </w:rPr>
      </w:pPr>
      <w:r>
        <w:rPr>
          <w:rFonts w:hint="eastAsia" w:ascii="仿宋_GB2312" w:eastAsia="仿宋_GB2312"/>
          <w:color w:val="auto"/>
          <w:sz w:val="32"/>
          <w:szCs w:val="32"/>
        </w:rPr>
        <w:t>15.卫生健康支出（类）行政事业单位医疗（款）事业单位医疗（项）：指</w:t>
      </w:r>
      <w:r>
        <w:rPr>
          <w:rFonts w:hint="eastAsia" w:ascii="仿宋_GB2312" w:eastAsia="仿宋_GB2312"/>
          <w:color w:val="auto"/>
          <w:sz w:val="30"/>
          <w:szCs w:val="30"/>
        </w:rPr>
        <w:t>财政部门集中安排的事业单位基本医疗保险缴费经费。</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16.卫生健康支出（类）行政事业单位医疗（款）公务员医疗补助（项）：指财政部门集中安排的公务员医疗补助经费。</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17.住房保障（类）住房改革支出（款）住房积金（项）：指</w:t>
      </w:r>
      <w:r>
        <w:rPr>
          <w:rFonts w:hint="eastAsia" w:ascii="仿宋_GB2312" w:eastAsia="仿宋_GB2312"/>
          <w:color w:val="auto"/>
          <w:sz w:val="30"/>
          <w:szCs w:val="30"/>
        </w:rPr>
        <w:t>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18</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19</w:t>
      </w:r>
      <w:r>
        <w:rPr>
          <w:rFonts w:ascii="仿宋_GB2312" w:eastAsia="仿宋_GB2312"/>
          <w:color w:val="auto"/>
          <w:sz w:val="32"/>
          <w:szCs w:val="32"/>
        </w:rPr>
        <w:t>.</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20</w:t>
      </w:r>
      <w:r>
        <w:rPr>
          <w:rFonts w:ascii="仿宋_GB2312" w:eastAsia="仿宋_GB2312"/>
          <w:color w:val="auto"/>
          <w:sz w:val="32"/>
          <w:szCs w:val="32"/>
        </w:rPr>
        <w:t>.</w:t>
      </w:r>
      <w:r>
        <w:rPr>
          <w:rFonts w:hint="eastAsia" w:ascii="仿宋_GB2312" w:eastAsia="仿宋_GB2312"/>
          <w:color w:val="auto"/>
          <w:sz w:val="32"/>
          <w:szCs w:val="32"/>
        </w:rPr>
        <w:t>经营支出：指事业单位在专业业务活动及其辅助活动之外开展非独立核算经营活动发生的支出。</w:t>
      </w:r>
    </w:p>
    <w:p>
      <w:pPr>
        <w:pStyle w:val="3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23.商品和服务支出：指反映单位购买商品和服务的支出（不包括用于购置固定资产的支出、战略性和应急储备支出，但军事方面的耐用消费品和设备的购置费、军事性建设费以及军事建筑物的购置费等在本科目中反映）。</w:t>
      </w:r>
    </w:p>
    <w:p>
      <w:pPr>
        <w:pStyle w:val="31"/>
        <w:spacing w:line="560" w:lineRule="exact"/>
        <w:ind w:firstLine="640" w:firstLineChars="200"/>
        <w:rPr>
          <w:rFonts w:hint="eastAsia" w:ascii="仿宋_GB2312" w:eastAsia="仿宋_GB2312" w:cs="黑体"/>
          <w:color w:val="auto"/>
          <w:sz w:val="32"/>
          <w:szCs w:val="32"/>
        </w:rPr>
      </w:pPr>
      <w:r>
        <w:rPr>
          <w:rFonts w:hint="eastAsia" w:ascii="仿宋_GB2312" w:eastAsia="仿宋_GB2312" w:cs="黑体"/>
          <w:color w:val="auto"/>
          <w:sz w:val="32"/>
          <w:szCs w:val="32"/>
        </w:rPr>
        <w:t>24.办公费：指单位购买按财务制度规定不符合固定资产确认标准的日常办公用品、书报杂志等支出。</w:t>
      </w:r>
    </w:p>
    <w:p>
      <w:pPr>
        <w:pStyle w:val="31"/>
        <w:spacing w:line="560" w:lineRule="exact"/>
        <w:ind w:firstLine="640" w:firstLineChars="200"/>
        <w:rPr>
          <w:rFonts w:hint="eastAsia" w:ascii="仿宋_GB2312" w:eastAsia="仿宋_GB2312" w:cs="黑体"/>
          <w:color w:val="auto"/>
          <w:sz w:val="32"/>
          <w:szCs w:val="32"/>
        </w:rPr>
      </w:pPr>
      <w:r>
        <w:rPr>
          <w:rFonts w:hint="eastAsia" w:ascii="仿宋_GB2312" w:eastAsia="仿宋_GB2312" w:cs="黑体"/>
          <w:color w:val="auto"/>
          <w:sz w:val="32"/>
          <w:szCs w:val="32"/>
        </w:rPr>
        <w:t>25.邮电费：指单位开支的信函、包裹、货物等物品的邮寄费及电话费、电报费、传真费、网络通讯费等。</w:t>
      </w:r>
    </w:p>
    <w:p>
      <w:pPr>
        <w:pStyle w:val="31"/>
        <w:spacing w:line="560" w:lineRule="exact"/>
        <w:ind w:firstLine="640" w:firstLineChars="200"/>
        <w:rPr>
          <w:rFonts w:hint="eastAsia" w:ascii="仿宋_GB2312" w:eastAsia="仿宋_GB2312" w:cs="黑体"/>
          <w:color w:val="auto"/>
          <w:sz w:val="32"/>
          <w:szCs w:val="32"/>
        </w:rPr>
      </w:pPr>
      <w:r>
        <w:rPr>
          <w:rFonts w:hint="eastAsia" w:ascii="仿宋_GB2312" w:eastAsia="仿宋_GB2312" w:cs="黑体"/>
          <w:color w:val="auto"/>
          <w:sz w:val="32"/>
          <w:szCs w:val="32"/>
        </w:rPr>
        <w:t>26.差旅费：指单位工作人员出差发生的城市间交通费、住宿费、伙食补助费和市内交通费。</w:t>
      </w:r>
    </w:p>
    <w:p>
      <w:pPr>
        <w:pStyle w:val="31"/>
        <w:spacing w:line="560" w:lineRule="exact"/>
        <w:ind w:firstLine="640" w:firstLineChars="200"/>
        <w:rPr>
          <w:rFonts w:ascii="仿宋_GB2312" w:eastAsia="仿宋_GB2312" w:cs="黑体"/>
          <w:color w:val="auto"/>
          <w:sz w:val="32"/>
          <w:szCs w:val="32"/>
        </w:rPr>
      </w:pPr>
      <w:r>
        <w:rPr>
          <w:rFonts w:hint="eastAsia" w:ascii="仿宋_GB2312" w:eastAsia="仿宋_GB2312" w:cs="黑体"/>
          <w:color w:val="auto"/>
          <w:sz w:val="32"/>
          <w:szCs w:val="32"/>
        </w:rPr>
        <w:t>27.会议费：指单位在会议期间按规定开支的住宿费、伙食费、会议室租金、交通费、文件印刷费、医药费等支出。</w:t>
      </w:r>
    </w:p>
    <w:p>
      <w:pPr>
        <w:pStyle w:val="31"/>
        <w:spacing w:line="560" w:lineRule="exact"/>
        <w:ind w:firstLine="640" w:firstLineChars="200"/>
        <w:rPr>
          <w:rFonts w:ascii="仿宋_GB2312" w:eastAsia="仿宋_GB2312" w:cs="黑体"/>
          <w:color w:val="auto"/>
          <w:sz w:val="32"/>
          <w:szCs w:val="32"/>
        </w:rPr>
      </w:pPr>
    </w:p>
    <w:p>
      <w:pPr>
        <w:ind w:firstLine="643" w:firstLineChars="200"/>
        <w:rPr>
          <w:rFonts w:ascii="仿宋" w:hAnsi="仿宋" w:eastAsia="仿宋"/>
          <w:b/>
          <w:color w:val="auto"/>
          <w:sz w:val="32"/>
          <w:szCs w:val="32"/>
        </w:rPr>
      </w:pPr>
    </w:p>
    <w:p>
      <w:pPr>
        <w:spacing w:line="600" w:lineRule="exact"/>
        <w:jc w:val="center"/>
        <w:outlineLvl w:val="0"/>
        <w:rPr>
          <w:rStyle w:val="21"/>
          <w:rFonts w:ascii="黑体" w:hAnsi="黑体" w:eastAsia="黑体"/>
          <w:b w:val="0"/>
          <w:color w:val="auto"/>
        </w:rPr>
      </w:pPr>
      <w:bookmarkStart w:id="57" w:name="_Toc15377226"/>
      <w:r>
        <w:rPr>
          <w:rFonts w:ascii="宋体"/>
          <w:b/>
          <w:color w:val="auto"/>
          <w:sz w:val="44"/>
          <w:szCs w:val="44"/>
        </w:rPr>
        <w:br w:type="page"/>
      </w:r>
      <w:bookmarkStart w:id="58" w:name="_Toc15396614"/>
      <w:r>
        <w:rPr>
          <w:rFonts w:hint="eastAsia" w:ascii="黑体" w:hAnsi="黑体" w:eastAsia="黑体"/>
          <w:color w:val="auto"/>
          <w:sz w:val="44"/>
          <w:szCs w:val="44"/>
        </w:rPr>
        <w:t>第</w:t>
      </w:r>
      <w:r>
        <w:rPr>
          <w:rStyle w:val="21"/>
          <w:rFonts w:hint="eastAsia" w:ascii="黑体" w:hAnsi="黑体" w:eastAsia="黑体"/>
          <w:b w:val="0"/>
          <w:color w:val="auto"/>
        </w:rPr>
        <w:t>四部分</w:t>
      </w:r>
      <w:r>
        <w:rPr>
          <w:rStyle w:val="21"/>
          <w:rFonts w:ascii="黑体" w:hAnsi="黑体" w:eastAsia="黑体"/>
          <w:b w:val="0"/>
          <w:color w:val="auto"/>
        </w:rPr>
        <w:t xml:space="preserve"> </w:t>
      </w:r>
      <w:r>
        <w:rPr>
          <w:rStyle w:val="21"/>
          <w:rFonts w:hint="eastAsia" w:ascii="黑体" w:hAnsi="黑体" w:eastAsia="黑体"/>
          <w:b w:val="0"/>
          <w:color w:val="auto"/>
        </w:rPr>
        <w:t>附件</w:t>
      </w:r>
      <w:bookmarkEnd w:id="58"/>
    </w:p>
    <w:p>
      <w:pPr>
        <w:spacing w:line="600" w:lineRule="exact"/>
        <w:jc w:val="left"/>
        <w:outlineLvl w:val="0"/>
        <w:rPr>
          <w:rFonts w:ascii="方正小标宋简体" w:hAnsi="方正小标宋简体" w:eastAsia="方正小标宋简体" w:cs="方正小标宋简体"/>
          <w:color w:val="auto"/>
          <w:sz w:val="32"/>
          <w:szCs w:val="32"/>
        </w:rPr>
      </w:pPr>
      <w:r>
        <w:rPr>
          <w:rFonts w:hint="eastAsia" w:ascii="黑体" w:hAnsi="黑体" w:eastAsia="黑体" w:cs="黑体"/>
          <w:color w:val="auto"/>
          <w:sz w:val="32"/>
          <w:szCs w:val="32"/>
        </w:rPr>
        <w:t>附件</w:t>
      </w:r>
      <w:r>
        <w:rPr>
          <w:rFonts w:ascii="黑体" w:hAnsi="黑体" w:eastAsia="黑体" w:cs="黑体"/>
          <w:color w:val="auto"/>
          <w:sz w:val="32"/>
          <w:szCs w:val="32"/>
        </w:rPr>
        <w:t>1</w:t>
      </w:r>
    </w:p>
    <w:p>
      <w:pPr>
        <w:spacing w:line="580" w:lineRule="exact"/>
        <w:jc w:val="center"/>
        <w:rPr>
          <w:rFonts w:ascii="方正小标宋简体" w:hAnsi="方正小标宋简体" w:eastAsia="方正小标宋简体" w:cs="方正小标宋简体"/>
          <w:color w:val="auto"/>
          <w:sz w:val="44"/>
          <w:szCs w:val="44"/>
        </w:rPr>
      </w:pPr>
    </w:p>
    <w:p>
      <w:pPr>
        <w:spacing w:line="600" w:lineRule="exact"/>
        <w:jc w:val="center"/>
        <w:rPr>
          <w:rFonts w:ascii="方正小标宋简体" w:hAnsi="宋体" w:eastAsia="方正小标宋简体"/>
          <w:color w:val="auto"/>
          <w:kern w:val="0"/>
          <w:sz w:val="40"/>
          <w:szCs w:val="44"/>
          <w:lang w:val="zh-CN"/>
        </w:rPr>
      </w:pPr>
      <w:r>
        <w:rPr>
          <w:rFonts w:hint="eastAsia" w:ascii="方正小标宋简体" w:hAnsi="宋体" w:eastAsia="方正小标宋简体"/>
          <w:color w:val="auto"/>
          <w:kern w:val="0"/>
          <w:sz w:val="40"/>
          <w:szCs w:val="44"/>
        </w:rPr>
        <w:t>米易县委统战部</w:t>
      </w:r>
      <w:r>
        <w:rPr>
          <w:rFonts w:ascii="方正小标宋简体" w:hAnsi="宋体" w:eastAsia="方正小标宋简体"/>
          <w:color w:val="auto"/>
          <w:kern w:val="0"/>
          <w:sz w:val="40"/>
          <w:szCs w:val="44"/>
        </w:rPr>
        <w:t>202</w:t>
      </w:r>
      <w:r>
        <w:rPr>
          <w:rFonts w:hint="eastAsia" w:ascii="方正小标宋简体" w:hAnsi="宋体" w:eastAsia="方正小标宋简体"/>
          <w:color w:val="auto"/>
          <w:kern w:val="0"/>
          <w:sz w:val="40"/>
          <w:szCs w:val="44"/>
          <w:lang w:val="en-US" w:eastAsia="zh-CN"/>
        </w:rPr>
        <w:t>1</w:t>
      </w:r>
      <w:r>
        <w:rPr>
          <w:rFonts w:hint="eastAsia" w:ascii="方正小标宋简体" w:hAnsi="宋体" w:eastAsia="方正小标宋简体"/>
          <w:color w:val="auto"/>
          <w:kern w:val="0"/>
          <w:sz w:val="40"/>
          <w:szCs w:val="44"/>
        </w:rPr>
        <w:t>年部门</w:t>
      </w:r>
      <w:r>
        <w:rPr>
          <w:rFonts w:hint="eastAsia" w:ascii="方正小标宋简体" w:hAnsi="宋体" w:eastAsia="方正小标宋简体"/>
          <w:color w:val="auto"/>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auto"/>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lang w:val="zh-CN"/>
        </w:rPr>
      </w:pPr>
      <w:r>
        <w:rPr>
          <w:rFonts w:hint="eastAsia" w:ascii="黑体" w:hAnsi="宋体" w:eastAsia="黑体" w:cs="宋体"/>
          <w:color w:val="auto"/>
          <w:kern w:val="0"/>
          <w:sz w:val="32"/>
          <w:szCs w:val="32"/>
          <w:shd w:val="clear" w:color="auto" w:fill="FFFFFF"/>
        </w:rPr>
        <w:t>一、</w:t>
      </w:r>
      <w:r>
        <w:rPr>
          <w:rFonts w:hint="eastAsia" w:ascii="黑体" w:hAnsi="宋体" w:eastAsia="黑体" w:cs="宋体"/>
          <w:color w:val="auto"/>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（一）机构组成。</w:t>
      </w:r>
    </w:p>
    <w:p>
      <w:pPr>
        <w:snapToGrid w:val="0"/>
        <w:spacing w:line="600" w:lineRule="exact"/>
        <w:ind w:firstLine="640" w:firstLineChars="200"/>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sz w:val="32"/>
          <w:szCs w:val="32"/>
        </w:rPr>
        <w:t>根据《米易县机构改革方案》（米委发〔2019〕2号和《关于〈米易县机构改革方案〉的实施意见》（米机改〔2019〕2号）的规定，</w:t>
      </w:r>
      <w:r>
        <w:rPr>
          <w:rFonts w:hint="eastAsia" w:ascii="仿宋_GB2312" w:hAnsi="仿宋_GB2312" w:eastAsia="仿宋_GB2312" w:cs="仿宋_GB2312"/>
          <w:color w:val="auto"/>
          <w:sz w:val="32"/>
          <w:szCs w:val="32"/>
          <w:lang w:eastAsia="zh-CN"/>
        </w:rPr>
        <w:t>县委统战部</w:t>
      </w:r>
      <w:r>
        <w:rPr>
          <w:rFonts w:hint="eastAsia" w:ascii="仿宋_GB2312" w:hAnsi="仿宋_GB2312" w:eastAsia="仿宋_GB2312" w:cs="仿宋_GB2312"/>
          <w:color w:val="auto"/>
          <w:sz w:val="32"/>
          <w:szCs w:val="32"/>
        </w:rPr>
        <w:t>于2019年3月25日起与</w:t>
      </w:r>
      <w:r>
        <w:rPr>
          <w:rFonts w:hint="eastAsia" w:ascii="仿宋_GB2312" w:hAnsi="仿宋_GB2312" w:eastAsia="仿宋_GB2312" w:cs="仿宋_GB2312"/>
          <w:color w:val="auto"/>
          <w:sz w:val="32"/>
          <w:szCs w:val="32"/>
          <w:lang w:eastAsia="zh-CN"/>
        </w:rPr>
        <w:t>米易县民族宗教事务局</w:t>
      </w:r>
      <w:r>
        <w:rPr>
          <w:rFonts w:hint="eastAsia" w:ascii="仿宋_GB2312" w:hAnsi="仿宋_GB2312" w:eastAsia="仿宋_GB2312" w:cs="仿宋_GB2312"/>
          <w:color w:val="auto"/>
          <w:sz w:val="32"/>
          <w:szCs w:val="32"/>
        </w:rPr>
        <w:t>合署办公，实行一套机构、两个机关名称。</w:t>
      </w:r>
    </w:p>
    <w:p>
      <w:pPr>
        <w:widowControl/>
        <w:numPr>
          <w:ilvl w:val="0"/>
          <w:numId w:val="6"/>
        </w:numPr>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机构职能。</w:t>
      </w:r>
    </w:p>
    <w:p>
      <w:pPr>
        <w:snapToGrid w:val="0"/>
        <w:spacing w:line="600" w:lineRule="exact"/>
        <w:ind w:firstLine="640" w:firstLineChars="200"/>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sz w:val="32"/>
          <w:szCs w:val="32"/>
        </w:rPr>
        <w:t>主要职责是：承办县委、县政府交办的各项工作任务。</w:t>
      </w:r>
    </w:p>
    <w:p>
      <w:pPr>
        <w:widowControl/>
        <w:numPr>
          <w:ilvl w:val="0"/>
          <w:numId w:val="6"/>
        </w:numPr>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人员概况。</w:t>
      </w:r>
    </w:p>
    <w:p>
      <w:pPr>
        <w:snapToGrid w:val="0"/>
        <w:spacing w:line="60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人员情况：</w:t>
      </w:r>
      <w:r>
        <w:rPr>
          <w:rFonts w:hint="eastAsia" w:ascii="仿宋_GB2312" w:hAnsi="仿宋_GB2312" w:eastAsia="仿宋_GB2312" w:cs="仿宋_GB2312"/>
          <w:color w:val="auto"/>
          <w:spacing w:val="2"/>
          <w:sz w:val="33"/>
          <w:szCs w:val="33"/>
        </w:rPr>
        <w:t>202</w:t>
      </w:r>
      <w:r>
        <w:rPr>
          <w:rFonts w:hint="eastAsia" w:ascii="仿宋_GB2312" w:hAnsi="仿宋_GB2312" w:eastAsia="仿宋_GB2312" w:cs="仿宋_GB2312"/>
          <w:color w:val="auto"/>
          <w:spacing w:val="2"/>
          <w:sz w:val="33"/>
          <w:szCs w:val="33"/>
          <w:lang w:val="en-US" w:eastAsia="zh-CN"/>
        </w:rPr>
        <w:t>1</w:t>
      </w:r>
      <w:r>
        <w:rPr>
          <w:rFonts w:hint="eastAsia" w:ascii="仿宋_GB2312" w:hAnsi="仿宋_GB2312" w:eastAsia="仿宋_GB2312" w:cs="仿宋_GB2312"/>
          <w:color w:val="auto"/>
          <w:spacing w:val="2"/>
          <w:sz w:val="33"/>
          <w:szCs w:val="33"/>
        </w:rPr>
        <w:t>年年底实有行政在职人员</w:t>
      </w:r>
      <w:r>
        <w:rPr>
          <w:rFonts w:hint="eastAsia" w:ascii="仿宋_GB2312" w:hAnsi="仿宋_GB2312" w:eastAsia="仿宋_GB2312" w:cs="仿宋_GB2312"/>
          <w:color w:val="auto"/>
          <w:spacing w:val="2"/>
          <w:sz w:val="33"/>
          <w:szCs w:val="33"/>
          <w:lang w:val="en-US" w:eastAsia="zh-CN"/>
        </w:rPr>
        <w:t>5</w:t>
      </w:r>
      <w:r>
        <w:rPr>
          <w:rFonts w:hint="eastAsia" w:ascii="仿宋_GB2312" w:hAnsi="仿宋_GB2312" w:eastAsia="仿宋_GB2312" w:cs="仿宋_GB2312"/>
          <w:color w:val="auto"/>
          <w:spacing w:val="2"/>
          <w:sz w:val="33"/>
          <w:szCs w:val="33"/>
        </w:rPr>
        <w:t>名，事业在职人员3名，机关工勤人员1名，退休人员2名。</w:t>
      </w:r>
    </w:p>
    <w:p>
      <w:pPr>
        <w:widowControl/>
        <w:adjustRightInd w:val="0"/>
        <w:snapToGrid w:val="0"/>
        <w:spacing w:line="580" w:lineRule="exact"/>
        <w:ind w:left="420" w:leftChars="200"/>
        <w:contextualSpacing/>
        <w:jc w:val="left"/>
        <w:rPr>
          <w:rFonts w:hint="eastAsia" w:ascii="仿宋_GB2312" w:hAnsi="仿宋_GB2312" w:eastAsia="仿宋_GB2312" w:cs="仿宋_GB2312"/>
          <w:color w:val="auto"/>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（一）部门财政资金收入情况。</w:t>
      </w:r>
    </w:p>
    <w:p>
      <w:pPr>
        <w:widowControl/>
        <w:adjustRightInd w:val="0"/>
        <w:snapToGrid w:val="0"/>
        <w:spacing w:line="540" w:lineRule="exact"/>
        <w:ind w:firstLine="720"/>
        <w:jc w:val="left"/>
        <w:rPr>
          <w:rFonts w:hint="eastAsia" w:ascii="仿宋_GB2312" w:hAnsi="宋体" w:eastAsia="仿宋_GB2312" w:cs="宋体"/>
          <w:color w:val="auto"/>
          <w:kern w:val="0"/>
          <w:sz w:val="32"/>
          <w:szCs w:val="32"/>
          <w:shd w:val="clear" w:color="auto" w:fill="FFFFFF"/>
          <w:lang w:val="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年本单位收入为：1,375,063.82元，其中一般公共服务支出收入为1,052,471.00元，占总收入的</w:t>
      </w:r>
      <w:r>
        <w:rPr>
          <w:rFonts w:hint="eastAsia" w:ascii="仿宋_GB2312" w:hAnsi="仿宋_GB2312" w:eastAsia="仿宋_GB2312" w:cs="仿宋_GB2312"/>
          <w:color w:val="auto"/>
          <w:sz w:val="32"/>
          <w:szCs w:val="32"/>
          <w:lang w:val="en-US" w:eastAsia="zh-CN"/>
        </w:rPr>
        <w:t>76.94</w:t>
      </w:r>
      <w:r>
        <w:rPr>
          <w:rFonts w:hint="eastAsia" w:ascii="仿宋_GB2312" w:hAnsi="仿宋_GB2312" w:eastAsia="仿宋_GB2312" w:cs="仿宋_GB2312"/>
          <w:color w:val="auto"/>
          <w:sz w:val="32"/>
          <w:szCs w:val="32"/>
        </w:rPr>
        <w:t>%；社会保障和就业支出收入141,701.70元，占总收入的</w:t>
      </w:r>
      <w:r>
        <w:rPr>
          <w:rFonts w:hint="eastAsia" w:ascii="仿宋_GB2312" w:hAnsi="仿宋_GB2312" w:eastAsia="仿宋_GB2312" w:cs="仿宋_GB2312"/>
          <w:color w:val="auto"/>
          <w:sz w:val="32"/>
          <w:szCs w:val="32"/>
          <w:lang w:val="en-US" w:eastAsia="zh-CN"/>
        </w:rPr>
        <w:t>10.31</w:t>
      </w:r>
      <w:r>
        <w:rPr>
          <w:rFonts w:hint="eastAsia" w:ascii="仿宋_GB2312" w:hAnsi="仿宋_GB2312" w:eastAsia="仿宋_GB2312" w:cs="仿宋_GB2312"/>
          <w:color w:val="auto"/>
          <w:sz w:val="32"/>
          <w:szCs w:val="32"/>
        </w:rPr>
        <w:t>%；卫生健康支出收入72,759.12元，占总收入的</w:t>
      </w:r>
      <w:r>
        <w:rPr>
          <w:rFonts w:hint="eastAsia" w:ascii="仿宋_GB2312" w:hAnsi="仿宋_GB2312" w:eastAsia="仿宋_GB2312" w:cs="仿宋_GB2312"/>
          <w:color w:val="auto"/>
          <w:sz w:val="32"/>
          <w:szCs w:val="32"/>
          <w:lang w:val="en-US" w:eastAsia="zh-CN"/>
        </w:rPr>
        <w:t>5.29</w:t>
      </w:r>
      <w:r>
        <w:rPr>
          <w:rFonts w:hint="eastAsia" w:ascii="仿宋_GB2312" w:hAnsi="仿宋_GB2312" w:eastAsia="仿宋_GB2312" w:cs="仿宋_GB2312"/>
          <w:color w:val="auto"/>
          <w:sz w:val="32"/>
          <w:szCs w:val="32"/>
        </w:rPr>
        <w:t>%；住房保障支出收入108,132.00元，占总收入的</w:t>
      </w:r>
      <w:r>
        <w:rPr>
          <w:rFonts w:hint="eastAsia" w:ascii="仿宋_GB2312" w:hAnsi="仿宋_GB2312" w:eastAsia="仿宋_GB2312" w:cs="仿宋_GB2312"/>
          <w:color w:val="auto"/>
          <w:sz w:val="32"/>
          <w:szCs w:val="32"/>
          <w:lang w:val="en-US" w:eastAsia="zh-CN"/>
        </w:rPr>
        <w:t>7.86</w:t>
      </w:r>
      <w:r>
        <w:rPr>
          <w:rFonts w:hint="eastAsia" w:ascii="仿宋_GB2312" w:hAnsi="仿宋_GB2312" w:eastAsia="仿宋_GB2312" w:cs="仿宋_GB2312"/>
          <w:color w:val="auto"/>
          <w:sz w:val="32"/>
          <w:szCs w:val="32"/>
        </w:rPr>
        <w:t>%。</w:t>
      </w:r>
    </w:p>
    <w:p>
      <w:pPr>
        <w:widowControl/>
        <w:numPr>
          <w:ilvl w:val="0"/>
          <w:numId w:val="7"/>
        </w:numPr>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部门财政资金支出情况。</w:t>
      </w:r>
    </w:p>
    <w:p>
      <w:pPr>
        <w:widowControl/>
        <w:adjustRightInd w:val="0"/>
        <w:snapToGrid w:val="0"/>
        <w:spacing w:line="540" w:lineRule="exact"/>
        <w:ind w:firstLine="720"/>
        <w:jc w:val="left"/>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年本单位支出为: 1,375,063.82元,其中一般公共服务支出收入为1,052,471.00元，占总收入的</w:t>
      </w:r>
      <w:r>
        <w:rPr>
          <w:rFonts w:hint="eastAsia" w:ascii="仿宋_GB2312" w:hAnsi="仿宋_GB2312" w:eastAsia="仿宋_GB2312" w:cs="仿宋_GB2312"/>
          <w:color w:val="auto"/>
          <w:sz w:val="32"/>
          <w:szCs w:val="32"/>
          <w:lang w:val="en-US" w:eastAsia="zh-CN"/>
        </w:rPr>
        <w:t>76.94</w:t>
      </w:r>
      <w:r>
        <w:rPr>
          <w:rFonts w:hint="eastAsia" w:ascii="仿宋_GB2312" w:hAnsi="仿宋_GB2312" w:eastAsia="仿宋_GB2312" w:cs="仿宋_GB2312"/>
          <w:color w:val="auto"/>
          <w:sz w:val="32"/>
          <w:szCs w:val="32"/>
        </w:rPr>
        <w:t>%；社会保障和就业支出收入141,701.70元，占总收入的</w:t>
      </w:r>
      <w:r>
        <w:rPr>
          <w:rFonts w:hint="eastAsia" w:ascii="仿宋_GB2312" w:hAnsi="仿宋_GB2312" w:eastAsia="仿宋_GB2312" w:cs="仿宋_GB2312"/>
          <w:color w:val="auto"/>
          <w:sz w:val="32"/>
          <w:szCs w:val="32"/>
          <w:lang w:val="en-US" w:eastAsia="zh-CN"/>
        </w:rPr>
        <w:t>10.31</w:t>
      </w:r>
      <w:r>
        <w:rPr>
          <w:rFonts w:hint="eastAsia" w:ascii="仿宋_GB2312" w:hAnsi="仿宋_GB2312" w:eastAsia="仿宋_GB2312" w:cs="仿宋_GB2312"/>
          <w:color w:val="auto"/>
          <w:sz w:val="32"/>
          <w:szCs w:val="32"/>
        </w:rPr>
        <w:t>%；卫生健康支出收入72,759.12元，占总收入的</w:t>
      </w:r>
      <w:r>
        <w:rPr>
          <w:rFonts w:hint="eastAsia" w:ascii="仿宋_GB2312" w:hAnsi="仿宋_GB2312" w:eastAsia="仿宋_GB2312" w:cs="仿宋_GB2312"/>
          <w:color w:val="auto"/>
          <w:sz w:val="32"/>
          <w:szCs w:val="32"/>
          <w:lang w:val="en-US" w:eastAsia="zh-CN"/>
        </w:rPr>
        <w:t>5.29</w:t>
      </w:r>
      <w:r>
        <w:rPr>
          <w:rFonts w:hint="eastAsia" w:ascii="仿宋_GB2312" w:hAnsi="仿宋_GB2312" w:eastAsia="仿宋_GB2312" w:cs="仿宋_GB2312"/>
          <w:color w:val="auto"/>
          <w:sz w:val="32"/>
          <w:szCs w:val="32"/>
        </w:rPr>
        <w:t>%；住房保障支出收入108,132.00元，占总收入的</w:t>
      </w:r>
      <w:r>
        <w:rPr>
          <w:rFonts w:hint="eastAsia" w:ascii="仿宋_GB2312" w:hAnsi="仿宋_GB2312" w:eastAsia="仿宋_GB2312" w:cs="仿宋_GB2312"/>
          <w:color w:val="auto"/>
          <w:sz w:val="32"/>
          <w:szCs w:val="32"/>
          <w:lang w:val="en-US" w:eastAsia="zh-CN"/>
        </w:rPr>
        <w:t>7.86</w:t>
      </w:r>
      <w:r>
        <w:rPr>
          <w:rFonts w:hint="eastAsia" w:ascii="仿宋_GB2312" w:hAnsi="仿宋_GB2312" w:eastAsia="仿宋_GB2312" w:cs="仿宋_GB2312"/>
          <w:color w:val="auto"/>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（一）部门预算管理。</w:t>
      </w:r>
    </w:p>
    <w:p>
      <w:pPr>
        <w:snapToGrid w:val="0"/>
        <w:spacing w:line="600" w:lineRule="exact"/>
        <w:ind w:left="131"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年年初预算时，本单位开展了部门整体绩效评价申报和项目目标绩效申报，对预算执行情况、绩效运行情况进行了分析和监控，指标下达后严格</w:t>
      </w:r>
      <w:r>
        <w:rPr>
          <w:rFonts w:hint="eastAsia" w:ascii="仿宋_GB2312" w:hAnsi="仿宋_GB2312" w:eastAsia="仿宋_GB2312" w:cs="仿宋_GB2312"/>
          <w:color w:val="auto"/>
          <w:sz w:val="32"/>
          <w:szCs w:val="32"/>
          <w:lang w:eastAsia="zh-CN"/>
        </w:rPr>
        <w:t>按</w:t>
      </w:r>
      <w:r>
        <w:rPr>
          <w:rFonts w:hint="eastAsia" w:ascii="仿宋_GB2312" w:hAnsi="仿宋_GB2312" w:eastAsia="仿宋_GB2312" w:cs="仿宋_GB2312"/>
          <w:color w:val="auto"/>
          <w:sz w:val="32"/>
          <w:szCs w:val="32"/>
        </w:rPr>
        <w:t>支付进度支付各类资金。</w:t>
      </w:r>
    </w:p>
    <w:p>
      <w:pPr>
        <w:widowControl/>
        <w:adjustRightInd w:val="0"/>
        <w:snapToGrid w:val="0"/>
        <w:spacing w:line="580" w:lineRule="exact"/>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财政资金发挥了最大的效益，本部门的各项工作任务达到了预期的效果，群众的满意度达90%以上。</w:t>
      </w:r>
    </w:p>
    <w:p>
      <w:pPr>
        <w:widowControl/>
        <w:numPr>
          <w:ilvl w:val="0"/>
          <w:numId w:val="8"/>
        </w:numPr>
        <w:adjustRightInd w:val="0"/>
        <w:snapToGrid w:val="0"/>
        <w:spacing w:line="580" w:lineRule="exact"/>
        <w:ind w:left="-10" w:leftChars="0" w:firstLine="640" w:firstLineChars="0"/>
        <w:contextualSpacing/>
        <w:jc w:val="left"/>
        <w:rPr>
          <w:rFonts w:hint="eastAsia"/>
        </w:rPr>
      </w:pPr>
      <w:r>
        <w:rPr>
          <w:rFonts w:hint="eastAsia" w:ascii="仿宋_GB2312" w:hAnsi="宋体" w:eastAsia="仿宋_GB2312" w:cs="宋体"/>
          <w:color w:val="auto"/>
          <w:kern w:val="0"/>
          <w:sz w:val="32"/>
          <w:szCs w:val="32"/>
          <w:highlight w:val="none"/>
          <w:u w:val="none"/>
          <w:shd w:val="clear" w:color="auto" w:fill="FFFFFF"/>
          <w:lang w:val="zh-CN"/>
        </w:rPr>
        <w:t>自评质量</w:t>
      </w:r>
    </w:p>
    <w:p>
      <w:pPr>
        <w:pStyle w:val="2"/>
        <w:ind w:firstLine="640" w:firstLineChars="200"/>
        <w:rPr>
          <w:rFonts w:hint="eastAsia"/>
        </w:rPr>
      </w:pPr>
      <w:r>
        <w:rPr>
          <w:rFonts w:hint="eastAsia" w:hAnsi="宋体" w:cs="宋体"/>
          <w:color w:val="auto"/>
          <w:kern w:val="0"/>
          <w:sz w:val="32"/>
          <w:szCs w:val="32"/>
          <w:highlight w:val="none"/>
          <w:u w:val="none"/>
          <w:shd w:val="clear" w:color="auto" w:fill="FFFFFF"/>
          <w:lang w:val="zh-CN"/>
        </w:rPr>
        <w:t>在县委、县政府的正确领导下，在财政资金的保障下，本部门全面完成年初预计的工作任务，各项工作均得到上级部门、人民群众的认可和一致好评。</w:t>
      </w:r>
    </w:p>
    <w:p>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（一）评价结论。</w:t>
      </w:r>
    </w:p>
    <w:p>
      <w:pPr>
        <w:tabs>
          <w:tab w:val="left" w:pos="4246"/>
        </w:tabs>
        <w:snapToGrid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年初的预算要求，本单位在监管资金上严把关，不管是在资金预算编制方面，还是预算执行、综合管理、整体绩效方面，都按相关规定严格执行，使财政资金发辉最大的效益。所以我单位总体评价为优。其中在预算部门管理方面得分49分，专项预算管理方面得分19分，绩效结果应用自评得分29分，合计总得分97分。</w:t>
      </w:r>
    </w:p>
    <w:p>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en-US" w:eastAsia="zh-CN"/>
        </w:rPr>
        <w:t>(二）</w:t>
      </w:r>
      <w:r>
        <w:rPr>
          <w:rFonts w:hint="eastAsia" w:ascii="仿宋_GB2312" w:hAnsi="宋体" w:eastAsia="仿宋_GB2312" w:cs="宋体"/>
          <w:color w:val="auto"/>
          <w:kern w:val="0"/>
          <w:sz w:val="32"/>
          <w:szCs w:val="32"/>
          <w:shd w:val="clear" w:color="auto" w:fill="FFFFFF"/>
          <w:lang w:val="zh-CN"/>
        </w:rPr>
        <w:t>存在问题。</w:t>
      </w:r>
    </w:p>
    <w:p>
      <w:pPr>
        <w:widowControl/>
        <w:adjustRightInd w:val="0"/>
        <w:snapToGrid w:val="0"/>
        <w:spacing w:line="540" w:lineRule="exact"/>
        <w:ind w:firstLine="720"/>
        <w:jc w:val="left"/>
        <w:rPr>
          <w:rFonts w:hint="eastAsia" w:ascii="仿宋_GB2312" w:hAnsi="宋体" w:eastAsia="仿宋_GB2312" w:cs="宋体"/>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一是在绩效目标的申报、编制上还不够完整；二是在资金的执行管理上还存在滞后的情况；三是部门预算绩效评价自评工作不够积极，四是单位内控制度还有待于不断的摸索完善。</w:t>
      </w:r>
    </w:p>
    <w:p>
      <w:pPr>
        <w:widowControl/>
        <w:numPr>
          <w:ilvl w:val="0"/>
          <w:numId w:val="0"/>
        </w:numPr>
        <w:adjustRightInd w:val="0"/>
        <w:snapToGrid w:val="0"/>
        <w:spacing w:line="580" w:lineRule="exact"/>
        <w:ind w:firstLine="320" w:firstLineChars="1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（三）改进建议。</w:t>
      </w:r>
    </w:p>
    <w:p>
      <w:pPr>
        <w:widowControl/>
        <w:adjustRightInd w:val="0"/>
        <w:snapToGrid w:val="0"/>
        <w:spacing w:line="580" w:lineRule="exact"/>
        <w:ind w:left="420" w:leftChars="200" w:firstLine="1280" w:firstLineChars="4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无</w:t>
      </w: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800" w:firstLineChars="200"/>
        <w:rPr>
          <w:rFonts w:ascii="仿宋_GB2312" w:hAnsi="仿宋_GB2312" w:eastAsia="仿宋_GB2312" w:cs="仿宋_GB2312"/>
          <w:color w:val="auto"/>
          <w:sz w:val="40"/>
          <w:szCs w:val="40"/>
        </w:rPr>
      </w:pPr>
    </w:p>
    <w:p>
      <w:pPr>
        <w:spacing w:line="580" w:lineRule="exact"/>
        <w:rPr>
          <w:rFonts w:ascii="仿宋_GB2312" w:hAnsi="仿宋_GB2312" w:eastAsia="仿宋_GB2312" w:cs="仿宋_GB2312"/>
          <w:color w:val="auto"/>
          <w:sz w:val="40"/>
          <w:szCs w:val="40"/>
        </w:rPr>
      </w:pPr>
      <w:r>
        <w:rPr>
          <w:rFonts w:hint="eastAsia" w:ascii="黑体" w:hAnsi="黑体" w:eastAsia="黑体" w:cs="黑体"/>
          <w:color w:val="auto"/>
          <w:sz w:val="40"/>
          <w:szCs w:val="40"/>
        </w:rPr>
        <w:t>附件</w:t>
      </w:r>
      <w:r>
        <w:rPr>
          <w:rFonts w:ascii="黑体" w:hAnsi="黑体" w:eastAsia="黑体" w:cs="黑体"/>
          <w:color w:val="auto"/>
          <w:sz w:val="40"/>
          <w:szCs w:val="40"/>
        </w:rPr>
        <w:t>2</w:t>
      </w:r>
    </w:p>
    <w:p>
      <w:pPr>
        <w:spacing w:line="580" w:lineRule="exact"/>
        <w:ind w:firstLine="800" w:firstLineChars="200"/>
        <w:rPr>
          <w:rFonts w:ascii="仿宋_GB2312" w:hAnsi="仿宋_GB2312" w:eastAsia="仿宋_GB2312" w:cs="仿宋_GB2312"/>
          <w:color w:val="auto"/>
          <w:sz w:val="40"/>
          <w:szCs w:val="40"/>
        </w:rPr>
      </w:pPr>
    </w:p>
    <w:p>
      <w:pPr>
        <w:spacing w:line="600" w:lineRule="exact"/>
        <w:jc w:val="center"/>
        <w:rPr>
          <w:rFonts w:hint="eastAsia" w:ascii="方正小标宋简体" w:hAnsi="宋体" w:eastAsia="方正小标宋简体"/>
          <w:color w:val="auto"/>
          <w:kern w:val="0"/>
          <w:sz w:val="40"/>
          <w:szCs w:val="40"/>
          <w:lang w:val="zh-CN" w:eastAsia="zh-CN"/>
        </w:rPr>
      </w:pPr>
      <w:r>
        <w:rPr>
          <w:rFonts w:hint="eastAsia" w:ascii="方正小标宋简体" w:hAnsi="宋体" w:eastAsia="方正小标宋简体"/>
          <w:color w:val="auto"/>
          <w:kern w:val="0"/>
          <w:sz w:val="40"/>
          <w:szCs w:val="40"/>
          <w:lang w:eastAsia="zh-CN"/>
        </w:rPr>
        <w:t>无</w:t>
      </w:r>
    </w:p>
    <w:p>
      <w:pPr>
        <w:spacing w:line="600" w:lineRule="exact"/>
        <w:jc w:val="both"/>
        <w:outlineLvl w:val="0"/>
        <w:rPr>
          <w:rStyle w:val="21"/>
          <w:rFonts w:ascii="黑体" w:hAnsi="黑体" w:eastAsia="黑体"/>
          <w:b w:val="0"/>
          <w:color w:val="auto"/>
        </w:rPr>
      </w:pPr>
    </w:p>
    <w:p>
      <w:pPr>
        <w:spacing w:line="600" w:lineRule="exact"/>
        <w:jc w:val="center"/>
        <w:outlineLvl w:val="0"/>
        <w:rPr>
          <w:rStyle w:val="21"/>
          <w:rFonts w:ascii="黑体" w:hAnsi="黑体" w:eastAsia="黑体"/>
          <w:b w:val="0"/>
          <w:color w:val="auto"/>
        </w:rPr>
      </w:pPr>
    </w:p>
    <w:p>
      <w:pPr>
        <w:spacing w:line="600" w:lineRule="exact"/>
        <w:jc w:val="center"/>
        <w:outlineLvl w:val="0"/>
        <w:rPr>
          <w:rStyle w:val="21"/>
          <w:rFonts w:ascii="黑体" w:hAnsi="黑体" w:eastAsia="黑体"/>
          <w:b w:val="0"/>
          <w:color w:val="auto"/>
        </w:rPr>
      </w:pPr>
    </w:p>
    <w:p>
      <w:pPr>
        <w:spacing w:line="600" w:lineRule="exact"/>
        <w:jc w:val="center"/>
        <w:outlineLvl w:val="0"/>
        <w:rPr>
          <w:rStyle w:val="21"/>
          <w:rFonts w:ascii="黑体" w:hAnsi="黑体" w:eastAsia="黑体"/>
          <w:b w:val="0"/>
          <w:color w:val="auto"/>
        </w:rPr>
      </w:pPr>
    </w:p>
    <w:p>
      <w:pPr>
        <w:spacing w:line="600" w:lineRule="exact"/>
        <w:jc w:val="center"/>
        <w:outlineLvl w:val="0"/>
        <w:rPr>
          <w:rStyle w:val="21"/>
          <w:rFonts w:ascii="黑体" w:hAnsi="黑体" w:eastAsia="黑体"/>
          <w:b w:val="0"/>
          <w:color w:val="auto"/>
        </w:rPr>
      </w:pPr>
    </w:p>
    <w:p>
      <w:pPr>
        <w:spacing w:line="600" w:lineRule="exact"/>
        <w:outlineLvl w:val="0"/>
        <w:rPr>
          <w:rFonts w:hint="eastAsia" w:ascii="黑体" w:hAnsi="黑体" w:eastAsia="黑体"/>
          <w:color w:val="auto"/>
          <w:sz w:val="44"/>
          <w:szCs w:val="44"/>
        </w:rPr>
      </w:pPr>
      <w:bookmarkStart w:id="59" w:name="_Toc15396618"/>
    </w:p>
    <w:p>
      <w:pPr>
        <w:pStyle w:val="19"/>
        <w:rPr>
          <w:rFonts w:hint="eastAsia"/>
          <w:color w:val="auto"/>
        </w:rPr>
      </w:pPr>
    </w:p>
    <w:p>
      <w:pPr>
        <w:pStyle w:val="20"/>
        <w:rPr>
          <w:rFonts w:hint="eastAsia"/>
          <w:color w:val="auto"/>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Style w:val="21"/>
          <w:rFonts w:ascii="黑体" w:hAnsi="黑体" w:eastAsia="黑体"/>
          <w:b w:val="0"/>
          <w:color w:val="auto"/>
        </w:rPr>
      </w:pPr>
      <w:r>
        <w:rPr>
          <w:rFonts w:hint="eastAsia" w:ascii="黑体" w:hAnsi="黑体" w:eastAsia="黑体"/>
          <w:color w:val="auto"/>
          <w:sz w:val="44"/>
          <w:szCs w:val="44"/>
        </w:rPr>
        <w:t>第</w:t>
      </w:r>
      <w:r>
        <w:rPr>
          <w:rStyle w:val="21"/>
          <w:rFonts w:hint="eastAsia" w:ascii="黑体" w:hAnsi="黑体" w:eastAsia="黑体"/>
          <w:b w:val="0"/>
          <w:color w:val="auto"/>
        </w:rPr>
        <w:t>五部分</w:t>
      </w:r>
      <w:r>
        <w:rPr>
          <w:rStyle w:val="21"/>
          <w:rFonts w:ascii="黑体" w:hAnsi="黑体" w:eastAsia="黑体"/>
          <w:b w:val="0"/>
          <w:color w:val="auto"/>
        </w:rPr>
        <w:t xml:space="preserve"> </w:t>
      </w:r>
      <w:r>
        <w:rPr>
          <w:rStyle w:val="21"/>
          <w:rFonts w:hint="eastAsia" w:ascii="黑体" w:hAnsi="黑体" w:eastAsia="黑体"/>
          <w:b w:val="0"/>
          <w:color w:val="auto"/>
        </w:rPr>
        <w:t>附表</w:t>
      </w:r>
      <w:bookmarkEnd w:id="57"/>
      <w:bookmarkEnd w:id="59"/>
    </w:p>
    <w:p>
      <w:pPr>
        <w:spacing w:line="600" w:lineRule="exact"/>
        <w:jc w:val="center"/>
        <w:outlineLvl w:val="0"/>
        <w:rPr>
          <w:rFonts w:ascii="仿宋" w:hAnsi="仿宋" w:eastAsia="仿宋"/>
          <w:b/>
          <w:color w:val="auto"/>
          <w:sz w:val="44"/>
          <w:szCs w:val="44"/>
        </w:rPr>
      </w:pPr>
    </w:p>
    <w:p>
      <w:pPr>
        <w:pStyle w:val="4"/>
        <w:rPr>
          <w:rFonts w:ascii="仿宋" w:hAnsi="仿宋" w:eastAsia="仿宋"/>
          <w:color w:val="auto"/>
        </w:rPr>
      </w:pPr>
      <w:bookmarkStart w:id="60" w:name="_Toc15396619"/>
      <w:r>
        <w:rPr>
          <w:rFonts w:hint="eastAsia" w:ascii="仿宋" w:hAnsi="仿宋" w:eastAsia="仿宋"/>
          <w:b w:val="0"/>
          <w:color w:val="auto"/>
        </w:rPr>
        <w:t>一、收</w:t>
      </w:r>
      <w:r>
        <w:rPr>
          <w:rStyle w:val="22"/>
          <w:rFonts w:hint="eastAsia" w:ascii="仿宋" w:hAnsi="仿宋" w:eastAsia="仿宋"/>
          <w:b w:val="0"/>
          <w:bCs w:val="0"/>
          <w:color w:val="auto"/>
        </w:rPr>
        <w:t>入支出决算总表</w:t>
      </w:r>
      <w:bookmarkEnd w:id="60"/>
    </w:p>
    <w:p>
      <w:pPr>
        <w:pStyle w:val="4"/>
        <w:rPr>
          <w:rFonts w:ascii="仿宋" w:hAnsi="仿宋" w:eastAsia="仿宋"/>
          <w:color w:val="auto"/>
        </w:rPr>
      </w:pPr>
      <w:bookmarkStart w:id="61" w:name="_Toc15396620"/>
      <w:r>
        <w:rPr>
          <w:rFonts w:hint="eastAsia" w:ascii="仿宋" w:hAnsi="仿宋" w:eastAsia="仿宋"/>
          <w:b w:val="0"/>
          <w:color w:val="auto"/>
        </w:rPr>
        <w:t>二、收</w:t>
      </w:r>
      <w:r>
        <w:rPr>
          <w:rStyle w:val="22"/>
          <w:rFonts w:hint="eastAsia" w:ascii="仿宋" w:hAnsi="仿宋" w:eastAsia="仿宋"/>
          <w:b w:val="0"/>
          <w:bCs w:val="0"/>
          <w:color w:val="auto"/>
        </w:rPr>
        <w:t>入决算表</w:t>
      </w:r>
      <w:bookmarkEnd w:id="61"/>
    </w:p>
    <w:p>
      <w:pPr>
        <w:pStyle w:val="4"/>
        <w:rPr>
          <w:rFonts w:ascii="仿宋" w:hAnsi="仿宋" w:eastAsia="仿宋"/>
          <w:color w:val="auto"/>
        </w:rPr>
      </w:pPr>
      <w:bookmarkStart w:id="62" w:name="_Toc15396621"/>
      <w:r>
        <w:rPr>
          <w:rStyle w:val="22"/>
          <w:rFonts w:hint="eastAsia" w:ascii="仿宋" w:hAnsi="仿宋" w:eastAsia="仿宋"/>
          <w:b w:val="0"/>
          <w:bCs w:val="0"/>
          <w:color w:val="auto"/>
        </w:rPr>
        <w:t>三、</w:t>
      </w:r>
      <w:r>
        <w:rPr>
          <w:rFonts w:hint="eastAsia" w:ascii="仿宋" w:hAnsi="仿宋" w:eastAsia="仿宋"/>
          <w:b w:val="0"/>
          <w:color w:val="auto"/>
        </w:rPr>
        <w:t>支</w:t>
      </w:r>
      <w:r>
        <w:rPr>
          <w:rStyle w:val="22"/>
          <w:rFonts w:hint="eastAsia" w:ascii="仿宋" w:hAnsi="仿宋" w:eastAsia="仿宋"/>
          <w:b w:val="0"/>
          <w:bCs w:val="0"/>
          <w:color w:val="auto"/>
        </w:rPr>
        <w:t>出决算表</w:t>
      </w:r>
      <w:bookmarkEnd w:id="62"/>
    </w:p>
    <w:p>
      <w:pPr>
        <w:pStyle w:val="4"/>
        <w:rPr>
          <w:rFonts w:ascii="仿宋" w:hAnsi="仿宋" w:eastAsia="仿宋"/>
          <w:b w:val="0"/>
          <w:color w:val="auto"/>
        </w:rPr>
      </w:pPr>
      <w:bookmarkStart w:id="63" w:name="_Toc15396622"/>
      <w:r>
        <w:rPr>
          <w:rStyle w:val="22"/>
          <w:rFonts w:hint="eastAsia" w:ascii="仿宋" w:hAnsi="仿宋" w:eastAsia="仿宋"/>
          <w:b w:val="0"/>
          <w:bCs w:val="0"/>
          <w:color w:val="auto"/>
        </w:rPr>
        <w:t>四、</w:t>
      </w:r>
      <w:r>
        <w:rPr>
          <w:rFonts w:hint="eastAsia" w:ascii="仿宋" w:hAnsi="仿宋" w:eastAsia="仿宋"/>
          <w:b w:val="0"/>
          <w:color w:val="auto"/>
        </w:rPr>
        <w:t>财</w:t>
      </w:r>
      <w:r>
        <w:rPr>
          <w:rStyle w:val="22"/>
          <w:rFonts w:hint="eastAsia" w:ascii="仿宋" w:hAnsi="仿宋" w:eastAsia="仿宋"/>
          <w:b w:val="0"/>
          <w:bCs w:val="0"/>
          <w:color w:val="auto"/>
        </w:rPr>
        <w:t>政拨款收入支出决算总表</w:t>
      </w:r>
      <w:bookmarkEnd w:id="63"/>
    </w:p>
    <w:p>
      <w:pPr>
        <w:pStyle w:val="4"/>
        <w:rPr>
          <w:rStyle w:val="22"/>
          <w:rFonts w:ascii="仿宋" w:hAnsi="仿宋" w:eastAsia="仿宋"/>
          <w:b w:val="0"/>
          <w:bCs w:val="0"/>
          <w:color w:val="auto"/>
        </w:rPr>
      </w:pPr>
      <w:bookmarkStart w:id="64" w:name="_Toc15396623"/>
      <w:r>
        <w:rPr>
          <w:rStyle w:val="22"/>
          <w:rFonts w:hint="eastAsia" w:ascii="仿宋" w:hAnsi="仿宋" w:eastAsia="仿宋"/>
          <w:b w:val="0"/>
          <w:bCs w:val="0"/>
          <w:color w:val="auto"/>
        </w:rPr>
        <w:t>五、</w:t>
      </w:r>
      <w:r>
        <w:rPr>
          <w:rFonts w:hint="eastAsia" w:ascii="仿宋" w:hAnsi="仿宋" w:eastAsia="仿宋"/>
          <w:b w:val="0"/>
          <w:color w:val="auto"/>
        </w:rPr>
        <w:t>财</w:t>
      </w:r>
      <w:r>
        <w:rPr>
          <w:rStyle w:val="22"/>
          <w:rFonts w:hint="eastAsia" w:ascii="仿宋" w:hAnsi="仿宋" w:eastAsia="仿宋"/>
          <w:b w:val="0"/>
          <w:bCs w:val="0"/>
          <w:color w:val="auto"/>
        </w:rPr>
        <w:t>政拨款支出决算明细表</w:t>
      </w:r>
      <w:bookmarkEnd w:id="64"/>
      <w:bookmarkStart w:id="65" w:name="_Toc15396624"/>
    </w:p>
    <w:p>
      <w:pPr>
        <w:pStyle w:val="4"/>
        <w:rPr>
          <w:rFonts w:ascii="仿宋" w:hAnsi="仿宋" w:eastAsia="仿宋"/>
          <w:color w:val="auto"/>
        </w:rPr>
      </w:pPr>
      <w:r>
        <w:rPr>
          <w:rStyle w:val="22"/>
          <w:rFonts w:hint="eastAsia" w:ascii="仿宋" w:hAnsi="仿宋" w:eastAsia="仿宋"/>
          <w:b w:val="0"/>
          <w:bCs w:val="0"/>
          <w:color w:val="auto"/>
        </w:rPr>
        <w:t>六、</w:t>
      </w:r>
      <w:r>
        <w:rPr>
          <w:rFonts w:hint="eastAsia" w:ascii="仿宋" w:hAnsi="仿宋" w:eastAsia="仿宋"/>
          <w:b w:val="0"/>
          <w:color w:val="auto"/>
        </w:rPr>
        <w:t>一</w:t>
      </w:r>
      <w:r>
        <w:rPr>
          <w:rStyle w:val="22"/>
          <w:rFonts w:hint="eastAsia" w:ascii="仿宋" w:hAnsi="仿宋" w:eastAsia="仿宋"/>
          <w:b w:val="0"/>
          <w:bCs w:val="0"/>
          <w:color w:val="auto"/>
        </w:rPr>
        <w:t>般公共预算财政拨款支出决算表</w:t>
      </w:r>
      <w:bookmarkEnd w:id="65"/>
    </w:p>
    <w:p>
      <w:pPr>
        <w:pStyle w:val="4"/>
        <w:rPr>
          <w:rFonts w:ascii="仿宋" w:hAnsi="仿宋" w:eastAsia="仿宋"/>
          <w:color w:val="auto"/>
        </w:rPr>
      </w:pPr>
      <w:bookmarkStart w:id="66" w:name="_Toc15396625"/>
      <w:r>
        <w:rPr>
          <w:rStyle w:val="22"/>
          <w:rFonts w:hint="eastAsia" w:ascii="仿宋" w:hAnsi="仿宋" w:eastAsia="仿宋"/>
          <w:b w:val="0"/>
          <w:bCs w:val="0"/>
          <w:color w:val="auto"/>
        </w:rPr>
        <w:t>七、</w:t>
      </w:r>
      <w:r>
        <w:rPr>
          <w:rFonts w:hint="eastAsia" w:ascii="仿宋" w:hAnsi="仿宋" w:eastAsia="仿宋"/>
          <w:b w:val="0"/>
          <w:color w:val="auto"/>
        </w:rPr>
        <w:t>一</w:t>
      </w:r>
      <w:r>
        <w:rPr>
          <w:rStyle w:val="22"/>
          <w:rFonts w:hint="eastAsia" w:ascii="仿宋" w:hAnsi="仿宋" w:eastAsia="仿宋"/>
          <w:b w:val="0"/>
          <w:bCs w:val="0"/>
          <w:color w:val="auto"/>
        </w:rPr>
        <w:t>般公共预算财政拨款支出决算明细表</w:t>
      </w:r>
      <w:bookmarkEnd w:id="66"/>
    </w:p>
    <w:p>
      <w:pPr>
        <w:pStyle w:val="4"/>
        <w:rPr>
          <w:rFonts w:ascii="仿宋" w:hAnsi="仿宋" w:eastAsia="仿宋"/>
          <w:color w:val="000000"/>
        </w:rPr>
      </w:pPr>
      <w:bookmarkStart w:id="67" w:name="_Toc15396626"/>
      <w:r>
        <w:rPr>
          <w:rStyle w:val="22"/>
          <w:rFonts w:hint="eastAsia" w:ascii="仿宋" w:hAnsi="仿宋" w:eastAsia="仿宋"/>
          <w:b w:val="0"/>
          <w:bCs w:val="0"/>
        </w:rPr>
        <w:t>八、</w:t>
      </w:r>
      <w:r>
        <w:rPr>
          <w:rFonts w:hint="eastAsia" w:ascii="仿宋" w:hAnsi="仿宋" w:eastAsia="仿宋"/>
          <w:b w:val="0"/>
          <w:color w:val="000000"/>
        </w:rPr>
        <w:t>一</w:t>
      </w:r>
      <w:r>
        <w:rPr>
          <w:rStyle w:val="22"/>
          <w:rFonts w:hint="eastAsia" w:ascii="仿宋" w:hAnsi="仿宋" w:eastAsia="仿宋"/>
          <w:b w:val="0"/>
          <w:bCs w:val="0"/>
        </w:rPr>
        <w:t>般公共预算财政拨款基本支出决算表</w:t>
      </w:r>
      <w:bookmarkEnd w:id="67"/>
    </w:p>
    <w:p>
      <w:pPr>
        <w:pStyle w:val="4"/>
        <w:rPr>
          <w:rFonts w:ascii="仿宋" w:hAnsi="仿宋" w:eastAsia="仿宋"/>
          <w:color w:val="000000"/>
        </w:rPr>
      </w:pPr>
      <w:bookmarkStart w:id="68" w:name="_Toc15396627"/>
      <w:r>
        <w:rPr>
          <w:rStyle w:val="22"/>
          <w:rFonts w:hint="eastAsia" w:ascii="仿宋" w:hAnsi="仿宋" w:eastAsia="仿宋"/>
          <w:b w:val="0"/>
          <w:bCs w:val="0"/>
        </w:rPr>
        <w:t>九、</w:t>
      </w:r>
      <w:r>
        <w:rPr>
          <w:rFonts w:hint="eastAsia" w:ascii="仿宋" w:hAnsi="仿宋" w:eastAsia="仿宋"/>
          <w:b w:val="0"/>
          <w:color w:val="000000"/>
        </w:rPr>
        <w:t>一</w:t>
      </w:r>
      <w:r>
        <w:rPr>
          <w:rStyle w:val="22"/>
          <w:rFonts w:hint="eastAsia" w:ascii="仿宋" w:hAnsi="仿宋" w:eastAsia="仿宋"/>
          <w:b w:val="0"/>
          <w:bCs w:val="0"/>
        </w:rPr>
        <w:t>般公共预算财政拨款项目支出决算表</w:t>
      </w:r>
      <w:bookmarkEnd w:id="68"/>
    </w:p>
    <w:p>
      <w:pPr>
        <w:pStyle w:val="4"/>
        <w:rPr>
          <w:rFonts w:ascii="仿宋" w:hAnsi="仿宋" w:eastAsia="仿宋"/>
          <w:color w:val="000000"/>
        </w:rPr>
      </w:pPr>
      <w:bookmarkStart w:id="69" w:name="_Toc15396628"/>
      <w:r>
        <w:rPr>
          <w:rStyle w:val="22"/>
          <w:rFonts w:hint="eastAsia" w:ascii="仿宋" w:hAnsi="仿宋" w:eastAsia="仿宋"/>
          <w:b w:val="0"/>
          <w:bCs w:val="0"/>
        </w:rPr>
        <w:t>十、</w:t>
      </w:r>
      <w:r>
        <w:rPr>
          <w:rFonts w:hint="eastAsia" w:ascii="仿宋" w:hAnsi="仿宋" w:eastAsia="仿宋"/>
          <w:b w:val="0"/>
          <w:color w:val="000000"/>
        </w:rPr>
        <w:t>一</w:t>
      </w:r>
      <w:r>
        <w:rPr>
          <w:rStyle w:val="22"/>
          <w:rFonts w:hint="eastAsia" w:ascii="仿宋" w:hAnsi="仿宋" w:eastAsia="仿宋"/>
          <w:b w:val="0"/>
          <w:bCs w:val="0"/>
        </w:rPr>
        <w:t>般公共预算财政拨款“三公”经费支出决算表</w:t>
      </w:r>
      <w:bookmarkEnd w:id="69"/>
    </w:p>
    <w:p>
      <w:pPr>
        <w:pStyle w:val="4"/>
        <w:rPr>
          <w:rFonts w:ascii="仿宋" w:hAnsi="仿宋" w:eastAsia="仿宋"/>
          <w:color w:val="000000"/>
        </w:rPr>
      </w:pPr>
      <w:bookmarkStart w:id="70" w:name="_Toc15396629"/>
      <w:r>
        <w:rPr>
          <w:rStyle w:val="22"/>
          <w:rFonts w:hint="eastAsia" w:ascii="仿宋" w:hAnsi="仿宋" w:eastAsia="仿宋"/>
          <w:b w:val="0"/>
          <w:bCs w:val="0"/>
        </w:rPr>
        <w:t>十一、</w:t>
      </w:r>
      <w:r>
        <w:rPr>
          <w:rFonts w:hint="eastAsia" w:ascii="仿宋" w:hAnsi="仿宋" w:eastAsia="仿宋"/>
          <w:b w:val="0"/>
          <w:color w:val="000000"/>
        </w:rPr>
        <w:t>政</w:t>
      </w:r>
      <w:r>
        <w:rPr>
          <w:rStyle w:val="22"/>
          <w:rFonts w:hint="eastAsia" w:ascii="仿宋" w:hAnsi="仿宋" w:eastAsia="仿宋"/>
          <w:b w:val="0"/>
          <w:bCs w:val="0"/>
        </w:rPr>
        <w:t>府性基金预算财政拨款收入支出决算表</w:t>
      </w:r>
      <w:bookmarkEnd w:id="70"/>
    </w:p>
    <w:p>
      <w:pPr>
        <w:pStyle w:val="4"/>
        <w:rPr>
          <w:rFonts w:ascii="仿宋" w:hAnsi="仿宋" w:eastAsia="仿宋"/>
          <w:color w:val="000000"/>
        </w:rPr>
      </w:pPr>
      <w:bookmarkStart w:id="71" w:name="_Toc15396630"/>
      <w:r>
        <w:rPr>
          <w:rStyle w:val="22"/>
          <w:rFonts w:hint="eastAsia" w:ascii="仿宋" w:hAnsi="仿宋" w:eastAsia="仿宋"/>
          <w:b w:val="0"/>
          <w:bCs w:val="0"/>
        </w:rPr>
        <w:t>十二、</w:t>
      </w:r>
      <w:r>
        <w:rPr>
          <w:rFonts w:hint="eastAsia" w:ascii="仿宋" w:hAnsi="仿宋" w:eastAsia="仿宋"/>
          <w:b w:val="0"/>
          <w:color w:val="000000"/>
        </w:rPr>
        <w:t>政</w:t>
      </w:r>
      <w:r>
        <w:rPr>
          <w:rStyle w:val="22"/>
          <w:rFonts w:hint="eastAsia" w:ascii="仿宋" w:hAnsi="仿宋" w:eastAsia="仿宋"/>
          <w:b w:val="0"/>
          <w:bCs w:val="0"/>
        </w:rPr>
        <w:t>府性基金预算财政拨款“三公”经费支出决算表</w:t>
      </w:r>
      <w:bookmarkEnd w:id="71"/>
    </w:p>
    <w:p>
      <w:pPr>
        <w:pStyle w:val="4"/>
        <w:rPr>
          <w:rStyle w:val="22"/>
          <w:rFonts w:hint="eastAsia" w:ascii="仿宋" w:hAnsi="仿宋" w:eastAsia="仿宋"/>
          <w:b w:val="0"/>
          <w:bCs w:val="0"/>
        </w:rPr>
      </w:pPr>
      <w:bookmarkStart w:id="72" w:name="_Toc15396631"/>
      <w:r>
        <w:rPr>
          <w:rStyle w:val="22"/>
          <w:rFonts w:hint="eastAsia" w:ascii="仿宋" w:hAnsi="仿宋" w:eastAsia="仿宋"/>
          <w:b w:val="0"/>
          <w:bCs w:val="0"/>
        </w:rPr>
        <w:t>十三、</w:t>
      </w:r>
      <w:r>
        <w:rPr>
          <w:rFonts w:hint="eastAsia" w:ascii="仿宋" w:hAnsi="仿宋" w:eastAsia="仿宋"/>
          <w:b w:val="0"/>
          <w:color w:val="000000"/>
        </w:rPr>
        <w:t>国</w:t>
      </w:r>
      <w:r>
        <w:rPr>
          <w:rStyle w:val="22"/>
          <w:rFonts w:hint="eastAsia" w:ascii="仿宋" w:hAnsi="仿宋" w:eastAsia="仿宋"/>
          <w:b w:val="0"/>
          <w:bCs w:val="0"/>
        </w:rPr>
        <w:t>有资本经营预算财政拨款收入支出决算表</w:t>
      </w:r>
      <w:bookmarkEnd w:id="72"/>
    </w:p>
    <w:p>
      <w:pPr>
        <w:pStyle w:val="4"/>
        <w:rPr>
          <w:rStyle w:val="22"/>
          <w:rFonts w:hint="eastAsia" w:ascii="仿宋" w:hAnsi="仿宋" w:eastAsia="仿宋"/>
          <w:b w:val="0"/>
          <w:bCs w:val="0"/>
        </w:rPr>
      </w:pPr>
      <w:r>
        <w:rPr>
          <w:rStyle w:val="22"/>
          <w:rFonts w:hint="eastAsia" w:ascii="仿宋" w:hAnsi="仿宋" w:eastAsia="仿宋"/>
          <w:b w:val="0"/>
          <w:bCs w:val="0"/>
        </w:rPr>
        <w:t>十四</w:t>
      </w:r>
      <w:r>
        <w:rPr>
          <w:rStyle w:val="22"/>
          <w:rFonts w:hint="eastAsia" w:ascii="仿宋" w:hAnsi="仿宋" w:eastAsia="仿宋"/>
          <w:b/>
          <w:bCs/>
        </w:rPr>
        <w:t>、</w:t>
      </w:r>
      <w:r>
        <w:rPr>
          <w:rFonts w:hint="eastAsia" w:ascii="仿宋" w:hAnsi="仿宋" w:eastAsia="仿宋"/>
          <w:b w:val="0"/>
          <w:color w:val="000000"/>
        </w:rPr>
        <w:t>国</w:t>
      </w:r>
      <w:r>
        <w:rPr>
          <w:rStyle w:val="22"/>
          <w:rFonts w:hint="eastAsia" w:ascii="仿宋" w:hAnsi="仿宋" w:eastAsia="仿宋"/>
          <w:b w:val="0"/>
          <w:bCs w:val="0"/>
        </w:rPr>
        <w:t>有资本经营预算财政拨款支出决算表</w:t>
      </w:r>
    </w:p>
    <w:p>
      <w:pPr>
        <w:rPr>
          <w:rFonts w:hint="eastAsia" w:eastAsia="仿宋"/>
        </w:rPr>
      </w:pPr>
      <w:r>
        <w:rPr>
          <w:rStyle w:val="22"/>
          <w:rFonts w:hint="eastAsia" w:ascii="仿宋" w:hAnsi="仿宋" w:eastAsia="仿宋"/>
          <w:b w:val="0"/>
          <w:bCs w:val="0"/>
        </w:rPr>
        <w:t>十五、机关运行经费、资产占用情况及政府采购支出信息表</w:t>
      </w:r>
    </w:p>
    <w:p>
      <w:pPr>
        <w:rPr>
          <w:rStyle w:val="22"/>
          <w:rFonts w:hint="eastAsia" w:ascii="仿宋" w:hAnsi="仿宋" w:eastAsia="仿宋"/>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eastAsia="zh-CN"/>
      </w:rPr>
      <w:t>27</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C226D"/>
    <w:multiLevelType w:val="singleLevel"/>
    <w:tmpl w:val="9FEC226D"/>
    <w:lvl w:ilvl="0" w:tentative="0">
      <w:start w:val="2"/>
      <w:numFmt w:val="chineseCounting"/>
      <w:suff w:val="nothing"/>
      <w:lvlText w:val="（%1）"/>
      <w:lvlJc w:val="left"/>
      <w:rPr>
        <w:rFonts w:hint="eastAsia"/>
      </w:rPr>
    </w:lvl>
  </w:abstractNum>
  <w:abstractNum w:abstractNumId="1">
    <w:nsid w:val="C006F44A"/>
    <w:multiLevelType w:val="singleLevel"/>
    <w:tmpl w:val="C006F44A"/>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3">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3E794925"/>
    <w:multiLevelType w:val="singleLevel"/>
    <w:tmpl w:val="3E794925"/>
    <w:lvl w:ilvl="0" w:tentative="0">
      <w:start w:val="3"/>
      <w:numFmt w:val="chineseCounting"/>
      <w:suff w:val="nothing"/>
      <w:lvlText w:val="（%1）"/>
      <w:lvlJc w:val="left"/>
      <w:pPr>
        <w:ind w:left="-10"/>
      </w:pPr>
      <w:rPr>
        <w:rFonts w:hint="eastAsia"/>
      </w:r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6358F837"/>
    <w:multiLevelType w:val="singleLevel"/>
    <w:tmpl w:val="6358F837"/>
    <w:lvl w:ilvl="0" w:tentative="0">
      <w:start w:val="1"/>
      <w:numFmt w:val="chineseCounting"/>
      <w:suff w:val="nothing"/>
      <w:lvlText w:val="%1、"/>
      <w:lvlJc w:val="left"/>
    </w:lvl>
  </w:abstractNum>
  <w:num w:numId="1">
    <w:abstractNumId w:val="6"/>
  </w:num>
  <w:num w:numId="2">
    <w:abstractNumId w:val="7"/>
  </w:num>
  <w:num w:numId="3">
    <w:abstractNumId w:val="4"/>
  </w:num>
  <w:num w:numId="4">
    <w:abstractNumId w:val="2"/>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NhNWJiZGFiNDgxNjUxYzU4ODRiZmMyOGFkMjVlZ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1CF4"/>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1F1A"/>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7E3475"/>
    <w:rsid w:val="03AA3F69"/>
    <w:rsid w:val="0491173A"/>
    <w:rsid w:val="05FF7F54"/>
    <w:rsid w:val="065F0C65"/>
    <w:rsid w:val="066D039B"/>
    <w:rsid w:val="071D3B61"/>
    <w:rsid w:val="0798798B"/>
    <w:rsid w:val="09881E2A"/>
    <w:rsid w:val="0A2032A3"/>
    <w:rsid w:val="0A274538"/>
    <w:rsid w:val="0A3D6C38"/>
    <w:rsid w:val="0A4804A5"/>
    <w:rsid w:val="0B3A2AAF"/>
    <w:rsid w:val="0DE445A8"/>
    <w:rsid w:val="0DE95F86"/>
    <w:rsid w:val="0E4E6DDB"/>
    <w:rsid w:val="0F5868CC"/>
    <w:rsid w:val="10792F44"/>
    <w:rsid w:val="10C055FF"/>
    <w:rsid w:val="118107EC"/>
    <w:rsid w:val="131A7CA5"/>
    <w:rsid w:val="131D3DBB"/>
    <w:rsid w:val="141C1DD7"/>
    <w:rsid w:val="151D4F09"/>
    <w:rsid w:val="155112A2"/>
    <w:rsid w:val="16BB723D"/>
    <w:rsid w:val="17F24140"/>
    <w:rsid w:val="184E0FFF"/>
    <w:rsid w:val="1A3112E7"/>
    <w:rsid w:val="1A5C2482"/>
    <w:rsid w:val="1A8E4B7E"/>
    <w:rsid w:val="1AD245C5"/>
    <w:rsid w:val="1BC82494"/>
    <w:rsid w:val="1D155CEE"/>
    <w:rsid w:val="1D6B29BA"/>
    <w:rsid w:val="1E7D7DFC"/>
    <w:rsid w:val="1F585219"/>
    <w:rsid w:val="2188665E"/>
    <w:rsid w:val="23647B58"/>
    <w:rsid w:val="240371BF"/>
    <w:rsid w:val="246E2FBB"/>
    <w:rsid w:val="25FE4BF3"/>
    <w:rsid w:val="26EE6996"/>
    <w:rsid w:val="27B27E48"/>
    <w:rsid w:val="293B5847"/>
    <w:rsid w:val="29FD04D3"/>
    <w:rsid w:val="2A524929"/>
    <w:rsid w:val="2BC46AFE"/>
    <w:rsid w:val="2C765D47"/>
    <w:rsid w:val="2CAC54F7"/>
    <w:rsid w:val="2CFD7F8C"/>
    <w:rsid w:val="2D5D7952"/>
    <w:rsid w:val="3082620F"/>
    <w:rsid w:val="319F7F4E"/>
    <w:rsid w:val="32B71484"/>
    <w:rsid w:val="34492EBD"/>
    <w:rsid w:val="34D3398E"/>
    <w:rsid w:val="369A6CA3"/>
    <w:rsid w:val="36ED0933"/>
    <w:rsid w:val="372941BD"/>
    <w:rsid w:val="39784316"/>
    <w:rsid w:val="39B05D75"/>
    <w:rsid w:val="3D9A0EAB"/>
    <w:rsid w:val="404858B2"/>
    <w:rsid w:val="41536D14"/>
    <w:rsid w:val="41A5294A"/>
    <w:rsid w:val="41BD1673"/>
    <w:rsid w:val="44004D77"/>
    <w:rsid w:val="448717BF"/>
    <w:rsid w:val="473B77E1"/>
    <w:rsid w:val="4ABB4387"/>
    <w:rsid w:val="4B1043A2"/>
    <w:rsid w:val="4D4463CB"/>
    <w:rsid w:val="4ECE2238"/>
    <w:rsid w:val="4F3E1CE5"/>
    <w:rsid w:val="4FA7131C"/>
    <w:rsid w:val="53C3412A"/>
    <w:rsid w:val="568F5594"/>
    <w:rsid w:val="57B32701"/>
    <w:rsid w:val="591E0CEA"/>
    <w:rsid w:val="5C9C5549"/>
    <w:rsid w:val="5D310FED"/>
    <w:rsid w:val="5F0D6139"/>
    <w:rsid w:val="603C7D87"/>
    <w:rsid w:val="64B71B78"/>
    <w:rsid w:val="67055534"/>
    <w:rsid w:val="685D6CDB"/>
    <w:rsid w:val="6A3D3F0F"/>
    <w:rsid w:val="6AFA0509"/>
    <w:rsid w:val="6B084CCF"/>
    <w:rsid w:val="6BC753E6"/>
    <w:rsid w:val="6C4A05C8"/>
    <w:rsid w:val="704F2F97"/>
    <w:rsid w:val="72734D90"/>
    <w:rsid w:val="75772A5D"/>
    <w:rsid w:val="76B20AED"/>
    <w:rsid w:val="7A0D3B5B"/>
    <w:rsid w:val="7CD97104"/>
    <w:rsid w:val="7EB834C7"/>
    <w:rsid w:val="7EB92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3"/>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24"/>
      <w:szCs w:val="20"/>
    </w:rPr>
  </w:style>
  <w:style w:type="paragraph" w:styleId="6">
    <w:name w:val="Salutation"/>
    <w:basedOn w:val="1"/>
    <w:next w:val="1"/>
    <w:qFormat/>
    <w:uiPriority w:val="99"/>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unhideWhenUsed/>
    <w:qFormat/>
    <w:uiPriority w:val="0"/>
    <w:rPr>
      <w:rFonts w:ascii="宋体" w:hAnsi="Courier New" w:cs="Courier New"/>
      <w:szCs w:val="21"/>
    </w:rPr>
  </w:style>
  <w:style w:type="paragraph" w:styleId="9">
    <w:name w:val="Balloon Text"/>
    <w:basedOn w:val="1"/>
    <w:link w:val="25"/>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20"/>
    </w:rPr>
  </w:style>
  <w:style w:type="paragraph" w:styleId="11">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99"/>
    <w:pPr>
      <w:spacing w:beforeAutospacing="1" w:afterAutospacing="1"/>
      <w:jc w:val="left"/>
    </w:pPr>
    <w:rPr>
      <w:kern w:val="0"/>
      <w:sz w:val="24"/>
    </w:rPr>
  </w:style>
  <w:style w:type="character" w:styleId="17">
    <w:name w:val="Strong"/>
    <w:basedOn w:val="16"/>
    <w:qFormat/>
    <w:uiPriority w:val="99"/>
    <w:rPr>
      <w:rFonts w:cs="Times New Roman"/>
      <w:b/>
    </w:rPr>
  </w:style>
  <w:style w:type="character" w:styleId="18">
    <w:name w:val="Hyperlink"/>
    <w:basedOn w:val="16"/>
    <w:unhideWhenUsed/>
    <w:qFormat/>
    <w:uiPriority w:val="99"/>
    <w:rPr>
      <w:rFonts w:cs="Times New Roman"/>
      <w:color w:val="0000FF"/>
      <w:u w:val="single"/>
    </w:rPr>
  </w:style>
  <w:style w:type="paragraph" w:customStyle="1" w:styleId="19">
    <w:name w:val="标题 5（有编号）（绿盟科技）"/>
    <w:basedOn w:val="1"/>
    <w:next w:val="2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1">
    <w:name w:val="标题 1 Char"/>
    <w:basedOn w:val="16"/>
    <w:link w:val="3"/>
    <w:qFormat/>
    <w:locked/>
    <w:uiPriority w:val="9"/>
    <w:rPr>
      <w:rFonts w:ascii="Times New Roman" w:hAnsi="Times New Roman" w:cs="Times New Roman"/>
      <w:b/>
      <w:bCs/>
      <w:kern w:val="44"/>
      <w:sz w:val="44"/>
      <w:szCs w:val="44"/>
    </w:rPr>
  </w:style>
  <w:style w:type="character" w:customStyle="1" w:styleId="22">
    <w:name w:val="标题 2 Char"/>
    <w:basedOn w:val="16"/>
    <w:link w:val="4"/>
    <w:qFormat/>
    <w:locked/>
    <w:uiPriority w:val="9"/>
    <w:rPr>
      <w:rFonts w:ascii="Cambria" w:hAnsi="Cambria" w:eastAsia="宋体" w:cs="Times New Roman"/>
      <w:b/>
      <w:bCs/>
      <w:kern w:val="2"/>
      <w:sz w:val="32"/>
      <w:szCs w:val="32"/>
    </w:rPr>
  </w:style>
  <w:style w:type="character" w:customStyle="1" w:styleId="23">
    <w:name w:val="标题 3 Char"/>
    <w:basedOn w:val="16"/>
    <w:link w:val="5"/>
    <w:qFormat/>
    <w:locked/>
    <w:uiPriority w:val="9"/>
    <w:rPr>
      <w:rFonts w:ascii="Times New Roman" w:hAnsi="Times New Roman" w:cs="Times New Roman"/>
      <w:b/>
      <w:bCs/>
      <w:kern w:val="2"/>
      <w:sz w:val="32"/>
      <w:szCs w:val="32"/>
    </w:rPr>
  </w:style>
  <w:style w:type="character" w:customStyle="1" w:styleId="24">
    <w:name w:val="正文文本 Char"/>
    <w:link w:val="2"/>
    <w:qFormat/>
    <w:locked/>
    <w:uiPriority w:val="99"/>
    <w:rPr>
      <w:rFonts w:ascii="仿宋_GB2312" w:hAnsi="Times New Roman" w:eastAsia="仿宋_GB2312"/>
      <w:sz w:val="24"/>
    </w:rPr>
  </w:style>
  <w:style w:type="character" w:customStyle="1" w:styleId="25">
    <w:name w:val="批注框文本 Char"/>
    <w:basedOn w:val="16"/>
    <w:link w:val="9"/>
    <w:semiHidden/>
    <w:qFormat/>
    <w:locked/>
    <w:uiPriority w:val="99"/>
    <w:rPr>
      <w:rFonts w:ascii="Times New Roman" w:hAnsi="Times New Roman" w:cs="Times New Roman"/>
      <w:kern w:val="2"/>
      <w:sz w:val="18"/>
      <w:szCs w:val="18"/>
    </w:rPr>
  </w:style>
  <w:style w:type="character" w:customStyle="1" w:styleId="26">
    <w:name w:val="页脚 Char"/>
    <w:link w:val="10"/>
    <w:qFormat/>
    <w:locked/>
    <w:uiPriority w:val="99"/>
    <w:rPr>
      <w:sz w:val="18"/>
    </w:rPr>
  </w:style>
  <w:style w:type="character" w:customStyle="1" w:styleId="27">
    <w:name w:val="页眉 Char"/>
    <w:link w:val="11"/>
    <w:semiHidden/>
    <w:qFormat/>
    <w:locked/>
    <w:uiPriority w:val="99"/>
    <w:rPr>
      <w:sz w:val="18"/>
    </w:rPr>
  </w:style>
  <w:style w:type="character" w:customStyle="1" w:styleId="28">
    <w:name w:val="Footer Char"/>
    <w:basedOn w:val="16"/>
    <w:semiHidden/>
    <w:qFormat/>
    <w:uiPriority w:val="99"/>
    <w:rPr>
      <w:rFonts w:ascii="Times New Roman" w:hAnsi="Times New Roman" w:cs="Times New Roman"/>
      <w:sz w:val="18"/>
      <w:szCs w:val="18"/>
    </w:rPr>
  </w:style>
  <w:style w:type="character" w:customStyle="1" w:styleId="29">
    <w:name w:val="Header Char"/>
    <w:basedOn w:val="16"/>
    <w:semiHidden/>
    <w:qFormat/>
    <w:uiPriority w:val="99"/>
    <w:rPr>
      <w:rFonts w:ascii="Times New Roman" w:hAnsi="Times New Roman" w:cs="Times New Roman"/>
      <w:sz w:val="18"/>
      <w:szCs w:val="18"/>
    </w:rPr>
  </w:style>
  <w:style w:type="character" w:customStyle="1" w:styleId="30">
    <w:name w:val="Body Text Char"/>
    <w:basedOn w:val="16"/>
    <w:semiHidden/>
    <w:qFormat/>
    <w:uiPriority w:val="99"/>
    <w:rPr>
      <w:rFonts w:ascii="Times New Roman" w:hAnsi="Times New Roman" w:cs="Times New Roman"/>
      <w:sz w:val="24"/>
      <w:szCs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2">
    <w:name w:val="List Paragraph"/>
    <w:basedOn w:val="1"/>
    <w:qFormat/>
    <w:uiPriority w:val="34"/>
    <w:pPr>
      <w:ind w:firstLine="420" w:firstLineChars="200"/>
    </w:pPr>
  </w:style>
  <w:style w:type="paragraph" w:customStyle="1" w:styleId="33">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4">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收入支出决算总体情况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131.43</c:v>
                </c:pt>
                <c:pt idx="1">
                  <c:v>137.51</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Sheet1!$C$2:$C$3</c:f>
              <c:numCache>
                <c:formatCode>General</c:formatCode>
                <c:ptCount val="2"/>
                <c:pt idx="0">
                  <c:v>131.43</c:v>
                </c:pt>
                <c:pt idx="1">
                  <c:v>137.51</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70753465"/>
        <c:axId val="409937130"/>
      </c:barChart>
      <c:catAx>
        <c:axId val="707534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9937130"/>
        <c:crosses val="autoZero"/>
        <c:auto val="1"/>
        <c:lblAlgn val="ctr"/>
        <c:lblOffset val="100"/>
        <c:noMultiLvlLbl val="0"/>
      </c:catAx>
      <c:valAx>
        <c:axId val="4099371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7534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53286825865307"/>
          <c:y val="0.338300104931794"/>
          <c:w val="0.327475181110813"/>
          <c:h val="0.512277019937041"/>
        </c:manualLayout>
      </c:layout>
      <c:pieChart>
        <c:varyColors val="1"/>
        <c:ser>
          <c:idx val="0"/>
          <c:order val="0"/>
          <c:tx>
            <c:strRef>
              <c:f>Sheet1!$B$1</c:f>
              <c:strCache>
                <c:ptCount val="1"/>
                <c:pt idx="0">
                  <c:v>收入决算情况</c:v>
                </c:pt>
              </c:strCache>
            </c:strRef>
          </c:tx>
          <c:spPr/>
          <c:explosion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dPt>
            <c:idx val="3"/>
            <c:bubble3D val="0"/>
            <c:spPr>
              <a:solidFill>
                <a:schemeClr val="accent2">
                  <a:lumMod val="60000"/>
                </a:schemeClr>
              </a:solidFill>
              <a:ln w="19050">
                <a:solidFill>
                  <a:schemeClr val="lt1"/>
                </a:solidFill>
              </a:ln>
              <a:effectLst/>
            </c:spPr>
          </c:dPt>
          <c:dPt>
            <c:idx val="4"/>
            <c:bubble3D val="0"/>
            <c:spPr>
              <a:solidFill>
                <a:schemeClr val="accent4">
                  <a:lumMod val="60000"/>
                </a:schemeClr>
              </a:solidFill>
              <a:ln w="19050">
                <a:solidFill>
                  <a:schemeClr val="lt1"/>
                </a:solidFill>
              </a:ln>
              <a:effectLst/>
            </c:spPr>
          </c:dPt>
          <c:dPt>
            <c:idx val="5"/>
            <c:bubble3D val="0"/>
            <c:spPr>
              <a:solidFill>
                <a:schemeClr val="accent6">
                  <a:lumMod val="60000"/>
                </a:schemeClr>
              </a:solidFill>
              <a:ln w="19050">
                <a:solidFill>
                  <a:schemeClr val="lt1"/>
                </a:solidFill>
              </a:ln>
              <a:effectLst/>
            </c:spPr>
          </c:dPt>
          <c:dPt>
            <c:idx val="6"/>
            <c:bubble3D val="0"/>
            <c:spPr>
              <a:solidFill>
                <a:schemeClr val="accent2">
                  <a:lumMod val="80000"/>
                  <a:lumOff val="20000"/>
                </a:schemeClr>
              </a:solidFill>
              <a:ln w="19050">
                <a:solidFill>
                  <a:schemeClr val="lt1"/>
                </a:solidFill>
              </a:ln>
              <a:effectLst/>
            </c:spPr>
          </c:dPt>
          <c:dPt>
            <c:idx val="7"/>
            <c:bubble3D val="0"/>
            <c:spPr>
              <a:solidFill>
                <a:schemeClr val="accent4">
                  <a:lumMod val="80000"/>
                  <a:lumOff val="20000"/>
                </a:schemeClr>
              </a:solidFill>
              <a:ln w="19050">
                <a:solidFill>
                  <a:schemeClr val="lt1"/>
                </a:solidFill>
              </a:ln>
              <a:effectLst/>
            </c:spPr>
          </c:dPt>
          <c:dLbls>
            <c:dLbl>
              <c:idx val="1"/>
              <c:layout>
                <c:manualLayout>
                  <c:x val="0.32968772812753"/>
                  <c:y val="0.0130970905399738"/>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239335288830517"/>
                  <c:y val="0.047119622244560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247517430364285"/>
                  <c:y val="-0.138976915005681"/>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116983658776599"/>
                  <c:y val="-0.0537722980067308"/>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5"/>
              <c:layout>
                <c:manualLayout>
                  <c:x val="0.0461492074752838"/>
                  <c:y val="-0.104979013641568"/>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6"/>
              <c:layout>
                <c:manualLayout>
                  <c:x val="-0.182184744381473"/>
                  <c:y val="-0.20773871983281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7"/>
              <c:layout>
                <c:manualLayout>
                  <c:x val="-0.204052026761368"/>
                  <c:y val="-0.10917628541491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137.51</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26509256774886"/>
          <c:y val="0.874291710388248"/>
          <c:w val="0.747115642607996"/>
          <c:h val="0.100524658971668"/>
        </c:manualLayout>
      </c:layout>
      <c:overlay val="0"/>
      <c:spPr>
        <a:solidFill>
          <a:schemeClr val="bg1"/>
        </a:solid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8518877057115"/>
          <c:y val="0.0211448099102947"/>
        </c:manualLayout>
      </c:layout>
      <c:overlay val="0"/>
      <c:spPr>
        <a:noFill/>
        <a:ln>
          <a:noFill/>
        </a:ln>
        <a:effectLst/>
      </c:spPr>
      <c:txPr>
        <a:bodyPr rot="0" spcFirstLastPara="0" vertOverflow="ellipsis"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Sheet1!$B$1</c:f>
              <c:strCache>
                <c:ptCount val="1"/>
                <c:pt idx="0">
                  <c:v>支出决算情</c:v>
                </c:pt>
              </c:strCache>
            </c:strRef>
          </c:tx>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124.97</c:v>
                </c:pt>
                <c:pt idx="1">
                  <c:v>12.54</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财政拨款收入支出决算总体情况</a:t>
            </a:r>
          </a:p>
        </c:rich>
      </c:tx>
      <c:layout>
        <c:manualLayout>
          <c:xMode val="edge"/>
          <c:yMode val="edge"/>
          <c:x val="0.249413652635477"/>
          <c:y val="0.021170361493908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131.43</c:v>
                </c:pt>
                <c:pt idx="1">
                  <c:v>137.51</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Sheet1!$C$2:$C$3</c:f>
              <c:numCache>
                <c:formatCode>General</c:formatCode>
                <c:ptCount val="2"/>
                <c:pt idx="0">
                  <c:v>131.43</c:v>
                </c:pt>
                <c:pt idx="1">
                  <c:v>137.51</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267241895"/>
        <c:axId val="173747850"/>
      </c:barChart>
      <c:catAx>
        <c:axId val="2672418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3747850"/>
        <c:crosses val="autoZero"/>
        <c:auto val="1"/>
        <c:lblAlgn val="ctr"/>
        <c:lblOffset val="100"/>
        <c:noMultiLvlLbl val="0"/>
      </c:catAx>
      <c:valAx>
        <c:axId val="17374785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24189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一般公共预算财政拨款支出总体情况</a:t>
            </a:r>
          </a:p>
        </c:rich>
      </c:tx>
      <c:layout/>
      <c:overlay val="0"/>
      <c:spPr>
        <a:noFill/>
        <a:ln>
          <a:noFill/>
        </a:ln>
        <a:effectLst/>
      </c:spPr>
    </c:title>
    <c:autoTitleDeleted val="0"/>
    <c:plotArea>
      <c:layout>
        <c:manualLayout>
          <c:layoutTarget val="inner"/>
          <c:xMode val="edge"/>
          <c:yMode val="edge"/>
          <c:x val="0.0623635879691243"/>
          <c:y val="0.169220519653564"/>
          <c:w val="0.886797977109396"/>
          <c:h val="0.738929602487231"/>
        </c:manualLayout>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130.71</c:v>
                </c:pt>
                <c:pt idx="1">
                  <c:v>137.51</c:v>
                </c:pt>
              </c:numCache>
            </c:numRef>
          </c:val>
        </c:ser>
        <c:dLbls>
          <c:showLegendKey val="0"/>
          <c:showVal val="1"/>
          <c:showCatName val="0"/>
          <c:showSerName val="0"/>
          <c:showPercent val="0"/>
          <c:showBubbleSize val="0"/>
        </c:dLbls>
        <c:gapWidth val="219"/>
        <c:overlap val="-27"/>
        <c:axId val="120101897"/>
        <c:axId val="762588366"/>
      </c:barChart>
      <c:catAx>
        <c:axId val="1201018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2588366"/>
        <c:crosses val="autoZero"/>
        <c:auto val="1"/>
        <c:lblAlgn val="ctr"/>
        <c:lblOffset val="100"/>
        <c:noMultiLvlLbl val="0"/>
      </c:catAx>
      <c:valAx>
        <c:axId val="7625883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010189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一般公共预算财政拨款支出决算情况</c:v>
                </c:pt>
              </c:strCache>
            </c:strRef>
          </c:tx>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105.25</c:v>
                </c:pt>
                <c:pt idx="1">
                  <c:v>14.17</c:v>
                </c:pt>
                <c:pt idx="2">
                  <c:v>7.28</c:v>
                </c:pt>
                <c:pt idx="3">
                  <c:v>10.81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74818401937046"/>
          <c:y val="0.231862847585198"/>
          <c:w val="0.403685768092548"/>
          <c:h val="0.627430482960485"/>
        </c:manualLayout>
      </c:layout>
      <c:pieChart>
        <c:varyColors val="1"/>
        <c:ser>
          <c:idx val="0"/>
          <c:order val="0"/>
          <c:tx>
            <c:strRef>
              <c:f>Sheet1!$A$2</c:f>
              <c:strCache>
                <c:ptCount val="1"/>
                <c:pt idx="0">
                  <c:v>“三公”经费财政拨款支出情况表</c:v>
                </c:pt>
              </c:strCache>
            </c:strRef>
          </c:tx>
          <c:spPr/>
          <c:explosion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explosion val="1"/>
            <c:spPr>
              <a:solidFill>
                <a:schemeClr val="accent6"/>
              </a:solidFill>
              <a:ln w="19050">
                <a:solidFill>
                  <a:schemeClr val="lt1"/>
                </a:solidFill>
              </a:ln>
              <a:effectLst/>
            </c:spPr>
          </c:dPt>
          <c:dLbls>
            <c:dLbl>
              <c:idx val="0"/>
              <c:layout>
                <c:manualLayout>
                  <c:x val="0.193569795786826"/>
                  <c:y val="0.0147627012330861"/>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220877371486503"/>
                  <c:y val="-0.0208321137366723"/>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92574656981437"/>
                      <c:h val="0.0804934141752039"/>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因公出国（境）费</c:v>
                </c:pt>
                <c:pt idx="1">
                  <c:v>公务用车购置及运行维护费支</c:v>
                </c:pt>
                <c:pt idx="2">
                  <c:v>公务接待费</c:v>
                </c:pt>
              </c:strCache>
            </c:strRef>
          </c:cat>
          <c:val>
            <c:numRef>
              <c:f>Sheet1!$B$2:$D$2</c:f>
              <c:numCache>
                <c:formatCode>General</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27</Pages>
  <Words>8861</Words>
  <Characters>10277</Characters>
  <Lines>72</Lines>
  <Paragraphs>20</Paragraphs>
  <TotalTime>0</TotalTime>
  <ScaleCrop>false</ScaleCrop>
  <LinksUpToDate>false</LinksUpToDate>
  <CharactersWithSpaces>10323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2021-10-21T09:25:00Z</dcterms:created>
  <dc:creator>曹颖</dc:creator>
  <cp:lastModifiedBy>吉洪琼</cp:lastModifiedBy>
  <cp:lastPrinted>2021-07-29T03:56:00Z</cp:lastPrinted>
  <dcterms:modified xsi:type="dcterms:W3CDTF">2023-10-26T07:52:31Z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08C732E24DD94FC0A2BE3C746C5FEEE1</vt:lpwstr>
  </property>
</Properties>
</file>