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theme/themeOverride3.xml" ContentType="application/vnd.openxmlformats-officedocument.themeOverride+xml"/>
  <Override PartName="/word/theme/themeOverride4.xml" ContentType="application/vnd.openxmlformats-officedocument.themeOverride+xml"/>
  <Override PartName="/word/theme/themeOverride5.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方正小标宋简体" w:hAnsi="宋体" w:eastAsia="方正小标宋简体"/>
          <w:color w:val="000000"/>
          <w:sz w:val="72"/>
          <w:szCs w:val="72"/>
        </w:rPr>
      </w:pPr>
      <w:bookmarkStart w:id="0" w:name="_Toc15306267"/>
    </w:p>
    <w:p>
      <w:pPr>
        <w:spacing w:line="360" w:lineRule="auto"/>
        <w:jc w:val="center"/>
        <w:outlineLvl w:val="0"/>
        <w:rPr>
          <w:rFonts w:ascii="方正小标宋简体" w:hAnsi="宋体" w:eastAsia="方正小标宋简体"/>
          <w:color w:val="000000"/>
          <w:sz w:val="72"/>
          <w:szCs w:val="72"/>
        </w:rPr>
      </w:pPr>
    </w:p>
    <w:p>
      <w:pPr>
        <w:spacing w:line="360" w:lineRule="auto"/>
        <w:jc w:val="center"/>
        <w:outlineLvl w:val="0"/>
        <w:rPr>
          <w:rFonts w:ascii="方正小标宋简体" w:hAnsi="宋体" w:eastAsia="方正小标宋简体"/>
          <w:color w:val="000000"/>
          <w:sz w:val="72"/>
          <w:szCs w:val="72"/>
        </w:rPr>
      </w:pPr>
    </w:p>
    <w:p>
      <w:pPr>
        <w:spacing w:line="360" w:lineRule="auto"/>
        <w:jc w:val="center"/>
        <w:outlineLvl w:val="0"/>
        <w:rPr>
          <w:rFonts w:ascii="方正小标宋简体" w:hAnsi="宋体" w:eastAsia="方正小标宋简体"/>
          <w:color w:val="000000"/>
          <w:sz w:val="72"/>
          <w:szCs w:val="72"/>
        </w:rPr>
      </w:pPr>
    </w:p>
    <w:bookmarkEnd w:id="0"/>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1" w:name="_Toc15306268"/>
      <w:bookmarkStart w:id="2" w:name="_Toc15396598"/>
      <w:bookmarkStart w:id="3" w:name="_Toc15396476"/>
      <w:bookmarkStart w:id="4" w:name="_Toc15377426"/>
      <w:bookmarkStart w:id="5" w:name="_Toc15377194"/>
      <w:bookmarkStart w:id="6" w:name="_Toc15378442"/>
      <w:r>
        <w:rPr>
          <w:rFonts w:hint="eastAsia" w:ascii="方正小标宋简体" w:hAnsi="宋体" w:eastAsia="方正小标宋简体"/>
          <w:color w:val="000000"/>
          <w:sz w:val="72"/>
          <w:szCs w:val="72"/>
        </w:rPr>
        <w:t>米易县公安局</w:t>
      </w:r>
      <w:bookmarkStart w:id="7" w:name="_Toc15396597"/>
      <w:bookmarkStart w:id="8" w:name="_Toc15377425"/>
      <w:bookmarkStart w:id="9" w:name="_Toc15377193"/>
      <w:bookmarkStart w:id="10" w:name="_Toc15396475"/>
      <w:bookmarkStart w:id="11" w:name="_Toc15378441"/>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黑体" w:hAnsi="黑体" w:eastAsia="黑体"/>
          <w:color w:val="000000"/>
          <w:sz w:val="72"/>
          <w:szCs w:val="72"/>
        </w:rPr>
        <w:t>2021</w:t>
      </w:r>
      <w:r>
        <w:rPr>
          <w:rFonts w:hint="eastAsia" w:ascii="方正小标宋简体" w:hAnsi="宋体" w:eastAsia="方正小标宋简体"/>
          <w:color w:val="000000"/>
          <w:sz w:val="72"/>
          <w:szCs w:val="72"/>
        </w:rPr>
        <w:t>年度</w:t>
      </w:r>
      <w:bookmarkEnd w:id="7"/>
      <w:bookmarkEnd w:id="8"/>
      <w:bookmarkEnd w:id="9"/>
      <w:bookmarkEnd w:id="10"/>
      <w:bookmarkEnd w:id="11"/>
      <w:r>
        <w:rPr>
          <w:rFonts w:hint="eastAsia" w:ascii="方正小标宋简体" w:hAnsi="宋体" w:eastAsia="方正小标宋简体"/>
          <w:color w:val="000000"/>
          <w:sz w:val="72"/>
          <w:szCs w:val="72"/>
        </w:rPr>
        <w:t>部门决算</w:t>
      </w:r>
      <w:bookmarkEnd w:id="1"/>
      <w:bookmarkEnd w:id="2"/>
      <w:bookmarkEnd w:id="3"/>
      <w:bookmarkEnd w:id="4"/>
      <w:bookmarkEnd w:id="5"/>
      <w:bookmarkEnd w:id="6"/>
    </w:p>
    <w:p>
      <w:pPr>
        <w:widowControl/>
        <w:spacing w:line="360" w:lineRule="auto"/>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spacing w:line="360" w:lineRule="auto"/>
        <w:jc w:val="center"/>
        <w:rPr>
          <w:rFonts w:ascii="黑体" w:hAnsi="黑体" w:eastAsia="黑体" w:cstheme="minorBidi"/>
          <w:sz w:val="28"/>
          <w:szCs w:val="28"/>
        </w:rPr>
      </w:pPr>
    </w:p>
    <w:p>
      <w:pPr>
        <w:pStyle w:val="10"/>
        <w:spacing w:before="0" w:line="360" w:lineRule="auto"/>
      </w:pPr>
      <w:r>
        <w:rPr>
          <w:rFonts w:hint="eastAsia"/>
        </w:rPr>
        <w:t>公开时间：2022年10月26日</w:t>
      </w:r>
    </w:p>
    <w:p>
      <w:pPr>
        <w:spacing w:line="360" w:lineRule="auto"/>
      </w:pPr>
    </w:p>
    <w:p>
      <w:pPr>
        <w:pStyle w:val="10"/>
        <w:adjustRightInd w:val="0"/>
        <w:snapToGrid w:val="0"/>
        <w:spacing w:before="0" w:line="360" w:lineRule="auto"/>
        <w:jc w:val="left"/>
        <w:rPr>
          <w:rFonts w:cstheme="minorBidi"/>
          <w:sz w:val="24"/>
          <w:szCs w:val="24"/>
        </w:rPr>
      </w:pPr>
      <w:r>
        <w:rPr>
          <w:rFonts w:hint="eastAsia"/>
          <w:sz w:val="24"/>
        </w:rPr>
        <w:t>第一部分部门概况</w:t>
      </w:r>
      <w:r>
        <w:rPr>
          <w:rFonts w:hint="eastAsia" w:ascii="Times New Roman" w:hAnsi="Times New Roman" w:eastAsia="宋体"/>
          <w:sz w:val="24"/>
          <w:szCs w:val="24"/>
        </w:rPr>
        <w:t>.........................................................................................4</w:t>
      </w:r>
    </w:p>
    <w:p>
      <w:pPr>
        <w:pStyle w:val="11"/>
        <w:adjustRightInd w:val="0"/>
        <w:snapToGrid w:val="0"/>
        <w:spacing w:line="360" w:lineRule="auto"/>
        <w:jc w:val="left"/>
        <w:rPr>
          <w:rFonts w:ascii="仿宋" w:hAnsi="仿宋" w:eastAsia="仿宋"/>
          <w:sz w:val="24"/>
        </w:rPr>
      </w:pPr>
      <w:r>
        <w:rPr>
          <w:rFonts w:hint="eastAsia"/>
          <w:sz w:val="24"/>
        </w:rPr>
        <w:t>一、基本职能及主要工作........................................................................4</w:t>
      </w:r>
    </w:p>
    <w:p>
      <w:pPr>
        <w:pStyle w:val="11"/>
        <w:adjustRightInd w:val="0"/>
        <w:snapToGrid w:val="0"/>
        <w:spacing w:line="360" w:lineRule="auto"/>
        <w:jc w:val="left"/>
        <w:rPr>
          <w:rFonts w:ascii="仿宋" w:hAnsi="仿宋" w:eastAsia="仿宋" w:cstheme="minorBidi"/>
          <w:sz w:val="24"/>
        </w:rPr>
      </w:pPr>
      <w:r>
        <w:rPr>
          <w:rFonts w:hint="eastAsia"/>
          <w:sz w:val="24"/>
        </w:rPr>
        <w:t>二、机构设置............................................................................................5</w:t>
      </w:r>
    </w:p>
    <w:p>
      <w:pPr>
        <w:pStyle w:val="10"/>
        <w:adjustRightInd w:val="0"/>
        <w:snapToGrid w:val="0"/>
        <w:spacing w:before="0" w:line="360" w:lineRule="auto"/>
        <w:jc w:val="left"/>
        <w:rPr>
          <w:sz w:val="24"/>
          <w:szCs w:val="24"/>
        </w:rPr>
      </w:pPr>
      <w:r>
        <w:rPr>
          <w:rFonts w:hint="eastAsia"/>
          <w:sz w:val="24"/>
        </w:rPr>
        <w:t>第二部分 2021度部门决算情况说明</w:t>
      </w:r>
      <w:r>
        <w:rPr>
          <w:rFonts w:hint="eastAsia" w:ascii="Times New Roman" w:hAnsi="Times New Roman" w:eastAsia="宋体"/>
          <w:sz w:val="24"/>
          <w:szCs w:val="24"/>
        </w:rPr>
        <w:t>............................................................7</w:t>
      </w:r>
    </w:p>
    <w:p>
      <w:pPr>
        <w:pStyle w:val="11"/>
        <w:adjustRightInd w:val="0"/>
        <w:snapToGrid w:val="0"/>
        <w:spacing w:line="360" w:lineRule="auto"/>
        <w:jc w:val="left"/>
        <w:rPr>
          <w:sz w:val="24"/>
        </w:rPr>
      </w:pPr>
      <w:r>
        <w:rPr>
          <w:rFonts w:hint="eastAsia"/>
          <w:sz w:val="24"/>
        </w:rPr>
        <w:t>一、收入支出决算总体情况说明............................................................7</w:t>
      </w:r>
    </w:p>
    <w:p>
      <w:pPr>
        <w:pStyle w:val="11"/>
        <w:adjustRightInd w:val="0"/>
        <w:snapToGrid w:val="0"/>
        <w:spacing w:line="360" w:lineRule="auto"/>
        <w:jc w:val="left"/>
        <w:rPr>
          <w:sz w:val="24"/>
        </w:rPr>
      </w:pPr>
      <w:r>
        <w:rPr>
          <w:rFonts w:hint="eastAsia"/>
          <w:sz w:val="24"/>
        </w:rPr>
        <w:t>二、收入决算情况说明............................................................................7</w:t>
      </w:r>
    </w:p>
    <w:p>
      <w:pPr>
        <w:pStyle w:val="11"/>
        <w:adjustRightInd w:val="0"/>
        <w:snapToGrid w:val="0"/>
        <w:spacing w:line="360" w:lineRule="auto"/>
        <w:jc w:val="left"/>
        <w:rPr>
          <w:sz w:val="24"/>
        </w:rPr>
      </w:pPr>
      <w:r>
        <w:rPr>
          <w:rFonts w:hint="eastAsia"/>
          <w:sz w:val="24"/>
        </w:rPr>
        <w:t>三、支出决算情况说明............................................................................8</w:t>
      </w:r>
    </w:p>
    <w:p>
      <w:pPr>
        <w:pStyle w:val="11"/>
        <w:adjustRightInd w:val="0"/>
        <w:snapToGrid w:val="0"/>
        <w:spacing w:line="360" w:lineRule="auto"/>
        <w:jc w:val="left"/>
        <w:rPr>
          <w:sz w:val="24"/>
        </w:rPr>
      </w:pPr>
      <w:r>
        <w:rPr>
          <w:rFonts w:hint="eastAsia"/>
          <w:sz w:val="24"/>
        </w:rPr>
        <w:t>四、财政拨款收入支出决算总体情况说明............................................8</w:t>
      </w:r>
    </w:p>
    <w:p>
      <w:pPr>
        <w:pStyle w:val="11"/>
        <w:adjustRightInd w:val="0"/>
        <w:snapToGrid w:val="0"/>
        <w:spacing w:line="360" w:lineRule="auto"/>
        <w:jc w:val="left"/>
        <w:rPr>
          <w:sz w:val="24"/>
        </w:rPr>
      </w:pPr>
      <w:r>
        <w:rPr>
          <w:rFonts w:hint="eastAsia"/>
          <w:sz w:val="24"/>
        </w:rPr>
        <w:t>五、一般公共预算财政拨款支出决算情况说明....................................9</w:t>
      </w:r>
    </w:p>
    <w:p>
      <w:pPr>
        <w:pStyle w:val="11"/>
        <w:adjustRightInd w:val="0"/>
        <w:snapToGrid w:val="0"/>
        <w:spacing w:line="360" w:lineRule="auto"/>
        <w:jc w:val="left"/>
        <w:rPr>
          <w:sz w:val="24"/>
        </w:rPr>
      </w:pPr>
      <w:r>
        <w:rPr>
          <w:rFonts w:hint="eastAsia"/>
          <w:sz w:val="24"/>
        </w:rPr>
        <w:t>六、一般公共预算财政拨款基本支出决算情况说明..........................12</w:t>
      </w:r>
    </w:p>
    <w:p>
      <w:pPr>
        <w:pStyle w:val="11"/>
        <w:adjustRightInd w:val="0"/>
        <w:snapToGrid w:val="0"/>
        <w:spacing w:line="360" w:lineRule="auto"/>
        <w:jc w:val="left"/>
        <w:rPr>
          <w:sz w:val="24"/>
        </w:rPr>
      </w:pPr>
      <w:r>
        <w:rPr>
          <w:rFonts w:hint="eastAsia"/>
          <w:sz w:val="24"/>
        </w:rPr>
        <w:t>七、“三公”经费财政拨款支出决算情况说明..................................13</w:t>
      </w:r>
    </w:p>
    <w:p>
      <w:pPr>
        <w:pStyle w:val="11"/>
        <w:adjustRightInd w:val="0"/>
        <w:snapToGrid w:val="0"/>
        <w:spacing w:line="360" w:lineRule="auto"/>
        <w:jc w:val="left"/>
        <w:rPr>
          <w:sz w:val="24"/>
        </w:rPr>
      </w:pPr>
      <w:r>
        <w:rPr>
          <w:rFonts w:hint="eastAsia"/>
          <w:sz w:val="24"/>
        </w:rPr>
        <w:t>八、政府性基金预算支出决算情况说明..............................................14</w:t>
      </w:r>
    </w:p>
    <w:p>
      <w:pPr>
        <w:pStyle w:val="11"/>
        <w:adjustRightInd w:val="0"/>
        <w:snapToGrid w:val="0"/>
        <w:spacing w:line="360" w:lineRule="auto"/>
        <w:jc w:val="left"/>
        <w:rPr>
          <w:sz w:val="24"/>
        </w:rPr>
      </w:pPr>
      <w:r>
        <w:rPr>
          <w:rFonts w:hint="eastAsia"/>
          <w:sz w:val="24"/>
        </w:rPr>
        <w:t>九、 国有资本经营预算支出决算情况说明........................................14</w:t>
      </w:r>
    </w:p>
    <w:p>
      <w:pPr>
        <w:pStyle w:val="11"/>
        <w:adjustRightInd w:val="0"/>
        <w:snapToGrid w:val="0"/>
        <w:spacing w:line="360" w:lineRule="auto"/>
        <w:jc w:val="left"/>
        <w:rPr>
          <w:rFonts w:ascii="仿宋" w:hAnsi="仿宋" w:eastAsia="仿宋" w:cstheme="minorBidi"/>
          <w:sz w:val="24"/>
        </w:rPr>
      </w:pPr>
      <w:r>
        <w:rPr>
          <w:rFonts w:hint="eastAsia"/>
          <w:sz w:val="24"/>
        </w:rPr>
        <w:t>十、其他重要事项的情况说明..............................................................15</w:t>
      </w:r>
    </w:p>
    <w:p>
      <w:pPr>
        <w:pStyle w:val="10"/>
        <w:adjustRightInd w:val="0"/>
        <w:snapToGrid w:val="0"/>
        <w:spacing w:before="0" w:line="360" w:lineRule="auto"/>
        <w:jc w:val="left"/>
        <w:rPr>
          <w:rFonts w:cstheme="minorBidi"/>
          <w:sz w:val="24"/>
          <w:szCs w:val="24"/>
        </w:rPr>
      </w:pPr>
      <w:r>
        <w:rPr>
          <w:rFonts w:hint="eastAsia"/>
          <w:sz w:val="24"/>
        </w:rPr>
        <w:t>第三部分名词解释</w:t>
      </w:r>
      <w:r>
        <w:rPr>
          <w:rFonts w:hint="eastAsia" w:ascii="Times New Roman" w:hAnsi="Times New Roman" w:eastAsia="宋体"/>
          <w:sz w:val="24"/>
          <w:szCs w:val="24"/>
        </w:rPr>
        <w:t>.......................................................................................21</w:t>
      </w:r>
    </w:p>
    <w:p>
      <w:pPr>
        <w:pStyle w:val="10"/>
        <w:adjustRightInd w:val="0"/>
        <w:snapToGrid w:val="0"/>
        <w:spacing w:before="0" w:line="360" w:lineRule="auto"/>
        <w:jc w:val="left"/>
        <w:rPr>
          <w:rFonts w:cstheme="minorBidi"/>
          <w:sz w:val="24"/>
          <w:szCs w:val="24"/>
        </w:rPr>
      </w:pPr>
      <w:r>
        <w:rPr>
          <w:rFonts w:hint="eastAsia"/>
          <w:sz w:val="24"/>
        </w:rPr>
        <w:t>第四部分附件</w:t>
      </w:r>
      <w:r>
        <w:rPr>
          <w:rFonts w:hint="eastAsia" w:ascii="Times New Roman" w:hAnsi="Times New Roman" w:eastAsia="宋体"/>
          <w:sz w:val="24"/>
          <w:szCs w:val="24"/>
        </w:rPr>
        <w:t>...............................................................................................23</w:t>
      </w:r>
    </w:p>
    <w:p>
      <w:pPr>
        <w:pStyle w:val="11"/>
        <w:adjustRightInd w:val="0"/>
        <w:snapToGrid w:val="0"/>
        <w:spacing w:line="360" w:lineRule="auto"/>
        <w:jc w:val="left"/>
        <w:rPr>
          <w:rFonts w:ascii="仿宋" w:hAnsi="仿宋" w:eastAsia="仿宋" w:cstheme="minorBidi"/>
          <w:sz w:val="24"/>
        </w:rPr>
      </w:pPr>
      <w:r>
        <w:rPr>
          <w:rFonts w:hint="eastAsia"/>
          <w:sz w:val="24"/>
        </w:rPr>
        <w:t>附件</w:t>
      </w:r>
      <w:r>
        <w:rPr>
          <w:sz w:val="24"/>
        </w:rPr>
        <w:t>1</w:t>
      </w:r>
      <w:r>
        <w:rPr>
          <w:rFonts w:hint="eastAsia" w:ascii="仿宋" w:hAnsi="仿宋" w:eastAsia="仿宋" w:cs="仿宋"/>
          <w:color w:val="000000"/>
          <w:kern w:val="0"/>
          <w:sz w:val="24"/>
        </w:rPr>
        <w:t>部门</w:t>
      </w:r>
      <w:r>
        <w:rPr>
          <w:rFonts w:hint="eastAsia" w:ascii="仿宋" w:hAnsi="仿宋" w:eastAsia="仿宋" w:cs="仿宋"/>
          <w:color w:val="000000"/>
          <w:kern w:val="0"/>
          <w:sz w:val="24"/>
          <w:lang w:val="zh-CN"/>
        </w:rPr>
        <w:t>整体支出绩效评价报告</w:t>
      </w:r>
      <w:r>
        <w:rPr>
          <w:rFonts w:hint="eastAsia"/>
          <w:sz w:val="24"/>
        </w:rPr>
        <w:t>......................................................23</w:t>
      </w:r>
    </w:p>
    <w:p>
      <w:pPr>
        <w:spacing w:line="360" w:lineRule="auto"/>
        <w:ind w:firstLine="480" w:firstLineChars="200"/>
        <w:rPr>
          <w:rFonts w:ascii="仿宋" w:hAnsi="仿宋" w:eastAsia="仿宋" w:cstheme="minorBidi"/>
          <w:sz w:val="24"/>
        </w:rPr>
      </w:pPr>
      <w:r>
        <w:rPr>
          <w:rFonts w:hint="eastAsia"/>
          <w:sz w:val="24"/>
        </w:rPr>
        <w:t>附件</w:t>
      </w:r>
      <w:r>
        <w:rPr>
          <w:sz w:val="24"/>
        </w:rPr>
        <w:t>2</w:t>
      </w:r>
      <w:r>
        <w:rPr>
          <w:rFonts w:hint="eastAsia"/>
          <w:sz w:val="24"/>
        </w:rPr>
        <w:t>.</w:t>
      </w:r>
      <w:r>
        <w:rPr>
          <w:rFonts w:hint="eastAsia" w:ascii="仿宋" w:hAnsi="仿宋" w:eastAsia="仿宋" w:cs="仿宋"/>
          <w:color w:val="000000"/>
          <w:kern w:val="0"/>
          <w:sz w:val="24"/>
          <w:lang w:val="zh-CN"/>
        </w:rPr>
        <w:t>警务辅助人员人包干经费项目绩效评价报告</w:t>
      </w:r>
      <w:r>
        <w:rPr>
          <w:rFonts w:hint="eastAsia"/>
          <w:sz w:val="24"/>
        </w:rPr>
        <w:t>.........................31</w:t>
      </w:r>
    </w:p>
    <w:p>
      <w:pPr>
        <w:pStyle w:val="10"/>
        <w:adjustRightInd w:val="0"/>
        <w:snapToGrid w:val="0"/>
        <w:spacing w:before="0" w:line="360" w:lineRule="auto"/>
        <w:jc w:val="left"/>
        <w:rPr>
          <w:rFonts w:cstheme="minorBidi"/>
          <w:sz w:val="24"/>
          <w:szCs w:val="24"/>
        </w:rPr>
      </w:pPr>
      <w:r>
        <w:rPr>
          <w:rFonts w:hint="eastAsia"/>
          <w:sz w:val="24"/>
        </w:rPr>
        <w:t>第五部分附表</w:t>
      </w:r>
      <w:r>
        <w:rPr>
          <w:rFonts w:hint="eastAsia" w:ascii="Times New Roman" w:hAnsi="Times New Roman" w:eastAsia="宋体"/>
          <w:sz w:val="24"/>
          <w:szCs w:val="24"/>
        </w:rPr>
        <w:t>...............................................................................................35</w:t>
      </w:r>
    </w:p>
    <w:p>
      <w:pPr>
        <w:pStyle w:val="11"/>
        <w:adjustRightInd w:val="0"/>
        <w:snapToGrid w:val="0"/>
        <w:spacing w:line="360" w:lineRule="auto"/>
        <w:jc w:val="left"/>
        <w:rPr>
          <w:sz w:val="24"/>
        </w:rPr>
      </w:pPr>
      <w:r>
        <w:rPr>
          <w:rFonts w:hint="eastAsia"/>
          <w:sz w:val="24"/>
        </w:rPr>
        <w:t>一、收入支出决算总表..........................................................................35</w:t>
      </w:r>
    </w:p>
    <w:p>
      <w:pPr>
        <w:pStyle w:val="11"/>
        <w:adjustRightInd w:val="0"/>
        <w:snapToGrid w:val="0"/>
        <w:spacing w:line="360" w:lineRule="auto"/>
        <w:jc w:val="left"/>
        <w:rPr>
          <w:sz w:val="24"/>
        </w:rPr>
      </w:pPr>
      <w:r>
        <w:rPr>
          <w:rFonts w:hint="eastAsia"/>
          <w:sz w:val="24"/>
        </w:rPr>
        <w:t>二、收入决算表......................................................................................35</w:t>
      </w:r>
    </w:p>
    <w:p>
      <w:pPr>
        <w:pStyle w:val="11"/>
        <w:adjustRightInd w:val="0"/>
        <w:snapToGrid w:val="0"/>
        <w:spacing w:line="360" w:lineRule="auto"/>
        <w:jc w:val="left"/>
        <w:rPr>
          <w:sz w:val="24"/>
        </w:rPr>
      </w:pPr>
      <w:r>
        <w:rPr>
          <w:rFonts w:hint="eastAsia"/>
          <w:sz w:val="24"/>
        </w:rPr>
        <w:t>三、支出决算表......................................................................................35</w:t>
      </w:r>
    </w:p>
    <w:p>
      <w:pPr>
        <w:pStyle w:val="11"/>
        <w:adjustRightInd w:val="0"/>
        <w:snapToGrid w:val="0"/>
        <w:spacing w:line="360" w:lineRule="auto"/>
        <w:jc w:val="left"/>
        <w:rPr>
          <w:sz w:val="24"/>
        </w:rPr>
      </w:pPr>
      <w:r>
        <w:rPr>
          <w:rFonts w:hint="eastAsia"/>
          <w:sz w:val="24"/>
        </w:rPr>
        <w:t>四、财政拨款收入支出决算总表..........................................................35</w:t>
      </w:r>
    </w:p>
    <w:p>
      <w:pPr>
        <w:pStyle w:val="11"/>
        <w:adjustRightInd w:val="0"/>
        <w:snapToGrid w:val="0"/>
        <w:spacing w:line="360" w:lineRule="auto"/>
        <w:jc w:val="left"/>
        <w:rPr>
          <w:sz w:val="24"/>
        </w:rPr>
      </w:pPr>
      <w:r>
        <w:rPr>
          <w:rFonts w:hint="eastAsia"/>
          <w:sz w:val="24"/>
        </w:rPr>
        <w:t>五、财政拨款支出决算明细表..............................................................35</w:t>
      </w:r>
    </w:p>
    <w:p>
      <w:pPr>
        <w:pStyle w:val="11"/>
        <w:adjustRightInd w:val="0"/>
        <w:snapToGrid w:val="0"/>
        <w:spacing w:line="360" w:lineRule="auto"/>
        <w:jc w:val="left"/>
        <w:rPr>
          <w:sz w:val="24"/>
        </w:rPr>
      </w:pPr>
      <w:r>
        <w:rPr>
          <w:rFonts w:hint="eastAsia"/>
          <w:sz w:val="24"/>
        </w:rPr>
        <w:t>六、一般公共预算财政拨款支出决算表..............................................35</w:t>
      </w:r>
    </w:p>
    <w:p>
      <w:pPr>
        <w:pStyle w:val="11"/>
        <w:adjustRightInd w:val="0"/>
        <w:snapToGrid w:val="0"/>
        <w:spacing w:line="360" w:lineRule="auto"/>
        <w:jc w:val="left"/>
        <w:rPr>
          <w:sz w:val="24"/>
        </w:rPr>
      </w:pPr>
      <w:r>
        <w:rPr>
          <w:rFonts w:hint="eastAsia"/>
          <w:sz w:val="24"/>
        </w:rPr>
        <w:t>七、一般公共预算财政拨款支出决算明细表.......................................35</w:t>
      </w:r>
    </w:p>
    <w:p>
      <w:pPr>
        <w:pStyle w:val="11"/>
        <w:adjustRightInd w:val="0"/>
        <w:snapToGrid w:val="0"/>
        <w:spacing w:line="360" w:lineRule="auto"/>
        <w:jc w:val="left"/>
        <w:rPr>
          <w:sz w:val="24"/>
        </w:rPr>
      </w:pPr>
      <w:r>
        <w:rPr>
          <w:rFonts w:hint="eastAsia"/>
          <w:sz w:val="24"/>
        </w:rPr>
        <w:t>八、一般公共预算财政拨款基本支出决算表.......................................35</w:t>
      </w:r>
    </w:p>
    <w:p>
      <w:pPr>
        <w:pStyle w:val="11"/>
        <w:adjustRightInd w:val="0"/>
        <w:snapToGrid w:val="0"/>
        <w:spacing w:line="360" w:lineRule="auto"/>
        <w:jc w:val="left"/>
        <w:rPr>
          <w:sz w:val="24"/>
        </w:rPr>
      </w:pPr>
      <w:r>
        <w:rPr>
          <w:rFonts w:hint="eastAsia"/>
          <w:sz w:val="24"/>
        </w:rPr>
        <w:t>九、一般公共预算财政拨款项目支出决算表.......................................35</w:t>
      </w:r>
    </w:p>
    <w:p>
      <w:pPr>
        <w:pStyle w:val="11"/>
        <w:adjustRightInd w:val="0"/>
        <w:snapToGrid w:val="0"/>
        <w:spacing w:line="360" w:lineRule="auto"/>
        <w:jc w:val="left"/>
        <w:rPr>
          <w:sz w:val="24"/>
        </w:rPr>
      </w:pPr>
      <w:r>
        <w:rPr>
          <w:rFonts w:hint="eastAsia"/>
          <w:sz w:val="24"/>
        </w:rPr>
        <w:t>十、一般公共预算财政拨款“三公”经费支出决算表.......................35</w:t>
      </w:r>
    </w:p>
    <w:p>
      <w:pPr>
        <w:pStyle w:val="11"/>
        <w:adjustRightInd w:val="0"/>
        <w:snapToGrid w:val="0"/>
        <w:spacing w:line="360" w:lineRule="auto"/>
        <w:jc w:val="left"/>
        <w:rPr>
          <w:sz w:val="24"/>
        </w:rPr>
      </w:pPr>
      <w:r>
        <w:rPr>
          <w:rFonts w:hint="eastAsia"/>
          <w:sz w:val="24"/>
        </w:rPr>
        <w:t>十一、政府性基金预算财政拨款收入支出决算表...............................35</w:t>
      </w:r>
    </w:p>
    <w:p>
      <w:pPr>
        <w:pStyle w:val="11"/>
        <w:adjustRightInd w:val="0"/>
        <w:snapToGrid w:val="0"/>
        <w:spacing w:line="360" w:lineRule="auto"/>
        <w:jc w:val="left"/>
        <w:rPr>
          <w:sz w:val="24"/>
        </w:rPr>
      </w:pPr>
      <w:r>
        <w:rPr>
          <w:rFonts w:hint="eastAsia"/>
          <w:sz w:val="24"/>
        </w:rPr>
        <w:t>十二、政府性基金预算财政拨款“三公”经费支出决算表...............35</w:t>
      </w:r>
    </w:p>
    <w:p>
      <w:pPr>
        <w:pStyle w:val="11"/>
        <w:adjustRightInd w:val="0"/>
        <w:snapToGrid w:val="0"/>
        <w:spacing w:line="360" w:lineRule="auto"/>
        <w:jc w:val="left"/>
        <w:rPr>
          <w:sz w:val="24"/>
        </w:rPr>
      </w:pPr>
      <w:r>
        <w:rPr>
          <w:rFonts w:hint="eastAsia"/>
          <w:sz w:val="24"/>
        </w:rPr>
        <w:t>十三、国有资本经营预算财政拨款收入支出决算表...........................35</w:t>
      </w:r>
    </w:p>
    <w:p>
      <w:pPr>
        <w:pStyle w:val="11"/>
        <w:adjustRightInd w:val="0"/>
        <w:snapToGrid w:val="0"/>
        <w:spacing w:line="360" w:lineRule="auto"/>
        <w:jc w:val="left"/>
        <w:rPr>
          <w:sz w:val="24"/>
        </w:rPr>
      </w:pPr>
      <w:r>
        <w:rPr>
          <w:rFonts w:hint="eastAsia"/>
          <w:sz w:val="24"/>
        </w:rPr>
        <w:t>十四、国有资本经营预算财政拨款支出决算表...................................35</w:t>
      </w:r>
    </w:p>
    <w:p>
      <w:pPr>
        <w:pStyle w:val="11"/>
        <w:adjustRightInd w:val="0"/>
        <w:snapToGrid w:val="0"/>
        <w:spacing w:line="360" w:lineRule="auto"/>
        <w:jc w:val="left"/>
        <w:rPr>
          <w:sz w:val="24"/>
        </w:rPr>
      </w:pPr>
      <w:r>
        <w:rPr>
          <w:rFonts w:hint="eastAsia"/>
          <w:sz w:val="24"/>
        </w:rPr>
        <w:t>十五、机关运行经费、资产占用情况及政府采购支出信息表...........35</w:t>
      </w:r>
    </w:p>
    <w:p>
      <w:pPr>
        <w:pStyle w:val="11"/>
        <w:adjustRightInd w:val="0"/>
        <w:snapToGrid w:val="0"/>
        <w:spacing w:line="360" w:lineRule="auto"/>
        <w:jc w:val="left"/>
        <w:rPr>
          <w:sz w:val="24"/>
        </w:rPr>
      </w:pPr>
    </w:p>
    <w:p>
      <w:pPr>
        <w:widowControl/>
        <w:spacing w:line="360" w:lineRule="auto"/>
        <w:jc w:val="left"/>
        <w:rPr>
          <w:rFonts w:ascii="黑体" w:hAnsi="黑体" w:eastAsia="黑体"/>
        </w:rPr>
      </w:pPr>
      <w:bookmarkStart w:id="12" w:name="_Toc15377196"/>
      <w:bookmarkStart w:id="13" w:name="_Toc15396599"/>
      <w:r>
        <w:rPr>
          <w:rFonts w:ascii="仿宋" w:hAnsi="仿宋" w:eastAsia="仿宋"/>
          <w:b/>
          <w:sz w:val="24"/>
        </w:rPr>
        <w:br w:type="page"/>
      </w:r>
    </w:p>
    <w:p>
      <w:pPr>
        <w:pStyle w:val="2"/>
        <w:spacing w:before="0" w:after="0" w:line="360" w:lineRule="auto"/>
        <w:jc w:val="center"/>
        <w:rPr>
          <w:rFonts w:ascii="黑体" w:hAnsi="黑体" w:eastAsia="黑体"/>
          <w:b w:val="0"/>
          <w:color w:val="00000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bookmarkStart w:id="14" w:name="_Toc15396600"/>
      <w:bookmarkStart w:id="15" w:name="_Toc15377197"/>
    </w:p>
    <w:p/>
    <w:p>
      <w:pPr>
        <w:pStyle w:val="3"/>
        <w:spacing w:before="0" w:after="0" w:line="560" w:lineRule="exact"/>
        <w:rPr>
          <w:rStyle w:val="25"/>
          <w:rFonts w:ascii="仿宋" w:hAnsi="仿宋" w:eastAsia="仿宋"/>
          <w:b w:val="0"/>
          <w:bCs w:val="0"/>
        </w:rPr>
      </w:pPr>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Lines="0" w:line="560" w:lineRule="exact"/>
        <w:ind w:firstLine="672" w:firstLineChars="210"/>
        <w:outlineLvl w:val="2"/>
        <w:rPr>
          <w:rFonts w:ascii="楷体" w:hAnsi="楷体" w:eastAsia="楷体" w:cs="楷体"/>
          <w:bCs/>
          <w:color w:val="000000"/>
          <w:sz w:val="32"/>
          <w:szCs w:val="32"/>
        </w:rPr>
      </w:pPr>
      <w:bookmarkStart w:id="16" w:name="_Toc15377198"/>
      <w:bookmarkStart w:id="17" w:name="_Toc15378445"/>
      <w:r>
        <w:rPr>
          <w:rFonts w:hint="eastAsia" w:ascii="楷体" w:hAnsi="楷体" w:eastAsia="楷体" w:cs="楷体"/>
          <w:bCs/>
          <w:color w:val="000000"/>
          <w:sz w:val="32"/>
          <w:szCs w:val="32"/>
        </w:rPr>
        <w:t>（一）主要职能。</w:t>
      </w:r>
      <w:bookmarkEnd w:id="16"/>
      <w:bookmarkEnd w:id="17"/>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米易县公安局本级是一级预算单位。其主要职责：</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bookmarkStart w:id="18" w:name="_Toc15377199"/>
      <w:bookmarkStart w:id="19" w:name="_Toc15378446"/>
      <w:r>
        <w:rPr>
          <w:rFonts w:hint="eastAsia" w:ascii="仿宋_GB2312" w:hAnsi="楷体" w:eastAsia="仿宋_GB2312"/>
          <w:color w:val="000000"/>
          <w:kern w:val="0"/>
          <w:sz w:val="32"/>
          <w:szCs w:val="32"/>
        </w:rPr>
        <w:t>1.预防、制止和侦查违法犯罪活动；</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2.维护社会治安秩序，制止危害社会治安秩序的行为；</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3.维护交通安全和交通秩序，处理交通事故；</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4.组织、实施消防工作，实行消防监督；</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5.管理枪支弹药、管制刀具和易燃易爆、剧毒、放射性等危险物品；</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6.对法律、法规规定的特种行业进行管理；</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7.警卫国家规定的特定人员，守卫重要的场所和设施；</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8.管理集会、游行、示威活动；</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9.管理户政、国籍、入境出境事务和外国人在中国境内居留、旅行的有关事务；</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10.对被判处管制、拘役、剥夺政治权利的罪犯和监外执行的罪犯执行刑罚，对被宣告缓刑、假释的罪犯实行监督、考察；</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11.监督管理计算机信息系统的安全保护工作；</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12.指导和监督国家机关、社会团体、企业事业组织和重点建设工程的治安保卫工作，指导治安保卫委员会等群众性组织的治安防范工作；</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13.法律、法规规定的其他职责。</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14.承办上级公安机关和县委、县政府交办的其它工作。</w:t>
      </w:r>
    </w:p>
    <w:p>
      <w:pPr>
        <w:pStyle w:val="5"/>
        <w:adjustRightInd w:val="0"/>
        <w:snapToGrid w:val="0"/>
        <w:spacing w:beforeLines="0" w:line="560" w:lineRule="exact"/>
        <w:ind w:firstLine="672" w:firstLineChars="210"/>
        <w:outlineLvl w:val="2"/>
        <w:rPr>
          <w:rFonts w:ascii="楷体" w:hAnsi="楷体" w:eastAsia="楷体" w:cs="楷体"/>
          <w:bCs/>
          <w:color w:val="000000"/>
          <w:sz w:val="32"/>
          <w:szCs w:val="32"/>
        </w:rPr>
      </w:pPr>
      <w:r>
        <w:rPr>
          <w:rFonts w:hint="eastAsia" w:ascii="楷体" w:hAnsi="楷体" w:eastAsia="楷体" w:cs="楷体"/>
          <w:bCs/>
          <w:color w:val="000000"/>
          <w:sz w:val="32"/>
          <w:szCs w:val="32"/>
        </w:rPr>
        <w:t>（二）2021年重点工作完成情况。</w:t>
      </w:r>
      <w:bookmarkEnd w:id="18"/>
      <w:bookmarkEnd w:id="19"/>
    </w:p>
    <w:p>
      <w:pPr>
        <w:spacing w:line="560" w:lineRule="exact"/>
        <w:ind w:firstLine="640" w:firstLineChars="200"/>
        <w:rPr>
          <w:rFonts w:ascii="仿宋" w:hAnsi="仿宋" w:eastAsia="仿宋" w:cs="仿宋"/>
          <w:color w:val="000000"/>
          <w:sz w:val="32"/>
          <w:szCs w:val="32"/>
        </w:rPr>
      </w:pPr>
      <w:bookmarkStart w:id="20" w:name="_Toc15377204"/>
      <w:bookmarkStart w:id="21" w:name="_Toc15396602"/>
      <w:r>
        <w:rPr>
          <w:rFonts w:hint="eastAsia" w:ascii="仿宋" w:hAnsi="仿宋" w:eastAsia="仿宋" w:cs="仿宋"/>
          <w:color w:val="000000"/>
          <w:sz w:val="32"/>
          <w:szCs w:val="32"/>
        </w:rPr>
        <w:t>2021年，</w:t>
      </w:r>
      <w:r>
        <w:rPr>
          <w:rFonts w:eastAsia="仿宋_GB2312"/>
          <w:sz w:val="32"/>
          <w:szCs w:val="32"/>
        </w:rPr>
        <w:t>在市局和县委、县政府的坚强领导下，聚焦庆祝建党100周年安保维稳主线，统筹推进安保维稳、打击犯罪、治安管理、基础管控，不断深化执法规范化和队伍正规化建设，不断提升社会治安驾驭能力。</w:t>
      </w:r>
    </w:p>
    <w:p>
      <w:pPr>
        <w:numPr>
          <w:ilvl w:val="0"/>
          <w:numId w:val="1"/>
        </w:numPr>
        <w:spacing w:line="560" w:lineRule="exact"/>
        <w:ind w:firstLine="640" w:firstLineChars="200"/>
        <w:rPr>
          <w:rFonts w:ascii="仿宋_GB2312" w:eastAsia="仿宋_GB2312"/>
          <w:color w:val="000000"/>
          <w:sz w:val="32"/>
          <w:szCs w:val="32"/>
        </w:rPr>
      </w:pPr>
      <w:bookmarkStart w:id="22" w:name="_Toc15396601"/>
      <w:bookmarkStart w:id="23" w:name="_Toc15377200"/>
      <w:r>
        <w:rPr>
          <w:rFonts w:hint="eastAsia" w:ascii="楷体_GB2312" w:eastAsia="楷体_GB2312"/>
          <w:sz w:val="32"/>
          <w:szCs w:val="32"/>
        </w:rPr>
        <w:t>始终坚持政治建警、廉洁育警，队伍作风形象持续优化。</w:t>
      </w:r>
      <w:r>
        <w:rPr>
          <w:rFonts w:eastAsia="仿宋_GB2312"/>
          <w:b/>
          <w:sz w:val="32"/>
          <w:szCs w:val="32"/>
        </w:rPr>
        <w:t>一是坚持政治引领。</w:t>
      </w:r>
      <w:r>
        <w:rPr>
          <w:rFonts w:eastAsia="仿宋_GB2312"/>
          <w:sz w:val="32"/>
          <w:szCs w:val="32"/>
        </w:rPr>
        <w:t>始终</w:t>
      </w:r>
      <w:r>
        <w:rPr>
          <w:rFonts w:hint="eastAsia" w:ascii="仿宋_GB2312" w:eastAsia="仿宋_GB2312"/>
          <w:sz w:val="32"/>
          <w:szCs w:val="32"/>
        </w:rPr>
        <w:t>立心铸魂、坚决确保党中央决策部署落到实处、政令警令不打折扣</w:t>
      </w:r>
      <w:r>
        <w:rPr>
          <w:rFonts w:eastAsia="仿宋_GB2312"/>
          <w:sz w:val="32"/>
          <w:szCs w:val="32"/>
        </w:rPr>
        <w:t>。</w:t>
      </w:r>
      <w:r>
        <w:rPr>
          <w:rFonts w:eastAsia="仿宋_GB2312"/>
          <w:b/>
          <w:sz w:val="32"/>
          <w:szCs w:val="32"/>
        </w:rPr>
        <w:t>二是突出关键抓手。</w:t>
      </w:r>
      <w:r>
        <w:rPr>
          <w:rFonts w:eastAsia="仿宋_GB2312"/>
          <w:sz w:val="32"/>
          <w:szCs w:val="32"/>
        </w:rPr>
        <w:t>深入开展全国政法队伍教育整顿，采取集中学习、分组活动、网上课堂等形式，深化“政治教育、警示教育、英模教育、党史教育”四项教育，</w:t>
      </w:r>
      <w:r>
        <w:rPr>
          <w:rFonts w:hint="eastAsia" w:ascii="仿宋_GB2312" w:eastAsia="仿宋_GB2312"/>
          <w:sz w:val="32"/>
          <w:szCs w:val="32"/>
        </w:rPr>
        <w:t>进一步提升了民辅警凝聚力</w:t>
      </w:r>
      <w:r>
        <w:rPr>
          <w:rFonts w:eastAsia="仿宋_GB2312"/>
          <w:sz w:val="32"/>
          <w:szCs w:val="32"/>
        </w:rPr>
        <w:t>。</w:t>
      </w:r>
    </w:p>
    <w:p>
      <w:pPr>
        <w:spacing w:line="560" w:lineRule="exact"/>
        <w:ind w:firstLine="640" w:firstLineChars="200"/>
        <w:rPr>
          <w:rFonts w:ascii="仿宋_GB2312" w:eastAsia="仿宋_GB2312"/>
          <w:color w:val="000000"/>
          <w:sz w:val="32"/>
          <w:szCs w:val="32"/>
        </w:rPr>
      </w:pPr>
      <w:r>
        <w:rPr>
          <w:rFonts w:hint="eastAsia" w:ascii="楷体_GB2312" w:eastAsia="楷体_GB2312"/>
          <w:sz w:val="32"/>
          <w:szCs w:val="32"/>
        </w:rPr>
        <w:t>（二）紧紧围绕公安主业，多措并举、着力推进更高水平的“平安米易”建设。</w:t>
      </w:r>
      <w:r>
        <w:rPr>
          <w:rFonts w:eastAsia="仿宋_GB2312"/>
          <w:b/>
          <w:sz w:val="32"/>
          <w:szCs w:val="32"/>
        </w:rPr>
        <w:t>一是防范打击质效持续提升。</w:t>
      </w:r>
      <w:r>
        <w:rPr>
          <w:rFonts w:eastAsia="仿宋_GB2312"/>
          <w:sz w:val="32"/>
          <w:szCs w:val="32"/>
        </w:rPr>
        <w:t>建立扫黑除恶专项斗争长效机制，</w:t>
      </w:r>
      <w:r>
        <w:rPr>
          <w:rFonts w:hint="eastAsia" w:ascii="仿宋_GB2312" w:eastAsia="仿宋_GB2312"/>
          <w:sz w:val="32"/>
          <w:szCs w:val="32"/>
        </w:rPr>
        <w:t>统筹推进“断卡”“昆仑”“净</w:t>
      </w:r>
      <w:r>
        <w:rPr>
          <w:rFonts w:eastAsia="仿宋_GB2312"/>
          <w:sz w:val="32"/>
          <w:szCs w:val="32"/>
        </w:rPr>
        <w:t>边2021</w:t>
      </w:r>
      <w:r>
        <w:rPr>
          <w:rFonts w:hint="eastAsia" w:ascii="仿宋_GB2312" w:eastAsia="仿宋_GB2312"/>
          <w:sz w:val="32"/>
          <w:szCs w:val="32"/>
        </w:rPr>
        <w:t>”“护旗”系列等专项</w:t>
      </w:r>
      <w:r>
        <w:rPr>
          <w:rFonts w:eastAsia="仿宋_GB2312"/>
          <w:sz w:val="32"/>
          <w:szCs w:val="32"/>
        </w:rPr>
        <w:t>行动</w:t>
      </w:r>
      <w:r>
        <w:rPr>
          <w:rFonts w:hint="eastAsia" w:eastAsia="仿宋_GB2312"/>
          <w:sz w:val="32"/>
          <w:szCs w:val="32"/>
        </w:rPr>
        <w:t>。</w:t>
      </w:r>
      <w:r>
        <w:rPr>
          <w:rFonts w:eastAsia="仿宋_GB2312"/>
          <w:sz w:val="32"/>
          <w:szCs w:val="32"/>
        </w:rPr>
        <w:t>坚持“控点、巡线、保面”相结合，优化勤务布局，严格落实“1、3、5分钟”快反机制，最大限度屯警街面、动中备勤。</w:t>
      </w:r>
      <w:r>
        <w:rPr>
          <w:rFonts w:eastAsia="仿宋_GB2312"/>
          <w:b/>
          <w:sz w:val="32"/>
          <w:szCs w:val="32"/>
        </w:rPr>
        <w:t>二是守牢平安稳定底线。</w:t>
      </w:r>
      <w:r>
        <w:rPr>
          <w:rFonts w:eastAsia="仿宋_GB2312"/>
          <w:sz w:val="32"/>
          <w:szCs w:val="32"/>
        </w:rPr>
        <w:t>深化“两整治一排查”工作，持续推进寄递物流、危险物品、重点目标、公共交通等重点领域安全监管，联合相关部门开展常态检查、战时清查、动态整改和教育处罚，严防发生重特大和有影响的安全事故。</w:t>
      </w:r>
      <w:r>
        <w:rPr>
          <w:rFonts w:eastAsia="仿宋_GB2312"/>
          <w:b/>
          <w:sz w:val="32"/>
          <w:szCs w:val="32"/>
        </w:rPr>
        <w:t>三是基层治理不断夯实。</w:t>
      </w:r>
      <w:r>
        <w:rPr>
          <w:rFonts w:eastAsia="仿宋_GB2312"/>
          <w:sz w:val="32"/>
          <w:szCs w:val="32"/>
        </w:rPr>
        <w:t>大力加强和改进新时代基层基础工作，融入县域社会治理格局，</w:t>
      </w:r>
      <w:r>
        <w:rPr>
          <w:rFonts w:hint="eastAsia" w:ascii="仿宋_GB2312" w:eastAsia="仿宋_GB2312"/>
          <w:sz w:val="32"/>
          <w:szCs w:val="32"/>
        </w:rPr>
        <w:t>持续深化落实“一社区一警两辅警”“一村一辅警”实施，</w:t>
      </w:r>
      <w:r>
        <w:rPr>
          <w:rFonts w:eastAsia="仿宋_GB2312"/>
          <w:spacing w:val="-2"/>
          <w:sz w:val="32"/>
          <w:szCs w:val="32"/>
        </w:rPr>
        <w:t>为辖区治理提供有效的数据支撑。</w:t>
      </w:r>
    </w:p>
    <w:p>
      <w:pPr>
        <w:pageBreakBefore w:val="0"/>
        <w:kinsoku/>
        <w:wordWrap/>
        <w:overflowPunct/>
        <w:topLinePunct w:val="0"/>
        <w:autoSpaceDE/>
        <w:autoSpaceDN/>
        <w:bidi w:val="0"/>
        <w:spacing w:line="560" w:lineRule="exact"/>
        <w:ind w:firstLine="640" w:firstLineChars="200"/>
        <w:textAlignment w:val="auto"/>
        <w:rPr>
          <w:rFonts w:eastAsia="仿宋_GB2312"/>
          <w:sz w:val="32"/>
          <w:szCs w:val="32"/>
        </w:rPr>
      </w:pPr>
      <w:r>
        <w:rPr>
          <w:rFonts w:ascii="楷体_GB2312" w:eastAsia="楷体_GB2312"/>
          <w:sz w:val="32"/>
          <w:szCs w:val="32"/>
        </w:rPr>
        <w:t>（三）主动融入发展大局，积极作为、不断提升公安机关服务县域经济</w:t>
      </w:r>
      <w:r>
        <w:rPr>
          <w:rFonts w:hint="eastAsia" w:ascii="楷体_GB2312" w:eastAsia="楷体_GB2312"/>
          <w:sz w:val="32"/>
          <w:szCs w:val="32"/>
        </w:rPr>
        <w:t>发展“硬实力”。</w:t>
      </w:r>
      <w:r>
        <w:rPr>
          <w:rFonts w:eastAsia="仿宋_GB2312"/>
          <w:b/>
          <w:sz w:val="32"/>
          <w:szCs w:val="32"/>
        </w:rPr>
        <w:t>一是提升城市管理精细化。</w:t>
      </w:r>
      <w:r>
        <w:rPr>
          <w:rFonts w:hint="eastAsia" w:ascii="仿宋_GB2312" w:eastAsia="仿宋_GB2312"/>
          <w:sz w:val="32"/>
          <w:szCs w:val="32"/>
        </w:rPr>
        <w:t>以“全国文明城市”巩固提升工作为契机，大力开展“脏车治理”“行车秩序规范”“安全隐患排查”专项整治</w:t>
      </w:r>
      <w:r>
        <w:rPr>
          <w:rFonts w:eastAsia="仿宋_GB2312"/>
          <w:sz w:val="32"/>
          <w:szCs w:val="32"/>
        </w:rPr>
        <w:t>。</w:t>
      </w:r>
      <w:r>
        <w:rPr>
          <w:rFonts w:eastAsia="仿宋_GB2312"/>
          <w:b/>
          <w:sz w:val="32"/>
          <w:szCs w:val="32"/>
        </w:rPr>
        <w:t>二是打造营商环境新高地。</w:t>
      </w:r>
      <w:r>
        <w:rPr>
          <w:rFonts w:eastAsia="仿宋_GB2312"/>
          <w:sz w:val="32"/>
          <w:szCs w:val="32"/>
        </w:rPr>
        <w:t>再推服务民营企业健康发展20条</w:t>
      </w:r>
      <w:r>
        <w:rPr>
          <w:rFonts w:hint="eastAsia" w:ascii="仿宋_GB2312" w:eastAsia="仿宋_GB2312"/>
          <w:sz w:val="32"/>
          <w:szCs w:val="32"/>
        </w:rPr>
        <w:t>措施。</w:t>
      </w:r>
      <w:r>
        <w:rPr>
          <w:rFonts w:eastAsia="仿宋_GB2312"/>
          <w:sz w:val="32"/>
          <w:szCs w:val="32"/>
        </w:rPr>
        <w:t>在护航全县投身“中圈”建设中，</w:t>
      </w:r>
      <w:r>
        <w:rPr>
          <w:rFonts w:hint="eastAsia" w:ascii="仿宋_GB2312" w:eastAsia="仿宋_GB2312"/>
          <w:sz w:val="32"/>
          <w:szCs w:val="32"/>
        </w:rPr>
        <w:t>融入县委“十大行动”</w:t>
      </w:r>
      <w:r>
        <w:rPr>
          <w:rFonts w:eastAsia="仿宋_GB2312"/>
          <w:sz w:val="32"/>
          <w:szCs w:val="32"/>
        </w:rPr>
        <w:t>。</w:t>
      </w:r>
      <w:r>
        <w:rPr>
          <w:rFonts w:eastAsia="仿宋_GB2312"/>
          <w:b/>
          <w:sz w:val="32"/>
          <w:szCs w:val="32"/>
        </w:rPr>
        <w:t>三是全力打造执法服务品牌。</w:t>
      </w:r>
      <w:r>
        <w:rPr>
          <w:rFonts w:eastAsia="仿宋_GB2312"/>
          <w:sz w:val="32"/>
          <w:szCs w:val="32"/>
        </w:rPr>
        <w:t>深入推进窗口单位规范化建设，做强做实智能化服务。一体化执法办案中心在全市率先启动建设。</w:t>
      </w:r>
    </w:p>
    <w:p>
      <w:pPr>
        <w:pStyle w:val="3"/>
        <w:pageBreakBefore w:val="0"/>
        <w:kinsoku/>
        <w:wordWrap/>
        <w:overflowPunct/>
        <w:topLinePunct w:val="0"/>
        <w:autoSpaceDE/>
        <w:autoSpaceDN/>
        <w:bidi w:val="0"/>
        <w:spacing w:before="0" w:after="0"/>
        <w:textAlignment w:val="auto"/>
        <w:rPr>
          <w:rStyle w:val="30"/>
          <w:b w:val="0"/>
          <w:bCs w:val="0"/>
        </w:rPr>
      </w:pPr>
      <w:r>
        <w:rPr>
          <w:rFonts w:hint="eastAsia" w:ascii="黑体" w:eastAsia="黑体"/>
          <w:b w:val="0"/>
          <w:color w:val="000000"/>
        </w:rPr>
        <w:t>二、</w:t>
      </w:r>
      <w:r>
        <w:rPr>
          <w:rFonts w:hint="eastAsia" w:ascii="黑体" w:hAnsi="黑体" w:eastAsia="黑体"/>
          <w:b w:val="0"/>
          <w:color w:val="000000"/>
        </w:rPr>
        <w:t>机</w:t>
      </w:r>
      <w:r>
        <w:rPr>
          <w:rStyle w:val="30"/>
          <w:rFonts w:hint="eastAsia" w:ascii="黑体" w:hAnsi="黑体" w:eastAsia="黑体"/>
          <w:b w:val="0"/>
          <w:bCs w:val="0"/>
        </w:rPr>
        <w:t>构设置</w:t>
      </w:r>
      <w:bookmarkEnd w:id="22"/>
      <w:bookmarkEnd w:id="23"/>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米易县公安局下属二级单位0个。</w:t>
      </w:r>
    </w:p>
    <w:p>
      <w:pPr>
        <w:widowControl/>
        <w:adjustRightInd w:val="0"/>
        <w:snapToGrid w:val="0"/>
        <w:spacing w:line="560" w:lineRule="exact"/>
        <w:ind w:firstLine="640" w:firstLineChars="200"/>
        <w:contextualSpacing/>
        <w:jc w:val="left"/>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纳入米易县公安局2021年度部门决算编制范围的二级预算单位0个。</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米易县公安局有1</w:t>
      </w:r>
      <w:r>
        <w:rPr>
          <w:rFonts w:hint="eastAsia" w:ascii="仿宋_GB2312" w:hAnsi="宋体" w:eastAsia="仿宋_GB2312" w:cs="宋体"/>
          <w:color w:val="000000"/>
          <w:kern w:val="0"/>
          <w:sz w:val="32"/>
          <w:szCs w:val="32"/>
          <w:shd w:val="clear" w:color="auto" w:fill="FFFFFF"/>
        </w:rPr>
        <w:t>4</w:t>
      </w:r>
      <w:r>
        <w:rPr>
          <w:rFonts w:hint="eastAsia" w:ascii="仿宋_GB2312" w:hAnsi="宋体" w:eastAsia="仿宋_GB2312" w:cs="宋体"/>
          <w:color w:val="000000"/>
          <w:kern w:val="0"/>
          <w:sz w:val="32"/>
          <w:szCs w:val="32"/>
          <w:shd w:val="clear" w:color="auto" w:fill="FFFFFF"/>
          <w:lang w:val="zh-CN"/>
        </w:rPr>
        <w:t>个内设机构：指挥中心（办公室）、政工科、警务督察大队、警务保障室、禁毒缉毒大队、国内安全保卫大队、法制大队、治安管理大队、刑事侦查大队、经济犯罪侦查大队、</w:t>
      </w:r>
      <w:r>
        <w:rPr>
          <w:rFonts w:hint="eastAsia" w:ascii="仿宋_GB2312" w:hAnsi="宋体" w:eastAsia="仿宋_GB2312" w:cs="宋体"/>
          <w:color w:val="000000"/>
          <w:kern w:val="0"/>
          <w:sz w:val="32"/>
          <w:szCs w:val="32"/>
          <w:shd w:val="clear" w:color="auto" w:fill="FFFFFF"/>
        </w:rPr>
        <w:t>网络</w:t>
      </w:r>
      <w:r>
        <w:rPr>
          <w:rFonts w:hint="eastAsia" w:ascii="仿宋_GB2312" w:hAnsi="宋体" w:eastAsia="仿宋_GB2312" w:cs="宋体"/>
          <w:color w:val="000000"/>
          <w:kern w:val="0"/>
          <w:sz w:val="32"/>
          <w:szCs w:val="32"/>
          <w:shd w:val="clear" w:color="auto" w:fill="FFFFFF"/>
          <w:lang w:val="zh-CN"/>
        </w:rPr>
        <w:t>安全保卫和情报信息大队、交通警察大队、特巡警大队、</w:t>
      </w:r>
      <w:r>
        <w:rPr>
          <w:rFonts w:hint="eastAsia" w:ascii="仿宋_GB2312" w:hAnsi="宋体" w:eastAsia="仿宋_GB2312" w:cs="宋体"/>
          <w:color w:val="000000"/>
          <w:kern w:val="0"/>
          <w:sz w:val="32"/>
          <w:szCs w:val="32"/>
          <w:shd w:val="clear" w:color="auto" w:fill="FFFFFF"/>
        </w:rPr>
        <w:t>森林警察大队</w:t>
      </w:r>
      <w:r>
        <w:rPr>
          <w:rFonts w:hint="eastAsia" w:ascii="仿宋_GB2312" w:hAnsi="宋体" w:eastAsia="仿宋_GB2312" w:cs="宋体"/>
          <w:color w:val="000000"/>
          <w:kern w:val="0"/>
          <w:sz w:val="32"/>
          <w:szCs w:val="32"/>
          <w:shd w:val="clear" w:color="auto" w:fill="FFFFFF"/>
          <w:lang w:val="zh-CN"/>
        </w:rPr>
        <w:t>。12个派出机构：米易县看守所、米易县强制隔离戒毒所、米易县拘留所、草场派出所、丙谷派出所、撒莲派出所、攀莲派出所、</w:t>
      </w:r>
      <w:r>
        <w:rPr>
          <w:rFonts w:hint="eastAsia" w:ascii="仿宋_GB2312" w:hAnsi="宋体" w:eastAsia="仿宋_GB2312" w:cs="宋体"/>
          <w:color w:val="000000"/>
          <w:kern w:val="0"/>
          <w:sz w:val="32"/>
          <w:szCs w:val="32"/>
          <w:shd w:val="clear" w:color="auto" w:fill="FFFFFF"/>
        </w:rPr>
        <w:t>新山</w:t>
      </w:r>
      <w:r>
        <w:rPr>
          <w:rFonts w:hint="eastAsia" w:ascii="仿宋_GB2312" w:hAnsi="宋体" w:eastAsia="仿宋_GB2312" w:cs="宋体"/>
          <w:color w:val="000000"/>
          <w:kern w:val="0"/>
          <w:sz w:val="32"/>
          <w:szCs w:val="32"/>
          <w:shd w:val="clear" w:color="auto" w:fill="FFFFFF"/>
          <w:lang w:val="zh-CN"/>
        </w:rPr>
        <w:t>派出所、得石派出所、白马派出所、湾丘派出所、普威派出所。</w:t>
      </w:r>
    </w:p>
    <w:p>
      <w:pPr>
        <w:spacing w:line="360" w:lineRule="auto"/>
        <w:ind w:firstLine="640" w:firstLineChars="200"/>
        <w:rPr>
          <w:rFonts w:ascii="仿宋_GB2312" w:hAnsi="宋体" w:eastAsia="仿宋_GB2312"/>
          <w:sz w:val="32"/>
          <w:szCs w:val="32"/>
        </w:rPr>
      </w:pPr>
      <w:r>
        <w:rPr>
          <w:rFonts w:hint="eastAsia" w:ascii="仿宋_GB2312" w:hAnsi="宋体" w:eastAsia="仿宋_GB2312"/>
          <w:sz w:val="32"/>
          <w:szCs w:val="32"/>
        </w:rPr>
        <w:t>共有政法编制235个，共有在职民警216人，警务辅助人员276人（含交通秩序维护员），机关工勤人员7人，事业人员23人。</w:t>
      </w:r>
      <w:r>
        <w:rPr>
          <w:rFonts w:hint="eastAsia" w:ascii="仿宋" w:hAnsi="仿宋" w:eastAsia="仿宋" w:cs="仿宋"/>
          <w:color w:val="000000"/>
          <w:sz w:val="32"/>
          <w:szCs w:val="32"/>
        </w:rPr>
        <w:t>车辆编制63台以及实有车辆55台。</w:t>
      </w:r>
    </w:p>
    <w:p>
      <w:pPr>
        <w:rPr>
          <w:rFonts w:ascii="黑体" w:hAnsi="黑体" w:eastAsia="黑体"/>
          <w:color w:val="000000"/>
        </w:rPr>
      </w:pPr>
    </w:p>
    <w:p>
      <w:pPr>
        <w:rPr>
          <w:rFonts w:ascii="黑体" w:hAnsi="黑体" w:eastAsia="黑体"/>
          <w:color w:val="000000"/>
        </w:rPr>
      </w:pPr>
    </w:p>
    <w:p>
      <w:pPr>
        <w:pStyle w:val="2"/>
        <w:numPr>
          <w:ilvl w:val="0"/>
          <w:numId w:val="2"/>
        </w:numPr>
        <w:spacing w:before="0" w:after="0" w:line="560" w:lineRule="exact"/>
        <w:ind w:right="440"/>
        <w:jc w:val="center"/>
        <w:rPr>
          <w:rStyle w:val="24"/>
          <w:rFonts w:ascii="黑体" w:hAnsi="黑体" w:eastAsia="黑体"/>
          <w:b w:val="0"/>
          <w:bCs w:val="0"/>
        </w:rPr>
      </w:pPr>
      <w:r>
        <w:rPr>
          <w:rStyle w:val="24"/>
          <w:rFonts w:hint="eastAsia" w:ascii="黑体" w:hAnsi="黑体" w:eastAsia="黑体"/>
          <w:b w:val="0"/>
          <w:bCs w:val="0"/>
        </w:rPr>
        <w:t>2021年度部门决算情况说明</w:t>
      </w:r>
      <w:bookmarkEnd w:id="20"/>
      <w:bookmarkEnd w:id="21"/>
    </w:p>
    <w:p/>
    <w:p/>
    <w:p/>
    <w:p>
      <w:pPr>
        <w:pStyle w:val="23"/>
        <w:numPr>
          <w:ilvl w:val="0"/>
          <w:numId w:val="3"/>
        </w:numPr>
        <w:spacing w:line="560" w:lineRule="exact"/>
        <w:ind w:firstLineChars="0"/>
        <w:outlineLvl w:val="1"/>
        <w:rPr>
          <w:rStyle w:val="25"/>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560" w:lineRule="exact"/>
        <w:ind w:firstLine="640" w:firstLineChars="200"/>
        <w:rPr>
          <w:rFonts w:ascii="仿宋_GB2312" w:eastAsia="仿宋_GB2312"/>
          <w:sz w:val="32"/>
          <w:szCs w:val="32"/>
        </w:rPr>
      </w:pPr>
      <w:r>
        <w:rPr>
          <w:rFonts w:hint="eastAsia" w:ascii="仿宋_GB2312" w:hAnsi="仿宋" w:eastAsia="仿宋_GB2312"/>
          <w:color w:val="000000"/>
          <w:sz w:val="32"/>
          <w:szCs w:val="32"/>
        </w:rPr>
        <w:t>2021年度收入总计10065.43万元，完成预算100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。与2020年10081.81</w:t>
      </w:r>
      <w:r>
        <w:rPr>
          <w:rFonts w:hint="eastAsia" w:ascii="仿宋_GB2312" w:hAnsi="仿宋" w:eastAsia="仿宋_GB2312" w:cs="宋体"/>
          <w:color w:val="000000"/>
          <w:kern w:val="0"/>
          <w:sz w:val="32"/>
          <w:szCs w:val="32"/>
        </w:rPr>
        <w:t>万元</w:t>
      </w:r>
      <w:r>
        <w:rPr>
          <w:rFonts w:hint="eastAsia" w:ascii="仿宋_GB2312" w:hAnsi="仿宋" w:eastAsia="仿宋_GB2312"/>
          <w:color w:val="000000"/>
          <w:sz w:val="32"/>
          <w:szCs w:val="32"/>
        </w:rPr>
        <w:t>相比，收入</w:t>
      </w:r>
      <w:r>
        <w:rPr>
          <w:rFonts w:hint="eastAsia" w:ascii="仿宋" w:hAnsi="仿宋" w:eastAsia="仿宋"/>
          <w:sz w:val="32"/>
          <w:szCs w:val="32"/>
        </w:rPr>
        <w:t>减少</w:t>
      </w:r>
      <w:r>
        <w:rPr>
          <w:rFonts w:hint="eastAsia" w:ascii="仿宋_GB2312" w:hAnsi="仿宋" w:eastAsia="仿宋_GB2312"/>
          <w:color w:val="000000"/>
          <w:sz w:val="32"/>
          <w:szCs w:val="32"/>
        </w:rPr>
        <w:t>16.38万元，下降0.16</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w:t>
      </w:r>
      <w:r>
        <w:rPr>
          <w:rFonts w:hint="eastAsia" w:ascii="仿宋_GB2312" w:eastAsia="仿宋_GB2312"/>
          <w:sz w:val="32"/>
          <w:szCs w:val="32"/>
        </w:rPr>
        <w:t>2021年建设项目经费减少。</w:t>
      </w:r>
    </w:p>
    <w:p>
      <w:pPr>
        <w:spacing w:line="560" w:lineRule="exact"/>
        <w:ind w:firstLine="640" w:firstLineChars="200"/>
        <w:rPr>
          <w:rFonts w:ascii="仿宋_GB2312" w:hAnsi="仿宋" w:eastAsia="仿宋_GB2312" w:cs="宋体"/>
          <w:color w:val="000000"/>
          <w:kern w:val="0"/>
          <w:sz w:val="32"/>
          <w:szCs w:val="32"/>
        </w:rPr>
      </w:pPr>
      <w:r>
        <w:rPr>
          <w:rFonts w:hint="eastAsia" w:ascii="仿宋_GB2312" w:hAnsi="仿宋" w:eastAsia="仿宋_GB2312"/>
          <w:color w:val="000000"/>
          <w:sz w:val="32"/>
          <w:szCs w:val="32"/>
        </w:rPr>
        <w:t>2021年度支出总计10065.43万元，完成预算100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。与2020年10081.81</w:t>
      </w:r>
      <w:r>
        <w:rPr>
          <w:rFonts w:hint="eastAsia" w:ascii="仿宋_GB2312" w:hAnsi="仿宋" w:eastAsia="仿宋_GB2312" w:cs="宋体"/>
          <w:color w:val="000000"/>
          <w:kern w:val="0"/>
          <w:sz w:val="32"/>
          <w:szCs w:val="32"/>
        </w:rPr>
        <w:t>万元</w:t>
      </w:r>
      <w:r>
        <w:rPr>
          <w:rFonts w:hint="eastAsia" w:ascii="仿宋_GB2312" w:hAnsi="仿宋" w:eastAsia="仿宋_GB2312"/>
          <w:color w:val="000000"/>
          <w:sz w:val="32"/>
          <w:szCs w:val="32"/>
        </w:rPr>
        <w:t>相比，支出</w:t>
      </w:r>
      <w:r>
        <w:rPr>
          <w:rFonts w:hint="eastAsia" w:ascii="仿宋" w:hAnsi="仿宋" w:eastAsia="仿宋"/>
          <w:sz w:val="32"/>
          <w:szCs w:val="32"/>
        </w:rPr>
        <w:t>减少</w:t>
      </w:r>
      <w:r>
        <w:rPr>
          <w:rFonts w:hint="eastAsia" w:ascii="仿宋_GB2312" w:hAnsi="仿宋" w:eastAsia="仿宋_GB2312"/>
          <w:color w:val="000000"/>
          <w:sz w:val="32"/>
          <w:szCs w:val="32"/>
        </w:rPr>
        <w:t>16.38万元，下降0.16</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w:t>
      </w:r>
      <w:r>
        <w:rPr>
          <w:rFonts w:hint="eastAsia" w:ascii="仿宋_GB2312" w:eastAsia="仿宋_GB2312"/>
          <w:sz w:val="32"/>
          <w:szCs w:val="32"/>
        </w:rPr>
        <w:t>2021年建设项目经费减少。</w:t>
      </w:r>
    </w:p>
    <w:p>
      <w:pPr>
        <w:spacing w:line="360" w:lineRule="auto"/>
        <w:rPr>
          <w:rFonts w:ascii="仿宋_GB2312" w:hAnsi="仿宋" w:eastAsia="仿宋_GB2312" w:cs="宋体"/>
          <w:color w:val="000000"/>
          <w:kern w:val="0"/>
          <w:sz w:val="32"/>
          <w:szCs w:val="32"/>
        </w:rPr>
      </w:pPr>
      <w:r>
        <w:rPr>
          <w:rFonts w:ascii="仿宋_GB2312" w:hAnsi="仿宋" w:eastAsia="仿宋_GB2312" w:cs="宋体"/>
          <w:color w:val="000000"/>
          <w:kern w:val="0"/>
          <w:sz w:val="32"/>
          <w:szCs w:val="32"/>
        </w:rPr>
        <w:drawing>
          <wp:inline distT="0" distB="0" distL="0" distR="0">
            <wp:extent cx="5461635" cy="3075940"/>
            <wp:effectExtent l="4445" t="4445" r="20320" b="571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560" w:lineRule="exact"/>
        <w:rPr>
          <w:rFonts w:ascii="仿宋_GB2312" w:eastAsia="仿宋_GB2312"/>
          <w:color w:val="000000"/>
          <w:sz w:val="32"/>
          <w:szCs w:val="32"/>
        </w:rPr>
      </w:pPr>
      <w:r>
        <w:rPr>
          <w:rFonts w:hint="eastAsia" w:ascii="仿宋_GB2312" w:hAnsi="仿宋" w:eastAsia="仿宋_GB2312"/>
          <w:color w:val="000000"/>
          <w:sz w:val="32"/>
          <w:szCs w:val="32"/>
        </w:rPr>
        <w:t>（图</w:t>
      </w:r>
      <w:r>
        <w:rPr>
          <w:rFonts w:ascii="仿宋_GB2312" w:hAnsi="仿宋" w:eastAsia="仿宋_GB2312"/>
          <w:color w:val="000000"/>
          <w:sz w:val="32"/>
          <w:szCs w:val="32"/>
        </w:rPr>
        <w:t>1</w:t>
      </w:r>
      <w:r>
        <w:rPr>
          <w:rFonts w:hint="eastAsia" w:ascii="仿宋_GB2312" w:hAnsi="仿宋" w:eastAsia="仿宋_GB2312"/>
          <w:color w:val="000000"/>
          <w:sz w:val="32"/>
          <w:szCs w:val="32"/>
        </w:rPr>
        <w:t>：收、支决算总计变动情况图）（柱状图）</w:t>
      </w:r>
    </w:p>
    <w:p>
      <w:pPr>
        <w:pStyle w:val="23"/>
        <w:numPr>
          <w:ilvl w:val="0"/>
          <w:numId w:val="3"/>
        </w:numPr>
        <w:spacing w:line="56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560" w:lineRule="exact"/>
        <w:ind w:firstLine="640" w:firstLineChars="200"/>
        <w:outlineLvl w:val="1"/>
        <w:rPr>
          <w:rFonts w:ascii="仿宋_GB2312" w:hAnsi="仿宋" w:eastAsia="仿宋_GB2312"/>
          <w:color w:val="000000"/>
          <w:sz w:val="32"/>
          <w:szCs w:val="32"/>
        </w:rPr>
      </w:pPr>
      <w:bookmarkStart w:id="28" w:name="_Toc47519996"/>
      <w:r>
        <w:rPr>
          <w:rFonts w:hint="eastAsia" w:ascii="仿宋_GB2312" w:hAnsi="仿宋" w:eastAsia="仿宋_GB2312"/>
          <w:color w:val="000000"/>
          <w:sz w:val="32"/>
          <w:szCs w:val="32"/>
        </w:rPr>
        <w:t>2021年本年收入合计9518.96万元，完成预算100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。其中：一般公共预算财政拨款收入7295.59万元，占76.64</w:t>
      </w:r>
      <w:r>
        <w:rPr>
          <w:rFonts w:ascii="仿宋_GB2312" w:hAnsi="仿宋" w:eastAsia="仿宋_GB2312"/>
          <w:color w:val="000000"/>
          <w:sz w:val="32"/>
          <w:szCs w:val="32"/>
        </w:rPr>
        <w:t>%</w:t>
      </w:r>
      <w:r>
        <w:rPr>
          <w:rFonts w:hint="eastAsia" w:ascii="仿宋_GB2312" w:hAnsi="仿宋" w:eastAsia="仿宋_GB2312"/>
          <w:color w:val="000000"/>
          <w:sz w:val="32"/>
          <w:szCs w:val="32"/>
        </w:rPr>
        <w:t>；政府性基金预算财政拨款收入2223.37万元，占23.36</w:t>
      </w:r>
      <w:r>
        <w:rPr>
          <w:rFonts w:ascii="仿宋_GB2312" w:hAnsi="仿宋" w:eastAsia="仿宋_GB2312"/>
          <w:color w:val="000000"/>
          <w:sz w:val="32"/>
          <w:szCs w:val="32"/>
        </w:rPr>
        <w:t>%</w:t>
      </w:r>
      <w:bookmarkEnd w:id="28"/>
      <w:r>
        <w:rPr>
          <w:rFonts w:hint="eastAsia" w:ascii="仿宋_GB2312" w:hAnsi="仿宋" w:eastAsia="仿宋_GB2312"/>
          <w:color w:val="000000"/>
          <w:sz w:val="32"/>
          <w:szCs w:val="32"/>
        </w:rPr>
        <w:t>。</w:t>
      </w:r>
    </w:p>
    <w:p>
      <w:pPr>
        <w:spacing w:line="360" w:lineRule="auto"/>
        <w:rPr>
          <w:rFonts w:ascii="仿宋" w:hAnsi="仿宋" w:eastAsia="仿宋"/>
          <w:color w:val="000000"/>
          <w:sz w:val="32"/>
          <w:szCs w:val="32"/>
        </w:rPr>
      </w:pPr>
      <w:r>
        <w:drawing>
          <wp:inline distT="0" distB="0" distL="0" distR="0">
            <wp:extent cx="5215890" cy="2672715"/>
            <wp:effectExtent l="4445" t="4445" r="18415" b="889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360" w:lineRule="auto"/>
        <w:ind w:firstLine="640" w:firstLineChars="200"/>
        <w:rPr>
          <w:rFonts w:ascii="仿宋_GB2312" w:eastAsia="仿宋_GB2312"/>
          <w:color w:val="FF0000"/>
          <w:sz w:val="32"/>
          <w:szCs w:val="32"/>
        </w:rPr>
      </w:pPr>
      <w:r>
        <w:rPr>
          <w:rFonts w:hint="eastAsia" w:ascii="仿宋" w:hAnsi="仿宋" w:eastAsia="仿宋"/>
          <w:color w:val="000000" w:themeColor="text1"/>
          <w:sz w:val="32"/>
          <w:szCs w:val="32"/>
        </w:rPr>
        <w:t>（图2：收入决算结构图）（饼状图）</w:t>
      </w:r>
    </w:p>
    <w:p>
      <w:pPr>
        <w:pStyle w:val="23"/>
        <w:numPr>
          <w:ilvl w:val="0"/>
          <w:numId w:val="3"/>
        </w:numPr>
        <w:spacing w:line="360" w:lineRule="auto"/>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360" w:lineRule="auto"/>
        <w:ind w:firstLine="640"/>
        <w:rPr>
          <w:rFonts w:ascii="仿宋" w:hAnsi="仿宋" w:eastAsia="仿宋"/>
          <w:color w:val="000000" w:themeColor="text1"/>
          <w:sz w:val="32"/>
          <w:szCs w:val="32"/>
        </w:rPr>
      </w:pPr>
      <w:r>
        <w:rPr>
          <w:rFonts w:hint="eastAsia" w:ascii="仿宋_GB2312" w:hAnsi="仿宋" w:eastAsia="仿宋_GB2312"/>
          <w:color w:val="000000"/>
          <w:sz w:val="32"/>
          <w:szCs w:val="32"/>
        </w:rPr>
        <w:t>2021年本年支出合计10065.43万元，完成预算100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。其中：基本支出5360.85万元，占53.26</w:t>
      </w:r>
      <w:r>
        <w:rPr>
          <w:rFonts w:ascii="仿宋_GB2312" w:hAnsi="仿宋" w:eastAsia="仿宋_GB2312"/>
          <w:color w:val="000000"/>
          <w:sz w:val="32"/>
          <w:szCs w:val="32"/>
        </w:rPr>
        <w:t>%</w:t>
      </w:r>
      <w:r>
        <w:rPr>
          <w:rFonts w:hint="eastAsia" w:ascii="仿宋_GB2312" w:hAnsi="仿宋" w:eastAsia="仿宋_GB2312"/>
          <w:color w:val="000000"/>
          <w:sz w:val="32"/>
          <w:szCs w:val="32"/>
        </w:rPr>
        <w:t>；项目支出4704.58万元，占46.74</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pPr>
        <w:spacing w:line="360" w:lineRule="auto"/>
        <w:rPr>
          <w:rFonts w:ascii="仿宋_GB2312" w:eastAsia="仿宋_GB2312"/>
          <w:color w:val="FF0000"/>
          <w:sz w:val="32"/>
          <w:szCs w:val="32"/>
        </w:rPr>
      </w:pPr>
      <w:r>
        <w:drawing>
          <wp:inline distT="0" distB="0" distL="0" distR="0">
            <wp:extent cx="5429250" cy="2750820"/>
            <wp:effectExtent l="4445" t="4445" r="14605" b="698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hint="eastAsia" w:ascii="仿宋" w:hAnsi="仿宋" w:eastAsia="仿宋"/>
          <w:color w:val="000000" w:themeColor="text1"/>
          <w:sz w:val="32"/>
          <w:szCs w:val="32"/>
        </w:rPr>
        <w:t>（图3：支出决算结构图）（饼状图）</w:t>
      </w:r>
    </w:p>
    <w:p>
      <w:pPr>
        <w:spacing w:line="360" w:lineRule="auto"/>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360" w:lineRule="auto"/>
        <w:ind w:firstLine="640"/>
        <w:rPr>
          <w:rFonts w:ascii="仿宋_GB2312" w:hAnsi="仿宋" w:eastAsia="仿宋_GB2312"/>
          <w:color w:val="000000"/>
          <w:sz w:val="32"/>
          <w:szCs w:val="32"/>
        </w:rPr>
      </w:pPr>
      <w:r>
        <w:rPr>
          <w:rFonts w:hint="eastAsia" w:ascii="仿宋_GB2312" w:hAnsi="仿宋" w:eastAsia="仿宋_GB2312"/>
          <w:color w:val="000000"/>
          <w:sz w:val="32"/>
          <w:szCs w:val="32"/>
        </w:rPr>
        <w:t>2021年度财政拨款收入总计9518.96万元,完成预算100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。与2020年9492.61</w:t>
      </w:r>
      <w:r>
        <w:rPr>
          <w:rFonts w:hint="eastAsia" w:ascii="仿宋_GB2312" w:hAnsi="仿宋" w:eastAsia="仿宋_GB2312" w:cs="宋体"/>
          <w:color w:val="000000"/>
          <w:kern w:val="0"/>
          <w:sz w:val="32"/>
          <w:szCs w:val="32"/>
        </w:rPr>
        <w:t>万元</w:t>
      </w:r>
      <w:r>
        <w:rPr>
          <w:rFonts w:hint="eastAsia" w:ascii="仿宋_GB2312" w:hAnsi="仿宋" w:eastAsia="仿宋_GB2312"/>
          <w:color w:val="000000"/>
          <w:sz w:val="32"/>
          <w:szCs w:val="32"/>
        </w:rPr>
        <w:t>相比，财政拨款收入增加26.35万元，增长1.49</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w:t>
      </w:r>
      <w:r>
        <w:rPr>
          <w:rFonts w:hint="eastAsia" w:ascii="仿宋_GB2312" w:eastAsia="仿宋_GB2312"/>
          <w:sz w:val="32"/>
          <w:szCs w:val="32"/>
        </w:rPr>
        <w:t>2021年有工资调整，增加了工资福利支出</w:t>
      </w:r>
      <w:r>
        <w:rPr>
          <w:rFonts w:ascii="仿宋_GB2312" w:eastAsia="仿宋_GB2312"/>
          <w:sz w:val="32"/>
          <w:szCs w:val="32"/>
        </w:rPr>
        <w:t>,</w:t>
      </w:r>
      <w:r>
        <w:rPr>
          <w:rFonts w:hint="eastAsia" w:ascii="仿宋_GB2312" w:eastAsia="仿宋_GB2312"/>
          <w:sz w:val="32"/>
          <w:szCs w:val="32"/>
        </w:rPr>
        <w:t>追加了项目经费</w:t>
      </w:r>
      <w:r>
        <w:rPr>
          <w:rFonts w:hint="eastAsia" w:ascii="仿宋_GB2312" w:hAnsi="仿宋" w:eastAsia="仿宋_GB2312"/>
          <w:color w:val="000000"/>
          <w:sz w:val="32"/>
          <w:szCs w:val="32"/>
        </w:rPr>
        <w:t>。</w:t>
      </w:r>
    </w:p>
    <w:p>
      <w:pPr>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2021年度财政拨款支出总计10065.43万元，完成预算100%。与2020年9365.59万元相比，财政拨款支出增加699.71万元，上升7.47%。主要变动原因是</w:t>
      </w:r>
      <w:r>
        <w:rPr>
          <w:rFonts w:hint="eastAsia" w:ascii="仿宋_GB2312" w:eastAsia="仿宋_GB2312"/>
          <w:sz w:val="32"/>
          <w:szCs w:val="32"/>
        </w:rPr>
        <w:t>2021年基建建设项目经费增加。</w:t>
      </w:r>
    </w:p>
    <w:p>
      <w:pPr>
        <w:widowControl/>
        <w:shd w:val="clear" w:color="auto" w:fill="FFFFFF"/>
        <w:spacing w:line="360" w:lineRule="auto"/>
        <w:jc w:val="left"/>
        <w:rPr>
          <w:rFonts w:ascii="仿宋" w:hAnsi="仿宋" w:eastAsia="仿宋"/>
          <w:color w:val="000000"/>
          <w:sz w:val="32"/>
          <w:szCs w:val="32"/>
        </w:rPr>
      </w:pPr>
      <w:r>
        <w:rPr>
          <w:rFonts w:hint="eastAsia" w:ascii="仿宋" w:hAnsi="仿宋" w:eastAsia="仿宋" w:cs="宋体"/>
          <w:color w:val="000000"/>
          <w:kern w:val="0"/>
          <w:sz w:val="32"/>
          <w:szCs w:val="32"/>
        </w:rPr>
        <w:drawing>
          <wp:inline distT="0" distB="0" distL="0" distR="0">
            <wp:extent cx="5146040" cy="2774315"/>
            <wp:effectExtent l="4445" t="4445" r="12065" b="2159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360" w:lineRule="auto"/>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（图4：财政拨款收、支决算总计变动情况）（柱状图）</w:t>
      </w:r>
    </w:p>
    <w:p>
      <w:pPr>
        <w:spacing w:line="560" w:lineRule="exact"/>
        <w:ind w:firstLine="640" w:firstLineChars="200"/>
        <w:outlineLvl w:val="1"/>
        <w:rPr>
          <w:rStyle w:val="25"/>
          <w:rFonts w:ascii="黑体" w:hAnsi="黑体" w:eastAsia="黑体"/>
          <w:b w:val="0"/>
        </w:rPr>
      </w:pPr>
      <w:bookmarkStart w:id="33" w:name="_Toc15377209"/>
      <w:bookmarkStart w:id="3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560" w:lineRule="exact"/>
        <w:ind w:firstLine="640" w:firstLineChars="200"/>
        <w:rPr>
          <w:rFonts w:ascii="楷体" w:hAnsi="楷体" w:eastAsia="楷体" w:cs="楷体"/>
          <w:bCs/>
          <w:color w:val="000000"/>
          <w:kern w:val="0"/>
          <w:sz w:val="32"/>
          <w:szCs w:val="32"/>
        </w:rPr>
      </w:pPr>
      <w:bookmarkStart w:id="35" w:name="_Toc15377210"/>
      <w:r>
        <w:rPr>
          <w:rFonts w:hint="eastAsia" w:ascii="楷体" w:hAnsi="楷体" w:eastAsia="楷体" w:cs="楷体"/>
          <w:bCs/>
          <w:color w:val="000000"/>
          <w:kern w:val="0"/>
          <w:sz w:val="32"/>
          <w:szCs w:val="32"/>
        </w:rPr>
        <w:t>（一）一般公共预算财政拨款支出决算总体情况</w:t>
      </w:r>
      <w:bookmarkEnd w:id="35"/>
      <w:r>
        <w:rPr>
          <w:rFonts w:hint="eastAsia" w:ascii="楷体" w:hAnsi="楷体" w:eastAsia="楷体" w:cs="楷体"/>
          <w:bCs/>
          <w:color w:val="000000"/>
          <w:kern w:val="0"/>
          <w:sz w:val="32"/>
          <w:szCs w:val="32"/>
        </w:rPr>
        <w:t>。</w:t>
      </w:r>
    </w:p>
    <w:p>
      <w:pPr>
        <w:spacing w:line="560" w:lineRule="exact"/>
        <w:ind w:firstLine="641"/>
        <w:rPr>
          <w:rFonts w:ascii="仿宋_GB2312" w:hAnsi="仿宋" w:eastAsia="仿宋_GB2312"/>
          <w:color w:val="000000"/>
          <w:sz w:val="32"/>
          <w:szCs w:val="32"/>
        </w:rPr>
      </w:pPr>
      <w:r>
        <w:rPr>
          <w:rFonts w:hint="eastAsia" w:ascii="仿宋_GB2312" w:hAnsi="仿宋" w:eastAsia="仿宋_GB2312"/>
          <w:color w:val="000000"/>
          <w:sz w:val="32"/>
          <w:szCs w:val="32"/>
        </w:rPr>
        <w:t>2021年一般公共预算财政拨款支出7842.06万元，完成预算100%，占本年支出合计的77.91%。与2020年8576.85相比，一般公共预算财政拨款减少734.79万元，下降8.57%。主要变动原因是2021年将财政2020年下达的一般公共预算财政拨款调为政府性基金预算财政拨款。</w:t>
      </w:r>
    </w:p>
    <w:p>
      <w:pPr>
        <w:spacing w:line="360" w:lineRule="auto"/>
        <w:rPr>
          <w:rFonts w:ascii="仿宋" w:hAnsi="仿宋" w:eastAsia="仿宋"/>
          <w:color w:val="000000" w:themeColor="text1"/>
          <w:sz w:val="32"/>
          <w:szCs w:val="32"/>
        </w:rPr>
      </w:pPr>
      <w:r>
        <w:rPr>
          <w:rFonts w:hint="eastAsia"/>
        </w:rPr>
        <w:drawing>
          <wp:inline distT="0" distB="0" distL="0" distR="0">
            <wp:extent cx="5305425" cy="2119630"/>
            <wp:effectExtent l="4445" t="4445" r="5080" b="952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560" w:lineRule="exact"/>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560" w:lineRule="exact"/>
        <w:ind w:firstLine="640" w:firstLineChars="200"/>
        <w:rPr>
          <w:rFonts w:ascii="楷体" w:hAnsi="楷体" w:eastAsia="楷体" w:cs="楷体"/>
          <w:bCs/>
          <w:color w:val="000000"/>
          <w:kern w:val="0"/>
          <w:sz w:val="32"/>
          <w:szCs w:val="32"/>
        </w:rPr>
      </w:pPr>
      <w:bookmarkStart w:id="36" w:name="_Toc15377211"/>
      <w:r>
        <w:rPr>
          <w:rFonts w:hint="eastAsia" w:ascii="楷体" w:hAnsi="楷体" w:eastAsia="楷体" w:cs="楷体"/>
          <w:bCs/>
          <w:color w:val="000000"/>
          <w:kern w:val="0"/>
          <w:sz w:val="32"/>
          <w:szCs w:val="32"/>
        </w:rPr>
        <w:t>（二）一般公共预算财政拨款支出决算结构情况</w:t>
      </w:r>
      <w:bookmarkEnd w:id="36"/>
      <w:r>
        <w:rPr>
          <w:rFonts w:hint="eastAsia" w:ascii="楷体" w:hAnsi="楷体" w:eastAsia="楷体" w:cs="楷体"/>
          <w:bCs/>
          <w:color w:val="000000"/>
          <w:kern w:val="0"/>
          <w:sz w:val="32"/>
          <w:szCs w:val="32"/>
        </w:rPr>
        <w:t>。</w:t>
      </w:r>
    </w:p>
    <w:p>
      <w:pPr>
        <w:spacing w:line="560" w:lineRule="exact"/>
        <w:ind w:firstLine="641"/>
        <w:rPr>
          <w:rFonts w:ascii="仿宋_GB2312" w:hAnsi="仿宋" w:eastAsia="仿宋_GB2312"/>
          <w:color w:val="000000"/>
          <w:sz w:val="32"/>
          <w:szCs w:val="32"/>
        </w:rPr>
      </w:pPr>
      <w:r>
        <w:rPr>
          <w:rFonts w:hint="eastAsia" w:ascii="仿宋_GB2312" w:hAnsi="仿宋" w:eastAsia="仿宋_GB2312"/>
          <w:color w:val="000000"/>
          <w:sz w:val="32"/>
          <w:szCs w:val="32"/>
        </w:rPr>
        <w:t>2021年一般公共预算财政拨款支出7842.06万元，主要用于以下方面:公共安全支出（类）6715.42万元，占85.63%；文化旅游体育与传媒支出2.2万元，占0.02%；社会保障和就业（类）支出417.12万元，占5.32%；卫生健康支出246.68万元，占3.15%；住房保障支出460.62万元，占5.88%。</w:t>
      </w:r>
    </w:p>
    <w:p>
      <w:pPr>
        <w:spacing w:line="360" w:lineRule="auto"/>
        <w:rPr>
          <w:rFonts w:ascii="仿宋_GB2312" w:hAnsi="仿宋" w:eastAsia="仿宋_GB2312"/>
          <w:color w:val="000000"/>
          <w:sz w:val="32"/>
          <w:szCs w:val="32"/>
        </w:rPr>
      </w:pPr>
      <w:r>
        <w:drawing>
          <wp:inline distT="0" distB="0" distL="0" distR="0">
            <wp:extent cx="5224145" cy="2067560"/>
            <wp:effectExtent l="4445" t="4445" r="10160" b="2349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360" w:lineRule="auto"/>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（图6：一般公共预算财政拨款支出决算结构）（饼状图）</w:t>
      </w:r>
    </w:p>
    <w:p>
      <w:pPr>
        <w:spacing w:line="560" w:lineRule="exact"/>
        <w:ind w:firstLine="640" w:firstLineChars="200"/>
        <w:rPr>
          <w:rFonts w:ascii="楷体" w:hAnsi="楷体" w:eastAsia="楷体" w:cs="楷体"/>
          <w:bCs/>
          <w:color w:val="000000"/>
          <w:kern w:val="0"/>
          <w:sz w:val="32"/>
          <w:szCs w:val="32"/>
        </w:rPr>
      </w:pPr>
      <w:bookmarkStart w:id="37" w:name="_Toc15377212"/>
      <w:r>
        <w:rPr>
          <w:rFonts w:hint="eastAsia" w:ascii="楷体" w:hAnsi="楷体" w:eastAsia="楷体" w:cs="楷体"/>
          <w:bCs/>
          <w:color w:val="000000"/>
          <w:kern w:val="0"/>
          <w:sz w:val="32"/>
          <w:szCs w:val="32"/>
        </w:rPr>
        <w:t>（三）一般公共预算财政拨款支出决算具体情况</w:t>
      </w:r>
      <w:bookmarkEnd w:id="37"/>
      <w:r>
        <w:rPr>
          <w:rFonts w:hint="eastAsia" w:ascii="楷体" w:hAnsi="楷体" w:eastAsia="楷体" w:cs="楷体"/>
          <w:bCs/>
          <w:color w:val="000000"/>
          <w:kern w:val="0"/>
          <w:sz w:val="32"/>
          <w:szCs w:val="32"/>
        </w:rPr>
        <w:t>。</w:t>
      </w:r>
    </w:p>
    <w:p>
      <w:pPr>
        <w:spacing w:line="560" w:lineRule="exact"/>
        <w:ind w:firstLine="641"/>
        <w:rPr>
          <w:rFonts w:ascii="仿宋_GB2312" w:hAnsi="仿宋" w:eastAsia="仿宋_GB2312"/>
          <w:color w:val="000000"/>
          <w:sz w:val="32"/>
          <w:szCs w:val="32"/>
        </w:rPr>
      </w:pPr>
      <w:bookmarkStart w:id="38" w:name="_Toc15377213"/>
      <w:bookmarkStart w:id="39" w:name="_Toc15378460"/>
      <w:bookmarkStart w:id="40" w:name="_Toc15377444"/>
      <w:bookmarkStart w:id="41" w:name="_Toc15377214"/>
      <w:bookmarkStart w:id="42" w:name="_Toc15396608"/>
      <w:r>
        <w:rPr>
          <w:rFonts w:hint="eastAsia" w:ascii="仿宋_GB2312" w:hAnsi="仿宋" w:eastAsia="仿宋_GB2312"/>
          <w:color w:val="000000"/>
          <w:sz w:val="32"/>
          <w:szCs w:val="32"/>
        </w:rPr>
        <w:t>2021年一般公共预算支出决算数为7842.06万元，完成预算100%。其中：</w:t>
      </w:r>
      <w:bookmarkEnd w:id="38"/>
      <w:bookmarkEnd w:id="39"/>
      <w:bookmarkEnd w:id="40"/>
    </w:p>
    <w:p>
      <w:pPr>
        <w:spacing w:line="560" w:lineRule="exact"/>
        <w:ind w:firstLine="641"/>
        <w:rPr>
          <w:rFonts w:ascii="仿宋_GB2312" w:hAnsi="仿宋" w:eastAsia="仿宋_GB2312"/>
          <w:color w:val="000000"/>
          <w:sz w:val="32"/>
          <w:szCs w:val="32"/>
        </w:rPr>
      </w:pPr>
      <w:r>
        <w:rPr>
          <w:rFonts w:hint="eastAsia" w:ascii="仿宋_GB2312" w:hAnsi="仿宋" w:eastAsia="仿宋_GB2312"/>
          <w:color w:val="000000"/>
          <w:sz w:val="32"/>
          <w:szCs w:val="32"/>
        </w:rPr>
        <w:t>1.公共安全支出（类）公安（款）行政运行（项）: 支出决算为4055.78万元，完成预算100%。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2.公共安全支出（类）公安（款）一般行政管理事务（项）: 支出决算为1532.79万元，完成预算100%。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3.公共安全支出（类）公安（款）特别业务（项）: 支出决算为23.6万元，完成预算100%。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4.公共安全支出（类）公安（款）事业运行（项）: 支出决算为180.63万元，完成预算100%。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5.公共安全支出（类）公安（款）其他公安支出（项）: 支出决算为54.32万元，完成预算100%。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6.公共安全支出（类）其他公共安全支出（款）其他公共安全支出（项）: 支出决算为868.3万元，完成预算100%。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7.文化旅游体育与传媒支出（类）文化和旅游（款）  文化活动（项）: 支出决算为2.2万元，完成预算100%。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8.社会保障和就业（类）行政事业单位养老支出（款）行政单位离退休（项）: 支出决算为90.66万元，完成预算100%。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9.社会保障和就业（类）行政事业单位养老支出（款）机关事业单位基本养老保险缴费支出（项）: 支出决算为314.06万元，完成预算100%。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10.社会保障和就业（类）行政事业单位养老支（款）机关事业单位职业年金缴费支出（项）: 支出决算为12.4万元，完成预算100%。</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11.卫生健康支出（类）行政事业单位医疗（款）行政单位医疗（项）:支出决算为222.26万元，完成预算100%。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12.卫生健康支出（类）行政事业单位医疗（款）事业单位医疗（项）:支出决算为6.57万元，完成预算100%。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13.卫生健康支出（类）行政事业单位医疗（款）公务员医疗补助（项）:支出决算为17.85万元，完成预算100%。</w:t>
      </w:r>
    </w:p>
    <w:p>
      <w:pPr>
        <w:spacing w:line="360" w:lineRule="auto"/>
        <w:ind w:firstLine="641"/>
        <w:rPr>
          <w:rFonts w:ascii="仿宋_GB2312" w:hAnsi="仿宋" w:eastAsia="仿宋_GB2312"/>
          <w:color w:val="000000"/>
          <w:sz w:val="32"/>
          <w:szCs w:val="32"/>
        </w:rPr>
      </w:pPr>
      <w:r>
        <w:rPr>
          <w:rFonts w:hint="eastAsia" w:ascii="仿宋_GB2312" w:hAnsi="仿宋" w:eastAsia="仿宋_GB2312"/>
          <w:color w:val="000000"/>
          <w:sz w:val="32"/>
          <w:szCs w:val="32"/>
        </w:rPr>
        <w:t>14.住房保障支出（类）住房改革支出（款）住房公积金（项）:支出决算为460.62万元，完成预算100%。</w:t>
      </w:r>
    </w:p>
    <w:p>
      <w:pPr>
        <w:tabs>
          <w:tab w:val="right" w:pos="8306"/>
        </w:tabs>
        <w:spacing w:line="360" w:lineRule="auto"/>
        <w:ind w:firstLine="640"/>
        <w:outlineLvl w:val="1"/>
        <w:rPr>
          <w:rStyle w:val="25"/>
        </w:rPr>
      </w:pPr>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360" w:lineRule="auto"/>
        <w:ind w:firstLine="640"/>
        <w:outlineLvl w:val="1"/>
        <w:rPr>
          <w:rFonts w:ascii="仿宋" w:hAnsi="仿宋" w:eastAsia="仿宋"/>
          <w:color w:val="000000"/>
          <w:sz w:val="32"/>
          <w:szCs w:val="32"/>
        </w:rPr>
      </w:pPr>
      <w:bookmarkStart w:id="43" w:name="_Toc15396609"/>
      <w:bookmarkStart w:id="44" w:name="_Toc15377215"/>
      <w:r>
        <w:rPr>
          <w:rFonts w:hint="eastAsia" w:ascii="仿宋_GB2312" w:hAnsi="仿宋" w:eastAsia="仿宋_GB2312"/>
          <w:color w:val="000000"/>
          <w:sz w:val="32"/>
          <w:szCs w:val="32"/>
        </w:rPr>
        <w:t>2021年一般公共预算财政拨款基本支出5360.85万元，其中：人员经费4907.31万元，主要包括：</w:t>
      </w:r>
      <w:r>
        <w:rPr>
          <w:rFonts w:hint="eastAsia" w:ascii="仿宋" w:hAnsi="仿宋" w:eastAsia="仿宋"/>
          <w:color w:val="000000"/>
          <w:sz w:val="32"/>
          <w:szCs w:val="32"/>
        </w:rPr>
        <w:t>基本工资、津贴补贴、奖金、伙食补助费、绩效工资、机关事业单位基本养老保险缴费、职业年金缴费、其他社会保障缴费、住房公积金、医疗费、其他工资福利支出、抚恤金、生活补助、医疗费补助、奖励金、其他对个人和家庭的补助支出等。</w:t>
      </w:r>
    </w:p>
    <w:p>
      <w:pPr>
        <w:spacing w:line="360" w:lineRule="auto"/>
        <w:ind w:firstLine="640"/>
        <w:outlineLvl w:val="1"/>
        <w:rPr>
          <w:rFonts w:ascii="仿宋" w:hAnsi="仿宋" w:eastAsia="仿宋"/>
          <w:color w:val="000000"/>
          <w:sz w:val="32"/>
          <w:szCs w:val="32"/>
        </w:rPr>
      </w:pPr>
      <w:r>
        <w:rPr>
          <w:rFonts w:hint="eastAsia" w:ascii="仿宋_GB2312" w:hAnsi="仿宋" w:eastAsia="仿宋_GB2312"/>
          <w:color w:val="000000"/>
          <w:sz w:val="32"/>
          <w:szCs w:val="32"/>
        </w:rPr>
        <w:t>公用经费453.54万元，主要包括：</w:t>
      </w:r>
      <w:r>
        <w:rPr>
          <w:rFonts w:hint="eastAsia" w:ascii="仿宋" w:hAnsi="仿宋" w:eastAsia="仿宋"/>
          <w:color w:val="000000"/>
          <w:sz w:val="32"/>
          <w:szCs w:val="32"/>
        </w:rPr>
        <w:t>办公费、印刷费、咨询费、水费、电费、邮电费、物业管理费、差旅费、维修（护）费、租赁费、会议费、培训费、公务接待费、专用材料费、被装购置费、专用燃料费、劳务费、委托业务费、福利费、公务用车运行维护费、其他交通费、其他商品和服务支出、办公设备购置、专用设备购置、其他资本性支出等。</w:t>
      </w:r>
    </w:p>
    <w:p>
      <w:pPr>
        <w:spacing w:line="360" w:lineRule="auto"/>
        <w:ind w:firstLine="640"/>
        <w:outlineLvl w:val="1"/>
        <w:rPr>
          <w:rStyle w:val="25"/>
          <w:rFonts w:ascii="黑体" w:hAnsi="黑体" w:eastAsia="黑体"/>
          <w:b w:val="0"/>
        </w:rPr>
      </w:pPr>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360" w:lineRule="auto"/>
        <w:ind w:firstLine="640" w:firstLineChars="200"/>
        <w:rPr>
          <w:rFonts w:ascii="楷体" w:hAnsi="楷体" w:eastAsia="楷体" w:cs="楷体"/>
          <w:bCs/>
          <w:color w:val="000000"/>
          <w:kern w:val="0"/>
          <w:sz w:val="32"/>
          <w:szCs w:val="32"/>
        </w:rPr>
      </w:pPr>
      <w:bookmarkStart w:id="45" w:name="_Toc15377216"/>
      <w:r>
        <w:rPr>
          <w:rFonts w:hint="eastAsia" w:ascii="楷体" w:hAnsi="楷体" w:eastAsia="楷体" w:cs="楷体"/>
          <w:bCs/>
          <w:color w:val="000000"/>
          <w:kern w:val="0"/>
          <w:sz w:val="32"/>
          <w:szCs w:val="32"/>
        </w:rPr>
        <w:t>（一）“三公”经费财政拨款支出决算总体情况说明</w:t>
      </w:r>
      <w:bookmarkEnd w:id="45"/>
      <w:r>
        <w:rPr>
          <w:rFonts w:hint="eastAsia" w:ascii="楷体" w:hAnsi="楷体" w:eastAsia="楷体" w:cs="楷体"/>
          <w:bCs/>
          <w:color w:val="000000"/>
          <w:kern w:val="0"/>
          <w:sz w:val="32"/>
          <w:szCs w:val="32"/>
        </w:rPr>
        <w:t>。</w:t>
      </w:r>
    </w:p>
    <w:p>
      <w:pPr>
        <w:spacing w:line="360" w:lineRule="auto"/>
        <w:ind w:firstLine="640"/>
        <w:outlineLvl w:val="1"/>
        <w:rPr>
          <w:rFonts w:ascii="仿宋_GB2312" w:hAnsi="仿宋" w:eastAsia="仿宋_GB2312"/>
          <w:color w:val="000000"/>
          <w:sz w:val="32"/>
          <w:szCs w:val="32"/>
        </w:rPr>
      </w:pPr>
      <w:bookmarkStart w:id="46" w:name="_Toc15377217"/>
      <w:r>
        <w:rPr>
          <w:rFonts w:hint="eastAsia" w:ascii="仿宋_GB2312" w:hAnsi="仿宋" w:eastAsia="仿宋_GB2312"/>
          <w:color w:val="000000"/>
          <w:sz w:val="32"/>
          <w:szCs w:val="32"/>
        </w:rPr>
        <w:t>2021年“三公”经费财政拨款支出决算为227.81万元，完成预算100%。</w:t>
      </w:r>
    </w:p>
    <w:p>
      <w:pPr>
        <w:spacing w:line="360" w:lineRule="auto"/>
        <w:ind w:firstLine="640" w:firstLineChars="200"/>
        <w:rPr>
          <w:rFonts w:ascii="楷体" w:hAnsi="楷体" w:eastAsia="楷体" w:cs="楷体"/>
          <w:bCs/>
          <w:color w:val="000000"/>
          <w:kern w:val="0"/>
          <w:sz w:val="32"/>
          <w:szCs w:val="32"/>
        </w:rPr>
      </w:pPr>
      <w:r>
        <w:rPr>
          <w:rFonts w:hint="eastAsia" w:ascii="楷体" w:hAnsi="楷体" w:eastAsia="楷体" w:cs="楷体"/>
          <w:bCs/>
          <w:color w:val="000000"/>
          <w:kern w:val="0"/>
          <w:sz w:val="32"/>
          <w:szCs w:val="32"/>
        </w:rPr>
        <w:t>（二）“三公”经费财政拨款支出决算具体情况说明</w:t>
      </w:r>
      <w:bookmarkEnd w:id="46"/>
      <w:r>
        <w:rPr>
          <w:rFonts w:hint="eastAsia" w:ascii="楷体" w:hAnsi="楷体" w:eastAsia="楷体" w:cs="楷体"/>
          <w:bCs/>
          <w:color w:val="000000"/>
          <w:kern w:val="0"/>
          <w:sz w:val="32"/>
          <w:szCs w:val="32"/>
        </w:rPr>
        <w:t>。</w:t>
      </w:r>
    </w:p>
    <w:p>
      <w:pPr>
        <w:spacing w:line="360" w:lineRule="auto"/>
        <w:ind w:firstLine="640"/>
        <w:rPr>
          <w:rFonts w:ascii="仿宋_GB2312" w:hAnsi="仿宋" w:eastAsia="仿宋_GB2312"/>
          <w:color w:val="000000"/>
          <w:sz w:val="32"/>
          <w:szCs w:val="32"/>
        </w:rPr>
      </w:pPr>
      <w:r>
        <w:rPr>
          <w:rFonts w:hint="eastAsia" w:ascii="仿宋_GB2312" w:hAnsi="仿宋" w:eastAsia="仿宋_GB2312"/>
          <w:color w:val="000000"/>
          <w:sz w:val="32"/>
          <w:szCs w:val="32"/>
        </w:rPr>
        <w:t>2021年“三公”经费财政拨款支出决算中，公务用车购置及运行维护费支出决算226.23万元，占99.31</w:t>
      </w:r>
      <w:r>
        <w:rPr>
          <w:rFonts w:ascii="仿宋_GB2312" w:hAnsi="仿宋" w:eastAsia="仿宋_GB2312"/>
          <w:color w:val="000000"/>
          <w:sz w:val="32"/>
          <w:szCs w:val="32"/>
        </w:rPr>
        <w:t>%</w:t>
      </w:r>
      <w:r>
        <w:rPr>
          <w:rFonts w:hint="eastAsia" w:ascii="仿宋_GB2312" w:hAnsi="仿宋" w:eastAsia="仿宋_GB2312"/>
          <w:color w:val="000000"/>
          <w:sz w:val="32"/>
          <w:szCs w:val="32"/>
        </w:rPr>
        <w:t>；公务接待费支出决算1.58万元，占0.69</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pPr>
        <w:spacing w:line="360" w:lineRule="auto"/>
        <w:rPr>
          <w:rFonts w:ascii="仿宋_GB2312" w:eastAsia="仿宋_GB2312"/>
          <w:color w:val="000000"/>
          <w:sz w:val="32"/>
          <w:szCs w:val="32"/>
        </w:rPr>
      </w:pPr>
      <w:r>
        <w:rPr>
          <w:rFonts w:ascii="微软雅黑" w:cs="宋体"/>
          <w:color w:val="333333"/>
          <w:sz w:val="27"/>
          <w:szCs w:val="27"/>
        </w:rPr>
        <w:drawing>
          <wp:inline distT="0" distB="0" distL="0" distR="0">
            <wp:extent cx="5358130" cy="2185035"/>
            <wp:effectExtent l="4445" t="4445" r="9525" b="2032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Pr>
          <w:rFonts w:hint="eastAsia" w:ascii="仿宋" w:hAnsi="仿宋" w:eastAsia="仿宋"/>
          <w:color w:val="000000"/>
          <w:sz w:val="32"/>
          <w:szCs w:val="32"/>
        </w:rPr>
        <w:t>（图7：“三公”经费财政拨款支出结构）（饼状图）</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1.因公出国（境）费0万元。</w:t>
      </w:r>
    </w:p>
    <w:p>
      <w:pPr>
        <w:widowControl/>
        <w:shd w:val="clear" w:color="auto" w:fill="FFFFFF"/>
        <w:spacing w:line="560" w:lineRule="exact"/>
        <w:ind w:firstLine="640" w:firstLineChars="200"/>
        <w:jc w:val="left"/>
        <w:rPr>
          <w:rFonts w:ascii="仿宋_GB2312" w:eastAsia="仿宋_GB2312"/>
          <w:color w:val="000000"/>
          <w:sz w:val="32"/>
          <w:szCs w:val="32"/>
        </w:rPr>
      </w:pPr>
      <w:r>
        <w:rPr>
          <w:rFonts w:hint="eastAsia" w:ascii="仿宋_GB2312" w:eastAsia="仿宋_GB2312"/>
          <w:color w:val="000000"/>
          <w:sz w:val="32"/>
          <w:szCs w:val="32"/>
        </w:rPr>
        <w:t>2.公务用车购置及运行维护费支出</w:t>
      </w:r>
      <w:r>
        <w:rPr>
          <w:rFonts w:hint="eastAsia" w:ascii="仿宋_GB2312" w:hAnsi="仿宋" w:eastAsia="仿宋_GB2312"/>
          <w:color w:val="000000"/>
          <w:sz w:val="32"/>
          <w:szCs w:val="32"/>
        </w:rPr>
        <w:t>226.23</w:t>
      </w:r>
      <w:r>
        <w:rPr>
          <w:rFonts w:hint="eastAsia" w:ascii="仿宋_GB2312" w:eastAsia="仿宋_GB2312"/>
          <w:color w:val="000000"/>
          <w:sz w:val="32"/>
          <w:szCs w:val="32"/>
        </w:rPr>
        <w:t>万元</w:t>
      </w:r>
      <w:r>
        <w:rPr>
          <w:rFonts w:hint="eastAsia" w:ascii="仿宋_GB2312" w:hAnsi="仿宋" w:eastAsia="仿宋_GB2312"/>
          <w:color w:val="000000"/>
          <w:sz w:val="32"/>
          <w:szCs w:val="32"/>
        </w:rPr>
        <w:t>，完成预算100%。</w:t>
      </w:r>
      <w:r>
        <w:rPr>
          <w:rFonts w:hint="eastAsia" w:ascii="仿宋_GB2312" w:eastAsia="仿宋_GB2312"/>
          <w:color w:val="000000"/>
          <w:sz w:val="32"/>
          <w:szCs w:val="32"/>
        </w:rPr>
        <w:t>公务用车购置及运行维护费支出决算比2020年</w:t>
      </w:r>
      <w:r>
        <w:rPr>
          <w:rFonts w:hint="eastAsia" w:ascii="仿宋_GB2312" w:hAnsi="仿宋" w:eastAsia="仿宋_GB2312"/>
          <w:color w:val="000000"/>
          <w:sz w:val="32"/>
          <w:szCs w:val="32"/>
        </w:rPr>
        <w:t>95.95</w:t>
      </w:r>
      <w:r>
        <w:rPr>
          <w:rFonts w:hint="eastAsia" w:ascii="仿宋_GB2312" w:hAnsi="微软雅黑" w:eastAsia="仿宋_GB2312" w:cs="宋体"/>
          <w:color w:val="000000"/>
          <w:sz w:val="32"/>
          <w:szCs w:val="32"/>
        </w:rPr>
        <w:t>万元</w:t>
      </w:r>
      <w:r>
        <w:rPr>
          <w:rFonts w:hint="eastAsia" w:ascii="仿宋_GB2312" w:eastAsia="仿宋_GB2312"/>
          <w:color w:val="000000"/>
          <w:sz w:val="32"/>
          <w:szCs w:val="32"/>
        </w:rPr>
        <w:t>增加130.28万元，上升135.75</w:t>
      </w:r>
      <w:r>
        <w:rPr>
          <w:rFonts w:ascii="仿宋_GB2312" w:eastAsia="仿宋_GB2312"/>
          <w:color w:val="000000"/>
          <w:sz w:val="32"/>
          <w:szCs w:val="32"/>
        </w:rPr>
        <w:t>%</w:t>
      </w:r>
      <w:r>
        <w:rPr>
          <w:rFonts w:hint="eastAsia" w:ascii="仿宋_GB2312" w:eastAsia="仿宋_GB2312"/>
          <w:color w:val="000000"/>
          <w:sz w:val="32"/>
          <w:szCs w:val="32"/>
        </w:rPr>
        <w:t>。主要原因是报废旧车，购置薪酬</w:t>
      </w:r>
      <w:r>
        <w:rPr>
          <w:rFonts w:hint="eastAsia" w:ascii="仿宋_GB2312" w:hAnsi="仿宋" w:eastAsia="仿宋_GB2312"/>
          <w:color w:val="000000"/>
          <w:sz w:val="32"/>
          <w:szCs w:val="32"/>
        </w:rPr>
        <w:t>。</w:t>
      </w:r>
    </w:p>
    <w:p>
      <w:pPr>
        <w:spacing w:line="560" w:lineRule="exact"/>
        <w:ind w:firstLine="640" w:firstLineChars="200"/>
        <w:rPr>
          <w:rFonts w:ascii="仿宋_GB2312" w:hAnsi="微软雅黑" w:eastAsia="仿宋_GB2312" w:cs="宋体"/>
          <w:color w:val="000000"/>
          <w:sz w:val="32"/>
          <w:szCs w:val="32"/>
        </w:rPr>
      </w:pPr>
      <w:r>
        <w:rPr>
          <w:rFonts w:hint="eastAsia" w:ascii="仿宋_GB2312" w:eastAsia="仿宋_GB2312"/>
          <w:color w:val="000000"/>
          <w:sz w:val="32"/>
          <w:szCs w:val="32"/>
        </w:rPr>
        <w:t>其中：</w:t>
      </w:r>
      <w:r>
        <w:rPr>
          <w:rFonts w:hint="eastAsia" w:ascii="仿宋_GB2312" w:hAnsi="微软雅黑" w:eastAsia="仿宋_GB2312" w:cs="宋体"/>
          <w:color w:val="000000"/>
          <w:sz w:val="32"/>
        </w:rPr>
        <w:t>公务用车购置支出</w:t>
      </w:r>
      <w:r>
        <w:rPr>
          <w:rFonts w:hint="eastAsia" w:ascii="仿宋_GB2312" w:hAnsi="微软雅黑" w:eastAsia="仿宋_GB2312" w:cs="宋体"/>
          <w:color w:val="000000"/>
          <w:sz w:val="32"/>
          <w:szCs w:val="32"/>
        </w:rPr>
        <w:t>143.11万元。全年按规定更新购置公务用车5辆。截至2021年</w:t>
      </w:r>
      <w:r>
        <w:rPr>
          <w:rFonts w:ascii="仿宋_GB2312" w:hAnsi="微软雅黑" w:eastAsia="仿宋_GB2312" w:cs="宋体"/>
          <w:color w:val="000000"/>
          <w:sz w:val="32"/>
          <w:szCs w:val="32"/>
        </w:rPr>
        <w:t>12</w:t>
      </w:r>
      <w:r>
        <w:rPr>
          <w:rFonts w:hint="eastAsia" w:ascii="仿宋_GB2312" w:hAnsi="微软雅黑" w:eastAsia="仿宋_GB2312" w:cs="宋体"/>
          <w:color w:val="000000"/>
          <w:sz w:val="32"/>
          <w:szCs w:val="32"/>
        </w:rPr>
        <w:t>月底，单位共有执法公务用车55辆，其中：轿车7辆、越野车16辆、小型载客汽车4辆，大中型载客汽车5辆，其他车型23辆。</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公务用车运行维护费支出</w:t>
      </w:r>
      <w:r>
        <w:rPr>
          <w:rFonts w:hint="eastAsia" w:ascii="仿宋_GB2312" w:hAnsi="仿宋" w:eastAsia="仿宋_GB2312"/>
          <w:color w:val="000000"/>
          <w:sz w:val="32"/>
          <w:szCs w:val="32"/>
        </w:rPr>
        <w:t>83.12</w:t>
      </w:r>
      <w:r>
        <w:rPr>
          <w:rFonts w:hint="eastAsia" w:ascii="仿宋_GB2312" w:eastAsia="仿宋_GB2312"/>
          <w:color w:val="000000"/>
          <w:sz w:val="32"/>
          <w:szCs w:val="32"/>
        </w:rPr>
        <w:t>万元。主要用于</w:t>
      </w:r>
      <w:r>
        <w:rPr>
          <w:rFonts w:hint="eastAsia" w:ascii="仿宋_GB2312" w:eastAsia="仿宋_GB2312"/>
          <w:sz w:val="32"/>
          <w:szCs w:val="32"/>
        </w:rPr>
        <w:t>安保维稳、执法办案</w:t>
      </w:r>
      <w:r>
        <w:rPr>
          <w:rFonts w:hint="eastAsia" w:ascii="仿宋_GB2312" w:eastAsia="仿宋_GB2312"/>
          <w:color w:val="000000"/>
          <w:sz w:val="32"/>
          <w:szCs w:val="32"/>
        </w:rPr>
        <w:t>、巡逻防范等所需的公务用车燃料费、维修费、过路过桥费、保险费等支出。</w:t>
      </w:r>
    </w:p>
    <w:p>
      <w:pPr>
        <w:spacing w:line="560" w:lineRule="exact"/>
        <w:ind w:firstLine="640"/>
        <w:rPr>
          <w:rFonts w:ascii="仿宋_GB2312" w:eastAsia="仿宋_GB2312"/>
          <w:color w:val="000000"/>
          <w:sz w:val="32"/>
          <w:szCs w:val="32"/>
        </w:rPr>
      </w:pPr>
      <w:r>
        <w:rPr>
          <w:rFonts w:hint="eastAsia" w:ascii="仿宋_GB2312" w:eastAsia="仿宋_GB2312"/>
          <w:color w:val="000000"/>
          <w:sz w:val="32"/>
          <w:szCs w:val="32"/>
        </w:rPr>
        <w:t>3.公务接待费支出1.58万元</w:t>
      </w:r>
      <w:r>
        <w:rPr>
          <w:rFonts w:hint="eastAsia" w:ascii="仿宋_GB2312" w:hAnsi="仿宋" w:eastAsia="仿宋_GB2312"/>
          <w:color w:val="000000"/>
          <w:sz w:val="32"/>
          <w:szCs w:val="32"/>
        </w:rPr>
        <w:t>，完成预算100%。</w:t>
      </w:r>
      <w:r>
        <w:rPr>
          <w:rFonts w:hint="eastAsia" w:ascii="仿宋_GB2312" w:eastAsia="仿宋_GB2312"/>
          <w:color w:val="000000"/>
          <w:sz w:val="32"/>
          <w:szCs w:val="32"/>
        </w:rPr>
        <w:t>公务接待费支出决算比2020年</w:t>
      </w:r>
      <w:r>
        <w:rPr>
          <w:rFonts w:hint="eastAsia" w:ascii="仿宋_GB2312" w:hAnsi="微软雅黑" w:eastAsia="仿宋_GB2312" w:cs="宋体"/>
          <w:color w:val="000000"/>
          <w:sz w:val="32"/>
          <w:szCs w:val="32"/>
        </w:rPr>
        <w:t>0.9</w:t>
      </w:r>
      <w:r>
        <w:rPr>
          <w:rFonts w:hint="eastAsia" w:ascii="仿宋_GB2312" w:eastAsia="仿宋_GB2312"/>
          <w:color w:val="000000"/>
          <w:sz w:val="32"/>
          <w:szCs w:val="32"/>
        </w:rPr>
        <w:t>万元，增加0.68万元，上升75.56</w:t>
      </w:r>
      <w:r>
        <w:rPr>
          <w:rFonts w:ascii="仿宋_GB2312" w:eastAsia="仿宋_GB2312"/>
          <w:color w:val="000000"/>
          <w:sz w:val="32"/>
          <w:szCs w:val="32"/>
        </w:rPr>
        <w:t>%</w:t>
      </w:r>
      <w:r>
        <w:rPr>
          <w:rFonts w:hint="eastAsia" w:ascii="仿宋_GB2312" w:eastAsia="仿宋_GB2312"/>
          <w:color w:val="000000"/>
          <w:sz w:val="32"/>
          <w:szCs w:val="32"/>
        </w:rPr>
        <w:t>。主要原因是建党100周年党建检查、政法教育整顿检查、创全国文明城市检查等，公务接待次数多。</w:t>
      </w:r>
    </w:p>
    <w:p>
      <w:pPr>
        <w:spacing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主要用于执行公务、开展业务活动开支的用餐费。国内公务接待8批次，112人次（不包括陪同人员），共计支出1.58万元，具体内容包括：</w:t>
      </w:r>
    </w:p>
    <w:p>
      <w:pPr>
        <w:spacing w:line="560" w:lineRule="exact"/>
        <w:ind w:firstLine="640" w:firstLineChars="200"/>
        <w:rPr>
          <w:rFonts w:ascii="仿宋_GB2312" w:eastAsia="仿宋_GB2312"/>
          <w:color w:val="000000"/>
          <w:sz w:val="32"/>
          <w:szCs w:val="32"/>
        </w:rPr>
      </w:pPr>
      <w:r>
        <w:rPr>
          <w:rFonts w:hint="eastAsia" w:ascii="仿宋_GB2312" w:hAnsi="仿宋" w:eastAsia="仿宋_GB2312"/>
          <w:color w:val="000000"/>
          <w:sz w:val="32"/>
          <w:szCs w:val="32"/>
        </w:rPr>
        <w:t>外事接待支出0</w:t>
      </w:r>
      <w:r>
        <w:rPr>
          <w:rFonts w:hint="eastAsia" w:ascii="仿宋_GB2312" w:eastAsia="仿宋_GB2312"/>
          <w:color w:val="000000"/>
          <w:sz w:val="32"/>
          <w:szCs w:val="32"/>
        </w:rPr>
        <w:t>万元，外事接待0批次，0人，共计支出0万元。</w:t>
      </w:r>
    </w:p>
    <w:p>
      <w:pPr>
        <w:shd w:val="clear" w:color="auto" w:fill="FFFFFF"/>
        <w:spacing w:line="560" w:lineRule="exact"/>
        <w:ind w:firstLine="643"/>
        <w:jc w:val="left"/>
        <w:rPr>
          <w:rFonts w:ascii="黑体" w:eastAsia="黑体"/>
          <w:color w:val="000000"/>
          <w:sz w:val="32"/>
          <w:szCs w:val="32"/>
        </w:rPr>
      </w:pPr>
      <w:r>
        <w:rPr>
          <w:rFonts w:hint="eastAsia" w:ascii="仿宋" w:hAnsi="仿宋" w:eastAsia="仿宋" w:cs="宋体"/>
          <w:color w:val="000000"/>
          <w:sz w:val="32"/>
        </w:rPr>
        <w:t>其他国内公务接待支出</w:t>
      </w:r>
      <w:r>
        <w:rPr>
          <w:rFonts w:hint="eastAsia" w:ascii="仿宋_GB2312" w:eastAsia="仿宋_GB2312"/>
          <w:color w:val="000000"/>
          <w:sz w:val="32"/>
          <w:szCs w:val="32"/>
        </w:rPr>
        <w:t>1.58</w:t>
      </w:r>
      <w:r>
        <w:rPr>
          <w:rFonts w:hint="eastAsia" w:ascii="仿宋_GB2312" w:hAnsi="微软雅黑" w:eastAsia="仿宋_GB2312" w:cs="宋体"/>
          <w:color w:val="000000"/>
          <w:sz w:val="32"/>
          <w:szCs w:val="32"/>
        </w:rPr>
        <w:t>万元，</w:t>
      </w:r>
      <w:r>
        <w:rPr>
          <w:rFonts w:hint="eastAsia" w:ascii="仿宋_GB2312" w:hAnsi="微软雅黑" w:eastAsia="仿宋_GB2312" w:cs="宋体"/>
          <w:color w:val="000000"/>
          <w:kern w:val="0"/>
          <w:sz w:val="32"/>
          <w:szCs w:val="32"/>
        </w:rPr>
        <w:t>主要用于</w:t>
      </w:r>
      <w:r>
        <w:rPr>
          <w:rFonts w:hint="eastAsia" w:ascii="仿宋_GB2312" w:hAnsi="微软雅黑" w:eastAsia="仿宋_GB2312" w:cs="宋体"/>
          <w:color w:val="333333"/>
          <w:kern w:val="0"/>
          <w:sz w:val="32"/>
          <w:szCs w:val="32"/>
        </w:rPr>
        <w:t>执行公务、开展业务活动开支的用餐费。</w:t>
      </w:r>
      <w:bookmarkStart w:id="47" w:name="_Toc15396610"/>
      <w:bookmarkStart w:id="48" w:name="_Toc15377218"/>
    </w:p>
    <w:p>
      <w:pPr>
        <w:spacing w:line="56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560" w:lineRule="exact"/>
        <w:ind w:firstLine="641"/>
        <w:rPr>
          <w:rFonts w:ascii="仿宋_GB2312" w:hAnsi="仿宋" w:eastAsia="仿宋_GB2312"/>
          <w:color w:val="000000"/>
          <w:sz w:val="32"/>
          <w:szCs w:val="32"/>
        </w:rPr>
      </w:pPr>
      <w:r>
        <w:rPr>
          <w:rFonts w:hint="eastAsia" w:ascii="仿宋_GB2312" w:hAnsi="仿宋" w:eastAsia="仿宋_GB2312"/>
          <w:color w:val="000000"/>
          <w:sz w:val="32"/>
          <w:szCs w:val="32"/>
        </w:rPr>
        <w:t>2021年政府性基金预算财政拨款收入总计2223.37万元。与2020年788.74</w:t>
      </w:r>
      <w:r>
        <w:rPr>
          <w:rFonts w:hint="eastAsia" w:ascii="仿宋_GB2312" w:hAnsi="微软雅黑" w:eastAsia="仿宋_GB2312" w:cs="宋体"/>
          <w:color w:val="000000"/>
          <w:kern w:val="0"/>
          <w:sz w:val="32"/>
          <w:szCs w:val="32"/>
        </w:rPr>
        <w:t>万元</w:t>
      </w:r>
      <w:r>
        <w:rPr>
          <w:rFonts w:hint="eastAsia" w:ascii="仿宋_GB2312" w:hAnsi="仿宋" w:eastAsia="仿宋_GB2312"/>
          <w:color w:val="000000"/>
          <w:sz w:val="32"/>
          <w:szCs w:val="32"/>
        </w:rPr>
        <w:t>相比，政府性基金预算财政拨款收入总计各增加1434.63万元，上升181.89</w:t>
      </w:r>
      <w:r>
        <w:rPr>
          <w:rFonts w:ascii="仿宋_GB2312" w:hAnsi="仿宋" w:eastAsia="仿宋_GB2312"/>
          <w:color w:val="000000"/>
          <w:sz w:val="32"/>
          <w:szCs w:val="32"/>
        </w:rPr>
        <w:t>%</w:t>
      </w:r>
      <w:r>
        <w:rPr>
          <w:rFonts w:hint="eastAsia" w:ascii="仿宋_GB2312" w:hAnsi="仿宋" w:eastAsia="仿宋_GB2312"/>
          <w:color w:val="000000"/>
          <w:sz w:val="32"/>
          <w:szCs w:val="32"/>
        </w:rPr>
        <w:t>。主要变动原因是2021年将财政2020年下达的一般公共预算财政拨款调为政府性基金预算财政拨款。</w:t>
      </w:r>
    </w:p>
    <w:p>
      <w:pPr>
        <w:spacing w:line="560" w:lineRule="exact"/>
        <w:ind w:firstLine="640"/>
        <w:rPr>
          <w:rFonts w:ascii="仿宋_GB2312" w:eastAsia="仿宋_GB2312"/>
          <w:color w:val="000000"/>
          <w:sz w:val="32"/>
          <w:szCs w:val="32"/>
        </w:rPr>
      </w:pPr>
      <w:r>
        <w:rPr>
          <w:rFonts w:hint="eastAsia" w:ascii="仿宋_GB2312" w:hAnsi="仿宋" w:eastAsia="仿宋_GB2312"/>
          <w:color w:val="000000"/>
          <w:sz w:val="32"/>
          <w:szCs w:val="32"/>
        </w:rPr>
        <w:t>2021年政府性基金预算财政拨款支出决算为2223.37万元，完成预算100</w:t>
      </w:r>
      <w:r>
        <w:rPr>
          <w:rFonts w:ascii="仿宋_GB2312" w:hAnsi="仿宋" w:eastAsia="仿宋_GB2312"/>
          <w:color w:val="000000"/>
          <w:sz w:val="32"/>
          <w:szCs w:val="32"/>
        </w:rPr>
        <w:t>%</w:t>
      </w:r>
      <w:r>
        <w:rPr>
          <w:rFonts w:hint="eastAsia" w:ascii="仿宋_GB2312" w:hAnsi="仿宋" w:eastAsia="仿宋_GB2312"/>
          <w:color w:val="000000"/>
          <w:sz w:val="32"/>
          <w:szCs w:val="32"/>
        </w:rPr>
        <w:t>。</w:t>
      </w:r>
    </w:p>
    <w:p>
      <w:pPr>
        <w:numPr>
          <w:ilvl w:val="0"/>
          <w:numId w:val="4"/>
        </w:numPr>
        <w:spacing w:line="560" w:lineRule="exact"/>
        <w:ind w:firstLine="640"/>
        <w:outlineLvl w:val="1"/>
        <w:rPr>
          <w:rStyle w:val="25"/>
          <w:rFonts w:ascii="黑体" w:hAnsi="黑体" w:eastAsia="黑体"/>
          <w:b w:val="0"/>
        </w:rPr>
      </w:pPr>
      <w:bookmarkStart w:id="49" w:name="_Toc15396611"/>
      <w:bookmarkStart w:id="50" w:name="_Toc15377219"/>
      <w:r>
        <w:rPr>
          <w:rStyle w:val="25"/>
          <w:rFonts w:hint="eastAsia" w:ascii="黑体" w:hAnsi="黑体" w:eastAsia="黑体"/>
          <w:b w:val="0"/>
        </w:rPr>
        <w:t>国有资本经营预算支出决算情况说明</w:t>
      </w:r>
      <w:bookmarkEnd w:id="49"/>
      <w:bookmarkEnd w:id="50"/>
    </w:p>
    <w:p>
      <w:pPr>
        <w:spacing w:line="560" w:lineRule="exact"/>
        <w:ind w:firstLine="640"/>
        <w:rPr>
          <w:rFonts w:ascii="方正小标宋简体" w:hAnsi="方正小标宋简体" w:eastAsia="方正小标宋简体" w:cs="方正小标宋简体"/>
          <w:sz w:val="44"/>
          <w:szCs w:val="44"/>
        </w:rPr>
      </w:pPr>
      <w:r>
        <w:rPr>
          <w:rFonts w:hint="eastAsia" w:ascii="仿宋_GB2312" w:eastAsia="仿宋_GB2312"/>
          <w:color w:val="000000"/>
          <w:sz w:val="32"/>
          <w:szCs w:val="32"/>
        </w:rPr>
        <w:t>2021年国有资本经营预算拨款支出0万元。</w:t>
      </w:r>
    </w:p>
    <w:p>
      <w:pPr>
        <w:spacing w:line="560" w:lineRule="exact"/>
        <w:ind w:firstLine="800" w:firstLineChars="250"/>
        <w:outlineLvl w:val="1"/>
        <w:rPr>
          <w:rStyle w:val="25"/>
          <w:rFonts w:ascii="黑体" w:hAnsi="黑体" w:eastAsia="黑体"/>
        </w:rPr>
      </w:pPr>
      <w:bookmarkStart w:id="51" w:name="_Toc15396612"/>
      <w:bookmarkStart w:id="52"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1"/>
      <w:bookmarkEnd w:id="52"/>
    </w:p>
    <w:p>
      <w:pPr>
        <w:spacing w:line="560" w:lineRule="exact"/>
        <w:ind w:firstLine="640" w:firstLineChars="200"/>
        <w:outlineLvl w:val="2"/>
        <w:rPr>
          <w:rFonts w:ascii="楷体" w:hAnsi="楷体" w:eastAsia="楷体" w:cs="楷体"/>
          <w:bCs/>
          <w:color w:val="000000"/>
          <w:sz w:val="32"/>
          <w:szCs w:val="32"/>
        </w:rPr>
      </w:pPr>
      <w:bookmarkStart w:id="53" w:name="_Toc15377222"/>
      <w:r>
        <w:rPr>
          <w:rFonts w:hint="eastAsia" w:ascii="楷体" w:hAnsi="楷体" w:eastAsia="楷体" w:cs="楷体"/>
          <w:bCs/>
          <w:color w:val="000000"/>
          <w:sz w:val="32"/>
          <w:szCs w:val="32"/>
        </w:rPr>
        <w:t>（一）机关运行经费支出情况</w:t>
      </w:r>
      <w:bookmarkEnd w:id="53"/>
      <w:r>
        <w:rPr>
          <w:rFonts w:hint="eastAsia" w:ascii="楷体" w:hAnsi="楷体" w:eastAsia="楷体" w:cs="楷体"/>
          <w:bCs/>
          <w:color w:val="000000"/>
          <w:sz w:val="32"/>
          <w:szCs w:val="32"/>
        </w:rPr>
        <w:t>。</w:t>
      </w:r>
    </w:p>
    <w:p>
      <w:pPr>
        <w:autoSpaceDE w:val="0"/>
        <w:autoSpaceDN w:val="0"/>
        <w:adjustRightInd w:val="0"/>
        <w:spacing w:line="560" w:lineRule="exact"/>
        <w:ind w:firstLine="640" w:firstLineChars="200"/>
        <w:jc w:val="left"/>
        <w:outlineLvl w:val="2"/>
        <w:rPr>
          <w:rFonts w:hint="default" w:ascii="仿宋_GB2312" w:eastAsia="仿宋_GB2312"/>
          <w:sz w:val="32"/>
          <w:lang w:val="en-US"/>
        </w:rPr>
      </w:pPr>
      <w:bookmarkStart w:id="54" w:name="_Toc15377223"/>
      <w:r>
        <w:rPr>
          <w:rFonts w:hint="eastAsia" w:ascii="仿宋_GB2312" w:eastAsia="仿宋_GB2312"/>
          <w:sz w:val="32"/>
        </w:rPr>
        <w:t>202</w:t>
      </w:r>
      <w:r>
        <w:rPr>
          <w:rFonts w:hint="eastAsia" w:ascii="仿宋_GB2312" w:eastAsia="仿宋_GB2312"/>
          <w:sz w:val="32"/>
          <w:lang w:val="en-US" w:eastAsia="zh-CN"/>
        </w:rPr>
        <w:t>1</w:t>
      </w:r>
      <w:r>
        <w:rPr>
          <w:rFonts w:hint="eastAsia" w:ascii="仿宋_GB2312" w:eastAsia="仿宋_GB2312"/>
          <w:sz w:val="32"/>
        </w:rPr>
        <w:t>年，米易县公安局机关运行经费支出</w:t>
      </w:r>
      <w:r>
        <w:rPr>
          <w:rFonts w:hint="eastAsia" w:ascii="仿宋_GB2312" w:eastAsia="仿宋_GB2312"/>
          <w:sz w:val="32"/>
          <w:lang w:val="en-US" w:eastAsia="zh-CN"/>
        </w:rPr>
        <w:t>453.54</w:t>
      </w:r>
      <w:r>
        <w:rPr>
          <w:rFonts w:hint="eastAsia" w:ascii="仿宋_GB2312" w:eastAsia="仿宋_GB2312"/>
          <w:sz w:val="32"/>
        </w:rPr>
        <w:t>万元，比202</w:t>
      </w:r>
      <w:r>
        <w:rPr>
          <w:rFonts w:hint="eastAsia" w:ascii="仿宋_GB2312" w:eastAsia="仿宋_GB2312"/>
          <w:sz w:val="32"/>
          <w:lang w:val="en-US" w:eastAsia="zh-CN"/>
        </w:rPr>
        <w:t>0</w:t>
      </w:r>
      <w:r>
        <w:rPr>
          <w:rFonts w:hint="eastAsia" w:ascii="仿宋_GB2312" w:eastAsia="仿宋_GB2312"/>
          <w:sz w:val="32"/>
        </w:rPr>
        <w:t>年</w:t>
      </w:r>
      <w:r>
        <w:rPr>
          <w:rFonts w:hint="eastAsia" w:ascii="仿宋_GB2312" w:eastAsia="仿宋_GB2312"/>
          <w:sz w:val="32"/>
          <w:lang w:val="en-US" w:eastAsia="zh-CN"/>
        </w:rPr>
        <w:t>581.62万元，减少128.08</w:t>
      </w:r>
      <w:r>
        <w:rPr>
          <w:rFonts w:hint="eastAsia" w:ascii="仿宋_GB2312" w:eastAsia="仿宋_GB2312"/>
          <w:sz w:val="32"/>
        </w:rPr>
        <w:t>万元，</w:t>
      </w:r>
      <w:r>
        <w:rPr>
          <w:rFonts w:hint="eastAsia" w:ascii="仿宋_GB2312" w:eastAsia="仿宋_GB2312"/>
          <w:sz w:val="32"/>
          <w:lang w:val="en-US" w:eastAsia="zh-CN"/>
        </w:rPr>
        <w:t>下降</w:t>
      </w:r>
      <w:r>
        <w:rPr>
          <w:rFonts w:hint="eastAsia" w:ascii="仿宋_GB2312" w:eastAsia="仿宋_GB2312"/>
          <w:sz w:val="32"/>
        </w:rPr>
        <w:t>2</w:t>
      </w:r>
      <w:r>
        <w:rPr>
          <w:rFonts w:hint="eastAsia" w:ascii="仿宋_GB2312" w:eastAsia="仿宋_GB2312"/>
          <w:sz w:val="32"/>
          <w:lang w:val="en-US" w:eastAsia="zh-CN"/>
        </w:rPr>
        <w:t>2.02</w:t>
      </w:r>
      <w:r>
        <w:rPr>
          <w:rFonts w:hint="eastAsia" w:ascii="仿宋_GB2312" w:eastAsia="仿宋_GB2312"/>
          <w:sz w:val="32"/>
        </w:rPr>
        <w:t>%。主要原因是</w:t>
      </w:r>
      <w:r>
        <w:rPr>
          <w:rFonts w:hint="eastAsia" w:ascii="仿宋_GB2312" w:eastAsia="仿宋_GB2312"/>
          <w:sz w:val="32"/>
          <w:lang w:val="en-US" w:eastAsia="zh-CN"/>
        </w:rPr>
        <w:t>一是因财政紧张，</w:t>
      </w:r>
      <w:r>
        <w:rPr>
          <w:rFonts w:hint="eastAsia" w:ascii="仿宋_GB2312" w:eastAsia="仿宋_GB2312"/>
          <w:sz w:val="32"/>
        </w:rPr>
        <w:t>202</w:t>
      </w:r>
      <w:r>
        <w:rPr>
          <w:rFonts w:hint="eastAsia" w:ascii="仿宋_GB2312" w:eastAsia="仿宋_GB2312"/>
          <w:sz w:val="32"/>
          <w:lang w:val="en-US" w:eastAsia="zh-CN"/>
        </w:rPr>
        <w:t>1</w:t>
      </w:r>
      <w:r>
        <w:rPr>
          <w:rFonts w:hint="eastAsia" w:ascii="仿宋_GB2312" w:eastAsia="仿宋_GB2312"/>
          <w:sz w:val="32"/>
        </w:rPr>
        <w:t>年</w:t>
      </w:r>
      <w:r>
        <w:rPr>
          <w:rFonts w:hint="eastAsia" w:ascii="仿宋_GB2312" w:eastAsia="仿宋_GB2312"/>
          <w:sz w:val="32"/>
          <w:lang w:val="en-US" w:eastAsia="zh-CN"/>
        </w:rPr>
        <w:t>机关</w:t>
      </w:r>
      <w:r>
        <w:rPr>
          <w:rFonts w:hint="eastAsia" w:ascii="仿宋_GB2312" w:eastAsia="仿宋_GB2312"/>
          <w:sz w:val="32"/>
        </w:rPr>
        <w:t>运行经费</w:t>
      </w:r>
      <w:r>
        <w:rPr>
          <w:rFonts w:hint="eastAsia" w:ascii="仿宋_GB2312" w:eastAsia="仿宋_GB2312"/>
          <w:sz w:val="32"/>
          <w:lang w:val="en-US" w:eastAsia="zh-CN"/>
        </w:rPr>
        <w:t>在2022年支付；二是因民警调出，人员减少2021年公用经费预算比2020年预算减少。</w:t>
      </w:r>
      <w:bookmarkStart w:id="74" w:name="_GoBack"/>
      <w:bookmarkEnd w:id="74"/>
    </w:p>
    <w:p>
      <w:pPr>
        <w:autoSpaceDE w:val="0"/>
        <w:autoSpaceDN w:val="0"/>
        <w:adjustRightInd w:val="0"/>
        <w:spacing w:line="560" w:lineRule="exact"/>
        <w:ind w:firstLine="640" w:firstLineChars="200"/>
        <w:jc w:val="left"/>
        <w:outlineLvl w:val="2"/>
        <w:rPr>
          <w:rFonts w:hint="eastAsia" w:ascii="仿宋_GB2312" w:eastAsia="仿宋_GB2312"/>
          <w:sz w:val="32"/>
        </w:rPr>
      </w:pPr>
      <w:r>
        <w:rPr>
          <w:rFonts w:hint="eastAsia" w:ascii="仿宋_GB2312" w:eastAsia="仿宋_GB2312"/>
          <w:sz w:val="32"/>
        </w:rPr>
        <w:t>主要用于单位办公费、水费、电费、邮电费、差旅费、培训费、劳务费、维修（护）费、公务接待费、公务用车运行维护费、福利费、其他交通费用、其他商品和服务支出等日常公用支出。</w:t>
      </w:r>
    </w:p>
    <w:p>
      <w:pPr>
        <w:autoSpaceDE w:val="0"/>
        <w:autoSpaceDN w:val="0"/>
        <w:adjustRightInd w:val="0"/>
        <w:spacing w:line="560" w:lineRule="exact"/>
        <w:ind w:firstLine="640" w:firstLineChars="200"/>
        <w:jc w:val="left"/>
        <w:outlineLvl w:val="2"/>
        <w:rPr>
          <w:rFonts w:ascii="楷体" w:hAnsi="楷体" w:eastAsia="楷体" w:cs="楷体"/>
          <w:bCs/>
          <w:color w:val="000000"/>
          <w:sz w:val="32"/>
          <w:szCs w:val="32"/>
        </w:rPr>
      </w:pPr>
      <w:r>
        <w:rPr>
          <w:rFonts w:hint="eastAsia" w:ascii="楷体" w:hAnsi="楷体" w:eastAsia="楷体" w:cs="楷体"/>
          <w:bCs/>
          <w:color w:val="000000"/>
          <w:sz w:val="32"/>
          <w:szCs w:val="32"/>
        </w:rPr>
        <w:t>（二）政府采购支出情况</w:t>
      </w:r>
      <w:bookmarkEnd w:id="54"/>
      <w:r>
        <w:rPr>
          <w:rFonts w:hint="eastAsia" w:ascii="楷体" w:hAnsi="楷体" w:eastAsia="楷体" w:cs="楷体"/>
          <w:bCs/>
          <w:color w:val="000000"/>
          <w:sz w:val="32"/>
          <w:szCs w:val="32"/>
        </w:rPr>
        <w:t>。</w:t>
      </w:r>
    </w:p>
    <w:p>
      <w:pPr>
        <w:spacing w:line="360" w:lineRule="auto"/>
        <w:ind w:firstLine="640" w:firstLineChars="200"/>
        <w:rPr>
          <w:rFonts w:ascii="仿宋" w:hAnsi="仿宋" w:eastAsia="仿宋"/>
          <w:b/>
          <w:color w:val="FF0000"/>
          <w:sz w:val="32"/>
          <w:szCs w:val="32"/>
        </w:rPr>
      </w:pPr>
      <w:r>
        <w:rPr>
          <w:rFonts w:hint="eastAsia" w:ascii="仿宋_GB2312" w:eastAsia="仿宋_GB2312"/>
          <w:sz w:val="32"/>
        </w:rPr>
        <w:t>本单位2021年度政府采购支出总额1983万元，其中：政府采购货物支出1427.19万元、政府采购工程支出238.84万元、政府采购服务支出271.98万元。授予中小企业合同金额1846.89万元，占政府采购支出总额的93.14</w:t>
      </w:r>
      <w:r>
        <w:rPr>
          <w:rFonts w:ascii="仿宋_GB2312" w:eastAsia="仿宋_GB2312"/>
          <w:sz w:val="32"/>
        </w:rPr>
        <w:t>%</w:t>
      </w:r>
      <w:r>
        <w:rPr>
          <w:rFonts w:hint="eastAsia" w:ascii="仿宋_GB2312" w:eastAsia="仿宋_GB2312"/>
          <w:sz w:val="32"/>
        </w:rPr>
        <w:t>，其中：授予小微企业合同金额1776.99万元，占政府采购支出总额的89.61</w:t>
      </w:r>
      <w:r>
        <w:rPr>
          <w:rFonts w:ascii="仿宋_GB2312" w:eastAsia="仿宋_GB2312"/>
          <w:sz w:val="32"/>
        </w:rPr>
        <w:t>%</w:t>
      </w:r>
      <w:r>
        <w:rPr>
          <w:rFonts w:hint="eastAsia" w:ascii="仿宋_GB2312" w:eastAsia="仿宋_GB2312"/>
          <w:sz w:val="32"/>
        </w:rPr>
        <w:t>。</w:t>
      </w:r>
    </w:p>
    <w:p>
      <w:pPr>
        <w:autoSpaceDE w:val="0"/>
        <w:autoSpaceDN w:val="0"/>
        <w:adjustRightInd w:val="0"/>
        <w:spacing w:line="360" w:lineRule="auto"/>
        <w:ind w:firstLine="640" w:firstLineChars="200"/>
        <w:jc w:val="left"/>
        <w:outlineLvl w:val="2"/>
        <w:rPr>
          <w:rFonts w:ascii="楷体" w:hAnsi="楷体" w:eastAsia="楷体" w:cs="楷体"/>
          <w:bCs/>
          <w:color w:val="000000"/>
          <w:sz w:val="32"/>
          <w:szCs w:val="32"/>
        </w:rPr>
      </w:pPr>
      <w:bookmarkStart w:id="55" w:name="_Toc15377224"/>
      <w:r>
        <w:rPr>
          <w:rFonts w:hint="eastAsia" w:ascii="楷体" w:hAnsi="楷体" w:eastAsia="楷体" w:cs="楷体"/>
          <w:bCs/>
          <w:color w:val="000000"/>
          <w:sz w:val="32"/>
          <w:szCs w:val="32"/>
        </w:rPr>
        <w:t>（三）国有资产占有使用情况</w:t>
      </w:r>
      <w:bookmarkEnd w:id="55"/>
      <w:r>
        <w:rPr>
          <w:rFonts w:hint="eastAsia" w:ascii="楷体" w:hAnsi="楷体" w:eastAsia="楷体" w:cs="楷体"/>
          <w:bCs/>
          <w:color w:val="000000"/>
          <w:sz w:val="32"/>
          <w:szCs w:val="32"/>
        </w:rPr>
        <w:t>。</w:t>
      </w:r>
    </w:p>
    <w:p>
      <w:pPr>
        <w:spacing w:line="560" w:lineRule="exact"/>
        <w:ind w:firstLine="640" w:firstLineChars="200"/>
        <w:rPr>
          <w:rFonts w:ascii="仿宋_GB2312" w:eastAsia="仿宋_GB2312"/>
          <w:sz w:val="32"/>
        </w:rPr>
      </w:pPr>
      <w:r>
        <w:rPr>
          <w:rFonts w:hint="eastAsia" w:ascii="仿宋_GB2312" w:eastAsia="仿宋_GB2312"/>
          <w:sz w:val="32"/>
        </w:rPr>
        <w:t>国有资产占有情况说明为：截至2021年</w:t>
      </w:r>
      <w:r>
        <w:rPr>
          <w:rFonts w:ascii="仿宋_GB2312" w:eastAsia="仿宋_GB2312"/>
          <w:sz w:val="32"/>
        </w:rPr>
        <w:t xml:space="preserve"> 12 </w:t>
      </w:r>
      <w:r>
        <w:rPr>
          <w:rFonts w:hint="eastAsia" w:ascii="仿宋_GB2312" w:eastAsia="仿宋_GB2312"/>
          <w:sz w:val="32"/>
        </w:rPr>
        <w:t>月</w:t>
      </w:r>
      <w:r>
        <w:rPr>
          <w:rFonts w:ascii="仿宋_GB2312" w:eastAsia="仿宋_GB2312"/>
          <w:sz w:val="32"/>
        </w:rPr>
        <w:t xml:space="preserve"> 31 </w:t>
      </w:r>
      <w:r>
        <w:rPr>
          <w:rFonts w:hint="eastAsia" w:ascii="仿宋_GB2312" w:eastAsia="仿宋_GB2312"/>
          <w:sz w:val="32"/>
        </w:rPr>
        <w:t>日，</w:t>
      </w:r>
      <w:r>
        <w:rPr>
          <w:rFonts w:hint="eastAsia" w:ascii="仿宋_GB2312" w:hAnsi="微软雅黑" w:eastAsia="仿宋_GB2312" w:cs="宋体"/>
          <w:color w:val="000000"/>
          <w:sz w:val="32"/>
          <w:szCs w:val="32"/>
        </w:rPr>
        <w:t>单位共有执法公务用车55辆，其中：轿车7辆、越野车16辆、小型载客汽车4辆，大中型载客汽车5辆，其他车型23辆。</w:t>
      </w:r>
      <w:r>
        <w:rPr>
          <w:rFonts w:hint="eastAsia" w:ascii="仿宋_GB2312" w:eastAsia="仿宋_GB2312"/>
          <w:sz w:val="32"/>
        </w:rPr>
        <w:t>单位价值</w:t>
      </w:r>
      <w:r>
        <w:rPr>
          <w:rFonts w:ascii="仿宋_GB2312" w:eastAsia="仿宋_GB2312"/>
          <w:sz w:val="32"/>
        </w:rPr>
        <w:t xml:space="preserve"> 50 </w:t>
      </w:r>
      <w:r>
        <w:rPr>
          <w:rFonts w:hint="eastAsia" w:ascii="仿宋_GB2312" w:eastAsia="仿宋_GB2312"/>
          <w:sz w:val="32"/>
        </w:rPr>
        <w:t>万元以上通用设备4套；单位价值</w:t>
      </w:r>
      <w:r>
        <w:rPr>
          <w:rFonts w:ascii="仿宋_GB2312" w:eastAsia="仿宋_GB2312"/>
          <w:sz w:val="32"/>
        </w:rPr>
        <w:t xml:space="preserve"> 100 </w:t>
      </w:r>
      <w:r>
        <w:rPr>
          <w:rFonts w:hint="eastAsia" w:ascii="仿宋_GB2312" w:eastAsia="仿宋_GB2312"/>
          <w:sz w:val="32"/>
        </w:rPr>
        <w:t>万元以上专用设备6套。</w:t>
      </w:r>
    </w:p>
    <w:p>
      <w:pPr>
        <w:autoSpaceDE w:val="0"/>
        <w:autoSpaceDN w:val="0"/>
        <w:adjustRightInd w:val="0"/>
        <w:spacing w:line="360" w:lineRule="auto"/>
        <w:ind w:firstLine="640" w:firstLineChars="200"/>
        <w:jc w:val="left"/>
        <w:outlineLvl w:val="2"/>
        <w:rPr>
          <w:rFonts w:ascii="楷体" w:hAnsi="楷体" w:eastAsia="楷体" w:cs="楷体"/>
          <w:bCs/>
          <w:color w:val="000000"/>
          <w:sz w:val="32"/>
          <w:szCs w:val="32"/>
        </w:rPr>
      </w:pPr>
      <w:r>
        <w:rPr>
          <w:rFonts w:hint="eastAsia" w:ascii="楷体" w:hAnsi="楷体" w:eastAsia="楷体" w:cs="楷体"/>
          <w:bCs/>
          <w:color w:val="000000"/>
          <w:sz w:val="32"/>
          <w:szCs w:val="32"/>
        </w:rPr>
        <w:t>（四）预算绩效管理情况。</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3项目开展了预算事前绩效评估，对3个项目编制了绩效目标，预算执行过程中，选取3个项目开展绩效监控，年终执行完毕后，对3个项目开展了绩效目标完成情况梳理填报。</w:t>
      </w:r>
    </w:p>
    <w:p>
      <w:pPr>
        <w:widowControl/>
        <w:shd w:val="clear" w:color="auto" w:fill="FFFFFF"/>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本部门按要求对2021年部门整体支出开展绩效自评，</w:t>
      </w:r>
      <w:r>
        <w:rPr>
          <w:rFonts w:hint="eastAsia" w:ascii="仿宋_GB2312" w:hAnsi="微软雅黑" w:eastAsia="仿宋_GB2312" w:cs="宋体"/>
          <w:color w:val="333333"/>
          <w:kern w:val="0"/>
          <w:sz w:val="32"/>
          <w:szCs w:val="32"/>
        </w:rPr>
        <w:t>从评价情况来看米易县公安局将部门整体支出绩效评价作为了财政预算资金使用管理的一项重要工作，切实加强预算收入管理，全面梳理内部管理流程，建立健全了内部管理制度，有效提升了部门整体支出的管理水平，根据部门整体支出绩效评价指标体系，自评综合得分为98分，评价等为“优”。整体上完成了年初设定的绩效目标，保障了部门各单位的正常运转，促进了公安事业的发展，充分发挥了财政资金的经济效益和社会效益。</w:t>
      </w:r>
    </w:p>
    <w:p>
      <w:pPr>
        <w:numPr>
          <w:ilvl w:val="0"/>
          <w:numId w:val="5"/>
        </w:numPr>
        <w:shd w:val="clear" w:color="auto" w:fill="FFFFFF"/>
        <w:spacing w:line="360" w:lineRule="auto"/>
        <w:ind w:firstLine="643" w:firstLineChars="200"/>
        <w:rPr>
          <w:rFonts w:ascii="仿宋_GB2312" w:eastAsia="仿宋_GB2312"/>
          <w:b/>
          <w:bCs/>
          <w:sz w:val="32"/>
        </w:rPr>
      </w:pPr>
      <w:r>
        <w:rPr>
          <w:rFonts w:hint="eastAsia" w:ascii="仿宋_GB2312" w:eastAsia="仿宋_GB2312"/>
          <w:b/>
          <w:bCs/>
          <w:sz w:val="32"/>
        </w:rPr>
        <w:t>项目绩效目标完成情况。</w:t>
      </w:r>
    </w:p>
    <w:p>
      <w:pPr>
        <w:shd w:val="clear" w:color="auto" w:fill="FFFFFF"/>
        <w:spacing w:line="360" w:lineRule="auto"/>
        <w:ind w:firstLine="640" w:firstLineChars="200"/>
        <w:rPr>
          <w:rFonts w:ascii="微软雅黑" w:cs="宋体"/>
          <w:color w:val="333333"/>
          <w:sz w:val="27"/>
          <w:szCs w:val="27"/>
        </w:rPr>
      </w:pPr>
      <w:r>
        <w:rPr>
          <w:rFonts w:hint="eastAsia" w:ascii="仿宋_GB2312" w:hAnsi="微软雅黑" w:eastAsia="仿宋_GB2312" w:cs="宋体"/>
          <w:color w:val="333333"/>
          <w:sz w:val="32"/>
          <w:szCs w:val="32"/>
        </w:rPr>
        <w:t>本部门在2021年度部门决算中反映“警务辅助人员包干经费”、“巡逻保安服务费”和“警务辅助人员公用经费”3个项目绩效目标实际完成情况。</w:t>
      </w:r>
    </w:p>
    <w:p>
      <w:pPr>
        <w:shd w:val="clear" w:color="auto" w:fill="FFFFFF"/>
        <w:spacing w:line="360" w:lineRule="auto"/>
        <w:ind w:firstLine="643" w:firstLineChars="200"/>
        <w:rPr>
          <w:rFonts w:ascii="仿宋_GB2312" w:hAnsi="微软雅黑" w:eastAsia="仿宋_GB2312" w:cs="宋体"/>
          <w:color w:val="333333"/>
          <w:sz w:val="32"/>
          <w:szCs w:val="32"/>
        </w:rPr>
      </w:pPr>
      <w:r>
        <w:rPr>
          <w:rFonts w:hint="eastAsia" w:ascii="仿宋_GB2312" w:hAnsi="微软雅黑" w:eastAsia="仿宋_GB2312" w:cs="宋体"/>
          <w:b/>
          <w:bCs/>
          <w:color w:val="333333"/>
          <w:sz w:val="32"/>
          <w:szCs w:val="32"/>
        </w:rPr>
        <w:t>（1）警务辅助人员包干经费项目绩效目标完成情况综述。</w:t>
      </w:r>
      <w:r>
        <w:rPr>
          <w:rFonts w:hint="eastAsia" w:ascii="仿宋_GB2312" w:hAnsi="微软雅黑" w:eastAsia="仿宋_GB2312" w:cs="宋体"/>
          <w:color w:val="333333"/>
          <w:sz w:val="32"/>
          <w:szCs w:val="32"/>
        </w:rPr>
        <w:t>项目全年预算数1,591.11万元，执行数为1,591.11万元，完成预算的</w:t>
      </w:r>
      <w:r>
        <w:rPr>
          <w:rFonts w:ascii="仿宋_GB2312" w:hAnsi="微软雅黑" w:eastAsia="仿宋_GB2312" w:cs="宋体"/>
          <w:color w:val="333333"/>
          <w:sz w:val="32"/>
          <w:szCs w:val="32"/>
        </w:rPr>
        <w:t>100%</w:t>
      </w:r>
      <w:r>
        <w:rPr>
          <w:rFonts w:hint="eastAsia" w:ascii="仿宋_GB2312" w:hAnsi="微软雅黑" w:eastAsia="仿宋_GB2312" w:cs="宋体"/>
          <w:color w:val="333333"/>
          <w:sz w:val="32"/>
          <w:szCs w:val="32"/>
        </w:rPr>
        <w:t>。通过项目实施，保障了2021年度276名警务辅助人员的工资及单位部分“五险一金”，确保了公安工作的正常运转。发现的主要问题：未及时制定中长期实施规划。下一步改进措施：完善长期实施规划。</w:t>
      </w:r>
    </w:p>
    <w:p>
      <w:pPr>
        <w:shd w:val="clear" w:color="auto" w:fill="FFFFFF"/>
        <w:spacing w:line="360" w:lineRule="auto"/>
        <w:ind w:firstLine="720"/>
        <w:rPr>
          <w:rFonts w:ascii="仿宋_GB2312" w:hAnsi="微软雅黑" w:eastAsia="仿宋_GB2312" w:cs="宋体"/>
          <w:color w:val="333333"/>
          <w:sz w:val="32"/>
          <w:szCs w:val="32"/>
        </w:rPr>
      </w:pPr>
      <w:r>
        <w:rPr>
          <w:rFonts w:hint="eastAsia" w:ascii="仿宋_GB2312" w:hAnsi="微软雅黑" w:eastAsia="仿宋_GB2312" w:cs="宋体"/>
          <w:b/>
          <w:bCs/>
          <w:color w:val="333333"/>
          <w:sz w:val="32"/>
          <w:szCs w:val="32"/>
        </w:rPr>
        <w:t>（2）巡逻保安服务费项目绩效目标完成情况综述。</w:t>
      </w:r>
      <w:r>
        <w:rPr>
          <w:rFonts w:hint="eastAsia" w:ascii="仿宋_GB2312" w:hAnsi="微软雅黑" w:eastAsia="仿宋_GB2312" w:cs="宋体"/>
          <w:color w:val="333333"/>
          <w:sz w:val="32"/>
          <w:szCs w:val="32"/>
        </w:rPr>
        <w:t>项目全年预算数72.69万元，执行数为72.69万元，完成预算的</w:t>
      </w:r>
      <w:r>
        <w:rPr>
          <w:rFonts w:ascii="仿宋_GB2312" w:hAnsi="微软雅黑" w:eastAsia="仿宋_GB2312" w:cs="宋体"/>
          <w:color w:val="333333"/>
          <w:sz w:val="32"/>
          <w:szCs w:val="32"/>
        </w:rPr>
        <w:t>100%</w:t>
      </w:r>
      <w:r>
        <w:rPr>
          <w:rFonts w:hint="eastAsia" w:ascii="仿宋_GB2312" w:hAnsi="微软雅黑" w:eastAsia="仿宋_GB2312" w:cs="宋体"/>
          <w:color w:val="333333"/>
          <w:sz w:val="32"/>
          <w:szCs w:val="32"/>
        </w:rPr>
        <w:t>。通过项目实施，保障单位人员24小时安全，全天候监督办公区域出现的问题，及时处理上报。发现的问题：存在未按规定及时拨付资金的情况。下一步改进措施：积极协调，确保资金按时拨付。</w:t>
      </w:r>
    </w:p>
    <w:p>
      <w:pPr>
        <w:shd w:val="clear" w:color="auto" w:fill="FFFFFF"/>
        <w:spacing w:line="360" w:lineRule="auto"/>
        <w:ind w:firstLine="720"/>
        <w:rPr>
          <w:rFonts w:ascii="仿宋_GB2312" w:hAnsi="微软雅黑" w:eastAsia="仿宋_GB2312" w:cs="宋体"/>
          <w:color w:val="333333"/>
          <w:sz w:val="32"/>
          <w:szCs w:val="32"/>
        </w:rPr>
      </w:pPr>
      <w:r>
        <w:rPr>
          <w:rFonts w:hint="eastAsia" w:ascii="仿宋_GB2312" w:hAnsi="微软雅黑" w:eastAsia="仿宋_GB2312" w:cs="宋体"/>
          <w:b/>
          <w:bCs/>
          <w:color w:val="333333"/>
          <w:sz w:val="32"/>
          <w:szCs w:val="32"/>
        </w:rPr>
        <w:t>（3）警务辅助人员公用经费项目绩效目标完成情况综述。</w:t>
      </w:r>
      <w:r>
        <w:rPr>
          <w:rFonts w:hint="eastAsia" w:ascii="仿宋_GB2312" w:hAnsi="微软雅黑" w:eastAsia="仿宋_GB2312" w:cs="宋体"/>
          <w:color w:val="333333"/>
          <w:sz w:val="32"/>
          <w:szCs w:val="32"/>
        </w:rPr>
        <w:t>项目全年预算数29.2万元，执行数为29.2万元，完成预算的</w:t>
      </w:r>
      <w:r>
        <w:rPr>
          <w:rFonts w:ascii="仿宋_GB2312" w:hAnsi="微软雅黑" w:eastAsia="仿宋_GB2312" w:cs="宋体"/>
          <w:color w:val="333333"/>
          <w:sz w:val="32"/>
          <w:szCs w:val="32"/>
        </w:rPr>
        <w:t>100%</w:t>
      </w:r>
      <w:r>
        <w:rPr>
          <w:rFonts w:hint="eastAsia" w:ascii="仿宋_GB2312" w:hAnsi="微软雅黑" w:eastAsia="仿宋_GB2312" w:cs="宋体"/>
          <w:color w:val="333333"/>
          <w:sz w:val="32"/>
          <w:szCs w:val="32"/>
        </w:rPr>
        <w:t>。通过项目实施，保障了2021年度276名警务辅助人员的日常办公经费，主要用于警务辅助人员购买服装，确保了公安工作的正常运转。发现的主要问题：未及时制定中长期实施规划。下一步改进措施：完善长期实施规划。</w:t>
      </w:r>
    </w:p>
    <w:p>
      <w:pPr>
        <w:shd w:val="clear" w:color="auto" w:fill="FFFFFF"/>
        <w:spacing w:line="360" w:lineRule="auto"/>
        <w:ind w:firstLine="643" w:firstLineChars="200"/>
        <w:rPr>
          <w:rFonts w:ascii="仿宋_GB2312" w:eastAsia="仿宋_GB2312"/>
          <w:b/>
          <w:bCs/>
          <w:sz w:val="32"/>
        </w:rPr>
      </w:pPr>
      <w:r>
        <w:rPr>
          <w:rFonts w:hint="eastAsia" w:ascii="仿宋_GB2312" w:eastAsia="仿宋_GB2312"/>
          <w:b/>
          <w:bCs/>
          <w:sz w:val="32"/>
        </w:rPr>
        <w:t>2.部门绩效评价结果。</w:t>
      </w:r>
    </w:p>
    <w:p>
      <w:pPr>
        <w:spacing w:line="360" w:lineRule="auto"/>
        <w:ind w:firstLine="640" w:firstLineChars="200"/>
        <w:rPr>
          <w:rFonts w:ascii="仿宋_GB2312" w:hAnsi="微软雅黑" w:eastAsia="仿宋_GB2312" w:cs="宋体"/>
          <w:color w:val="333333"/>
          <w:kern w:val="0"/>
          <w:sz w:val="32"/>
          <w:szCs w:val="32"/>
        </w:rPr>
      </w:pPr>
      <w:r>
        <w:rPr>
          <w:rFonts w:hint="eastAsia" w:ascii="仿宋_GB2312" w:hAnsi="仿宋_GB2312" w:eastAsia="仿宋_GB2312" w:cs="仿宋_GB2312"/>
          <w:sz w:val="32"/>
          <w:szCs w:val="32"/>
        </w:rPr>
        <w:t>本部门按要求对2021年部门整体支出绩效评价情况开展自评，</w:t>
      </w:r>
      <w:r>
        <w:rPr>
          <w:rFonts w:hint="eastAsia" w:ascii="仿宋_GB2312" w:hAnsi="微软雅黑" w:eastAsia="仿宋_GB2312" w:cs="宋体"/>
          <w:color w:val="333333"/>
          <w:kern w:val="0"/>
          <w:sz w:val="32"/>
          <w:szCs w:val="32"/>
        </w:rPr>
        <w:t>根据部门整体支出绩效评价指标体系，自评综合得分为98分，评价等为“优”。</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《米易县公安局2021年部门整体支出绩效评价报告》见附件（附件1）。</w:t>
      </w:r>
    </w:p>
    <w:p>
      <w:pPr>
        <w:widowControl/>
        <w:shd w:val="clear" w:color="auto" w:fill="FFFFFF"/>
        <w:spacing w:line="360" w:lineRule="auto"/>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w:t>
      </w:r>
      <w:r>
        <w:rPr>
          <w:rFonts w:hint="eastAsia" w:ascii="仿宋_GB2312" w:hAnsi="微软雅黑" w:eastAsia="仿宋_GB2312" w:cs="宋体"/>
          <w:color w:val="333333"/>
          <w:sz w:val="32"/>
          <w:szCs w:val="32"/>
        </w:rPr>
        <w:t>警务辅助人员包干经费</w:t>
      </w:r>
      <w:r>
        <w:rPr>
          <w:rFonts w:hint="eastAsia" w:ascii="仿宋_GB2312" w:hAnsi="仿宋_GB2312" w:eastAsia="仿宋_GB2312" w:cs="仿宋_GB2312"/>
          <w:sz w:val="32"/>
          <w:szCs w:val="32"/>
        </w:rPr>
        <w:t>项目、</w:t>
      </w:r>
      <w:r>
        <w:rPr>
          <w:rFonts w:hint="eastAsia" w:ascii="仿宋_GB2312" w:hAnsi="微软雅黑" w:eastAsia="仿宋_GB2312" w:cs="宋体"/>
          <w:color w:val="333333"/>
          <w:sz w:val="32"/>
          <w:szCs w:val="32"/>
        </w:rPr>
        <w:t>巡逻保安服务费</w:t>
      </w:r>
      <w:r>
        <w:rPr>
          <w:rFonts w:hint="eastAsia" w:ascii="仿宋_GB2312" w:hAnsi="仿宋_GB2312" w:eastAsia="仿宋_GB2312" w:cs="仿宋_GB2312"/>
          <w:sz w:val="32"/>
          <w:szCs w:val="32"/>
        </w:rPr>
        <w:t>项目、</w:t>
      </w:r>
      <w:r>
        <w:rPr>
          <w:rFonts w:hint="eastAsia" w:ascii="仿宋_GB2312" w:hAnsi="微软雅黑" w:eastAsia="仿宋_GB2312" w:cs="宋体"/>
          <w:color w:val="333333"/>
          <w:sz w:val="32"/>
          <w:szCs w:val="32"/>
        </w:rPr>
        <w:t>警务辅助人员公用经费项目、县监管中心购买医疗服务经费项目</w:t>
      </w:r>
      <w:r>
        <w:rPr>
          <w:rFonts w:hint="eastAsia" w:ascii="仿宋_GB2312" w:hAnsi="仿宋_GB2312" w:eastAsia="仿宋_GB2312" w:cs="仿宋_GB2312"/>
          <w:sz w:val="32"/>
          <w:szCs w:val="32"/>
        </w:rPr>
        <w:t>开展了项目绩效评价，</w:t>
      </w:r>
      <w:r>
        <w:rPr>
          <w:rFonts w:hint="eastAsia" w:ascii="仿宋_GB2312" w:hAnsi="微软雅黑" w:eastAsia="仿宋_GB2312" w:cs="宋体"/>
          <w:color w:val="333333"/>
          <w:kern w:val="0"/>
          <w:sz w:val="32"/>
          <w:szCs w:val="32"/>
        </w:rPr>
        <w:t>根据部门项目支出绩效评价指标体系，自评综合得分为98分，评价等为“优”。</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《米易县公安局项目2021年绩效评价报告》见附件（附件2）。</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645"/>
        <w:gridCol w:w="1112"/>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rPr>
              <w:t>2021年度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警务辅助人员包干经费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米易县公安局</w:t>
            </w:r>
          </w:p>
        </w:tc>
      </w:tr>
      <w:tr>
        <w:tblPrEx>
          <w:tblCellMar>
            <w:top w:w="0" w:type="dxa"/>
            <w:left w:w="0" w:type="dxa"/>
            <w:bottom w:w="0" w:type="dxa"/>
            <w:right w:w="0" w:type="dxa"/>
          </w:tblCellMar>
        </w:tblPrEx>
        <w:trPr>
          <w:trHeight w:val="276"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1591.11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1591.11</w:t>
            </w:r>
          </w:p>
        </w:tc>
      </w:tr>
      <w:tr>
        <w:tblPrEx>
          <w:tblCellMar>
            <w:top w:w="0" w:type="dxa"/>
            <w:left w:w="0" w:type="dxa"/>
            <w:bottom w:w="0" w:type="dxa"/>
            <w:right w:w="0" w:type="dxa"/>
          </w:tblCellMar>
        </w:tblPrEx>
        <w:trPr>
          <w:trHeight w:val="276"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1591.11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1591.11</w:t>
            </w:r>
          </w:p>
        </w:tc>
      </w:tr>
      <w:tr>
        <w:tblPrEx>
          <w:tblCellMar>
            <w:top w:w="0" w:type="dxa"/>
            <w:left w:w="0" w:type="dxa"/>
            <w:bottom w:w="0" w:type="dxa"/>
            <w:right w:w="0" w:type="dxa"/>
          </w:tblCellMar>
        </w:tblPrEx>
        <w:trPr>
          <w:trHeight w:val="151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914"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5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仿宋_GB2312"/>
                <w:szCs w:val="21"/>
              </w:rPr>
              <w:t>完成支付2021年度276名警务辅助人员的工资及单位部分“五险一金”，确保公安工作正常运转。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hAnsi="宋体" w:cs="仿宋_GB2312"/>
                <w:szCs w:val="21"/>
              </w:rPr>
              <w:t>完成支付2021年度276名警务辅助人员的工资及单位部分“五险一金”，确保公安工作正常运转。</w:t>
            </w:r>
          </w:p>
        </w:tc>
      </w:tr>
      <w:tr>
        <w:tblPrEx>
          <w:tblCellMar>
            <w:top w:w="0" w:type="dxa"/>
            <w:left w:w="0" w:type="dxa"/>
            <w:bottom w:w="0" w:type="dxa"/>
            <w:right w:w="0" w:type="dxa"/>
          </w:tblCellMar>
        </w:tblPrEx>
        <w:trPr>
          <w:trHeight w:val="1042"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 w:val="24"/>
              </w:rPr>
            </w:pPr>
            <w:r>
              <w:rPr>
                <w:rFonts w:hint="eastAsia"/>
              </w:rPr>
              <w:t>完成支付2021年度警务辅助人员工资及单位部分“五险一金”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ascii="宋体" w:hAnsi="宋体" w:cs="仿宋_GB2312"/>
                <w:szCs w:val="21"/>
              </w:rPr>
              <w:t>基本完成预期目标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ascii="宋体" w:hAnsi="宋体" w:cs="仿宋_GB2312"/>
                <w:szCs w:val="21"/>
              </w:rPr>
              <w:t>基本完成预期目标</w:t>
            </w:r>
          </w:p>
        </w:tc>
      </w:tr>
      <w:tr>
        <w:tblPrEx>
          <w:tblCellMar>
            <w:top w:w="0" w:type="dxa"/>
            <w:left w:w="0" w:type="dxa"/>
            <w:bottom w:w="0" w:type="dxa"/>
            <w:right w:w="0" w:type="dxa"/>
          </w:tblCellMar>
        </w:tblPrEx>
        <w:trPr>
          <w:trHeight w:val="103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 w:val="24"/>
              </w:rPr>
            </w:pPr>
            <w:r>
              <w:rPr>
                <w:rFonts w:hint="eastAsia"/>
              </w:rPr>
              <w:t>工资及单位部分“五险一金”支付率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　</w:t>
            </w:r>
            <w:r>
              <w:t>=100%</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按年度进度安排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2021年</w:t>
            </w:r>
            <w:r>
              <w:t>12</w:t>
            </w:r>
            <w:r>
              <w:rPr>
                <w:rFonts w:hint="eastAsia"/>
              </w:rPr>
              <w:t>月</w:t>
            </w:r>
            <w:r>
              <w:t>31</w:t>
            </w:r>
            <w:r>
              <w:rPr>
                <w:rFonts w:hint="eastAsia"/>
              </w:rPr>
              <w:t>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2021年</w:t>
            </w:r>
            <w:r>
              <w:t>12</w:t>
            </w:r>
            <w:r>
              <w:rPr>
                <w:rFonts w:hint="eastAsia"/>
              </w:rPr>
              <w:t>月</w:t>
            </w:r>
            <w:r>
              <w:t>31</w:t>
            </w:r>
            <w:r>
              <w:rPr>
                <w:rFonts w:hint="eastAsia"/>
              </w:rPr>
              <w:t>日前</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szCs w:val="21"/>
              </w:rPr>
              <w:t>2021年度</w:t>
            </w:r>
            <w:r>
              <w:rPr>
                <w:szCs w:val="21"/>
              </w:rPr>
              <w:t>2</w:t>
            </w:r>
            <w:r>
              <w:rPr>
                <w:rFonts w:hint="eastAsia"/>
                <w:szCs w:val="21"/>
              </w:rPr>
              <w:t>76名警务辅助人员的工资及单位部分“五险一金”</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按照合同约定支付</w:t>
            </w:r>
            <w:r>
              <w:rPr>
                <w:rFonts w:hint="eastAsia"/>
                <w:szCs w:val="21"/>
              </w:rPr>
              <w:t>2021年度</w:t>
            </w:r>
            <w:r>
              <w:rPr>
                <w:szCs w:val="21"/>
              </w:rPr>
              <w:t>2</w:t>
            </w:r>
            <w:r>
              <w:rPr>
                <w:rFonts w:hint="eastAsia"/>
                <w:szCs w:val="21"/>
              </w:rPr>
              <w:t>76名</w:t>
            </w:r>
            <w:r>
              <w:rPr>
                <w:rFonts w:hint="eastAsia" w:ascii="宋体" w:hAnsi="宋体"/>
                <w:szCs w:val="21"/>
              </w:rPr>
              <w:t>警务辅助人员的工资及单位部分“五险一金”合计</w:t>
            </w:r>
            <w:r>
              <w:rPr>
                <w:rFonts w:hint="eastAsia" w:ascii="宋体" w:hAnsi="宋体" w:cs="宋体"/>
                <w:color w:val="000000"/>
                <w:sz w:val="24"/>
              </w:rPr>
              <w:t>1591.11万元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ascii="宋体" w:hAnsi="宋体"/>
                <w:szCs w:val="21"/>
              </w:rPr>
              <w:t>按照合同约定支付</w:t>
            </w:r>
            <w:r>
              <w:rPr>
                <w:rFonts w:hint="eastAsia"/>
                <w:szCs w:val="21"/>
              </w:rPr>
              <w:t>2021年度</w:t>
            </w:r>
            <w:r>
              <w:rPr>
                <w:szCs w:val="21"/>
              </w:rPr>
              <w:t>2</w:t>
            </w:r>
            <w:r>
              <w:rPr>
                <w:rFonts w:hint="eastAsia"/>
                <w:szCs w:val="21"/>
              </w:rPr>
              <w:t>76名</w:t>
            </w:r>
            <w:r>
              <w:rPr>
                <w:rFonts w:hint="eastAsia" w:ascii="宋体" w:hAnsi="宋体"/>
                <w:szCs w:val="21"/>
              </w:rPr>
              <w:t>警务辅助人员的工资及单位部分“五险一金”合计</w:t>
            </w:r>
            <w:r>
              <w:rPr>
                <w:rFonts w:hint="eastAsia" w:ascii="宋体" w:hAnsi="宋体" w:cs="宋体"/>
                <w:color w:val="000000"/>
                <w:sz w:val="24"/>
              </w:rPr>
              <w:t>1591.11万元</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Cs w:val="21"/>
              </w:rPr>
            </w:pPr>
            <w:r>
              <w:rPr>
                <w:rFonts w:hint="eastAsia"/>
                <w:szCs w:val="21"/>
              </w:rPr>
              <w:t>对工作的促进作用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szCs w:val="21"/>
              </w:rPr>
              <w:t>协助民警一道维护社会稳定，把米易打造成全国最平安的县城。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szCs w:val="21"/>
              </w:rPr>
              <w:t>协助民警一道维护社会稳定，把米易打造成全国最平安的县城。</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Cs w:val="21"/>
              </w:rPr>
            </w:pPr>
            <w:r>
              <w:rPr>
                <w:rFonts w:hint="eastAsia"/>
                <w:szCs w:val="21"/>
              </w:rPr>
              <w:t>全县群众满意度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cs="宋体"/>
                <w:szCs w:val="21"/>
              </w:rPr>
            </w:pPr>
            <w:r>
              <w:rPr>
                <w:rFonts w:hint="eastAsia"/>
                <w:szCs w:val="21"/>
              </w:rPr>
              <w:t>政府满意度&gt;96%，群众满意度&gt;97%</w:t>
            </w:r>
          </w:p>
          <w:p>
            <w:pPr>
              <w:jc w:val="center"/>
              <w:rPr>
                <w:rFonts w:ascii="宋体" w:cs="宋体"/>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cs="宋体"/>
                <w:szCs w:val="21"/>
              </w:rPr>
            </w:pPr>
            <w:r>
              <w:rPr>
                <w:rFonts w:hint="eastAsia"/>
                <w:szCs w:val="21"/>
              </w:rPr>
              <w:t>政府满意度&gt;96%，群众满意度&gt;97%</w:t>
            </w:r>
          </w:p>
          <w:p>
            <w:pPr>
              <w:jc w:val="center"/>
              <w:rPr>
                <w:rFonts w:ascii="宋体" w:cs="宋体"/>
                <w:szCs w:val="21"/>
              </w:rPr>
            </w:pP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cs="宋体"/>
                <w:sz w:val="36"/>
                <w:szCs w:val="36"/>
              </w:rPr>
            </w:pPr>
            <w:r>
              <w:rPr>
                <w:rFonts w:hint="eastAsia" w:ascii="黑体" w:hAnsi="黑体" w:eastAsia="黑体" w:cs="宋体"/>
                <w:bCs/>
                <w:kern w:val="0"/>
                <w:sz w:val="36"/>
                <w:szCs w:val="36"/>
              </w:rPr>
              <w:t>项目支出绩效目标完成情况表</w:t>
            </w:r>
            <w:r>
              <w:rPr>
                <w:rFonts w:ascii="宋体" w:cs="宋体"/>
                <w:b/>
                <w:bCs/>
                <w:kern w:val="0"/>
                <w:sz w:val="36"/>
                <w:szCs w:val="36"/>
              </w:rPr>
              <w:br w:type="textWrapping"/>
            </w:r>
            <w:r>
              <w:rPr>
                <w:rFonts w:ascii="宋体" w:hAnsi="宋体" w:cs="宋体"/>
                <w:kern w:val="0"/>
                <w:sz w:val="36"/>
                <w:szCs w:val="36"/>
              </w:rPr>
              <w:t>(</w:t>
            </w:r>
            <w:r>
              <w:rPr>
                <w:rFonts w:hint="eastAsia" w:ascii="宋体" w:hAnsi="宋体" w:cs="宋体"/>
                <w:kern w:val="0"/>
                <w:sz w:val="36"/>
                <w:szCs w:val="36"/>
              </w:rPr>
              <w:t>2021年度</w:t>
            </w:r>
            <w:r>
              <w:rPr>
                <w:rFonts w:ascii="宋体" w:hAnsi="宋体" w:cs="宋体"/>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cs="宋体"/>
                <w:sz w:val="24"/>
              </w:rPr>
              <w:t>巡逻保安服务费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cs="宋体"/>
                <w:sz w:val="24"/>
              </w:rPr>
              <w:t>米易县公安局</w:t>
            </w:r>
          </w:p>
        </w:tc>
      </w:tr>
      <w:tr>
        <w:tblPrEx>
          <w:tblCellMar>
            <w:top w:w="0" w:type="dxa"/>
            <w:left w:w="0" w:type="dxa"/>
            <w:bottom w:w="0" w:type="dxa"/>
            <w:right w:w="0" w:type="dxa"/>
          </w:tblCellMar>
        </w:tblPrEx>
        <w:trPr>
          <w:trHeight w:val="290"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预算执行情况</w:t>
            </w:r>
            <w:r>
              <w:rPr>
                <w:rFonts w:ascii="宋体" w:hAnsi="宋体" w:cs="宋体"/>
                <w:kern w:val="0"/>
                <w:sz w:val="24"/>
              </w:rPr>
              <w:t>(</w:t>
            </w:r>
            <w:r>
              <w:rPr>
                <w:rFonts w:hint="eastAsia" w:ascii="宋体" w:hAnsi="宋体" w:cs="宋体"/>
                <w:kern w:val="0"/>
                <w:sz w:val="24"/>
              </w:rPr>
              <w:t>万元</w:t>
            </w:r>
            <w:r>
              <w:rPr>
                <w:rFonts w:ascii="宋体" w:hAnsi="宋体" w:cs="宋体"/>
                <w:kern w:val="0"/>
                <w:sz w:val="24"/>
              </w:rPr>
              <w:t>)</w:t>
            </w: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预算数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72.69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执行数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72.69</w:t>
            </w:r>
          </w:p>
        </w:tc>
      </w:tr>
      <w:tr>
        <w:tblPrEx>
          <w:tblCellMar>
            <w:top w:w="0" w:type="dxa"/>
            <w:left w:w="0" w:type="dxa"/>
            <w:bottom w:w="0" w:type="dxa"/>
            <w:right w:w="0" w:type="dxa"/>
          </w:tblCellMar>
        </w:tblPrEx>
        <w:trPr>
          <w:trHeight w:val="276"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72.69</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其中</w:t>
            </w:r>
            <w:r>
              <w:rPr>
                <w:rFonts w:ascii="宋体" w:cs="宋体"/>
                <w:kern w:val="0"/>
                <w:sz w:val="24"/>
              </w:rPr>
              <w:t>-</w:t>
            </w:r>
            <w:r>
              <w:rPr>
                <w:rFonts w:hint="eastAsia" w:ascii="宋体" w:hAnsi="宋体" w:cs="宋体"/>
                <w:kern w:val="0"/>
                <w:sz w:val="24"/>
              </w:rPr>
              <w:t>财政拨款</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72.69</w:t>
            </w:r>
          </w:p>
        </w:tc>
      </w:tr>
      <w:tr>
        <w:tblPrEx>
          <w:tblCellMar>
            <w:top w:w="0" w:type="dxa"/>
            <w:left w:w="0" w:type="dxa"/>
            <w:bottom w:w="0" w:type="dxa"/>
            <w:right w:w="0" w:type="dxa"/>
          </w:tblCellMar>
        </w:tblPrEx>
        <w:trPr>
          <w:trHeight w:val="151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ascii="宋体" w:cs="宋体"/>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其它资金</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ascii="宋体" w:cs="宋体"/>
                <w:sz w:val="24"/>
              </w:rPr>
              <w:t>0</w:t>
            </w:r>
          </w:p>
        </w:tc>
      </w:tr>
      <w:tr>
        <w:tblPrEx>
          <w:tblCellMar>
            <w:top w:w="0" w:type="dxa"/>
            <w:left w:w="0" w:type="dxa"/>
            <w:bottom w:w="0" w:type="dxa"/>
            <w:right w:w="0" w:type="dxa"/>
          </w:tblCellMar>
        </w:tblPrEx>
        <w:trPr>
          <w:trHeight w:val="276"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年度目标完成情况</w:t>
            </w:r>
          </w:p>
        </w:tc>
        <w:tc>
          <w:tcPr>
            <w:tcW w:w="45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实际完成目标</w:t>
            </w:r>
          </w:p>
        </w:tc>
      </w:tr>
      <w:tr>
        <w:tblPrEx>
          <w:tblCellMar>
            <w:top w:w="0" w:type="dxa"/>
            <w:left w:w="0" w:type="dxa"/>
            <w:bottom w:w="0" w:type="dxa"/>
            <w:right w:w="0" w:type="dxa"/>
          </w:tblCellMar>
        </w:tblPrEx>
        <w:trPr>
          <w:trHeight w:val="115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45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仿宋_GB2312"/>
                <w:szCs w:val="21"/>
              </w:rPr>
            </w:pPr>
            <w:r>
              <w:rPr>
                <w:rFonts w:hint="eastAsia" w:ascii="宋体" w:hAnsi="宋体" w:cs="仿宋_GB2312"/>
                <w:szCs w:val="21"/>
              </w:rPr>
              <w:t>完成支付2021年22名保安人员的劳务费，</w:t>
            </w:r>
          </w:p>
          <w:p>
            <w:pPr>
              <w:widowControl/>
              <w:jc w:val="center"/>
              <w:textAlignment w:val="center"/>
              <w:rPr>
                <w:rFonts w:ascii="宋体" w:hAnsi="宋体" w:cs="宋体"/>
                <w:szCs w:val="21"/>
              </w:rPr>
            </w:pPr>
            <w:r>
              <w:rPr>
                <w:rFonts w:hint="eastAsia" w:ascii="宋体" w:hAnsi="宋体" w:cs="仿宋_GB2312"/>
                <w:szCs w:val="21"/>
              </w:rPr>
              <w:t>确保办公场所的稳定</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Cs w:val="21"/>
              </w:rPr>
            </w:pPr>
            <w:r>
              <w:rPr>
                <w:rFonts w:hint="eastAsia" w:ascii="宋体" w:hAnsi="宋体" w:cs="仿宋_GB2312"/>
                <w:szCs w:val="21"/>
              </w:rPr>
              <w:t>基本完成预期目标</w:t>
            </w:r>
          </w:p>
        </w:tc>
      </w:tr>
      <w:tr>
        <w:tblPrEx>
          <w:tblCellMar>
            <w:top w:w="0" w:type="dxa"/>
            <w:left w:w="0" w:type="dxa"/>
            <w:bottom w:w="0" w:type="dxa"/>
            <w:right w:w="0" w:type="dxa"/>
          </w:tblCellMar>
        </w:tblPrEx>
        <w:trPr>
          <w:trHeight w:val="826"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sz w:val="24"/>
              </w:rPr>
              <w:t>绩效指标完成情况</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预期指标值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实际完成指标值</w:t>
            </w:r>
            <w:r>
              <w:rPr>
                <w:rFonts w:ascii="宋体" w:hAnsi="宋体" w:cs="宋体"/>
                <w:kern w:val="0"/>
                <w:sz w:val="24"/>
              </w:rPr>
              <w:t>(</w:t>
            </w:r>
            <w:r>
              <w:rPr>
                <w:rFonts w:hint="eastAsia" w:ascii="宋体" w:hAnsi="宋体" w:cs="宋体"/>
                <w:kern w:val="0"/>
                <w:sz w:val="24"/>
              </w:rPr>
              <w:t>包含数字及文字描述</w:t>
            </w:r>
            <w:r>
              <w:rPr>
                <w:rFonts w:ascii="宋体" w:hAnsi="宋体" w:cs="宋体"/>
                <w:kern w:val="0"/>
                <w:sz w:val="24"/>
              </w:rPr>
              <w:t>)</w:t>
            </w:r>
          </w:p>
        </w:tc>
      </w:tr>
      <w:tr>
        <w:tblPrEx>
          <w:tblCellMar>
            <w:top w:w="0" w:type="dxa"/>
            <w:left w:w="0" w:type="dxa"/>
            <w:bottom w:w="0" w:type="dxa"/>
            <w:right w:w="0" w:type="dxa"/>
          </w:tblCellMar>
        </w:tblPrEx>
        <w:trPr>
          <w:trHeight w:val="953"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sz w:val="24"/>
              </w:rPr>
            </w:pPr>
            <w:r>
              <w:rPr>
                <w:rFonts w:hint="eastAsia" w:ascii="宋体" w:hAnsi="宋体" w:cs="宋体"/>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 w:val="24"/>
              </w:rPr>
            </w:pPr>
            <w:r>
              <w:rPr>
                <w:rFonts w:hint="eastAsia" w:ascii="宋体" w:hAnsi="宋体" w:cs="宋体"/>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 w:val="24"/>
              </w:rPr>
            </w:pPr>
            <w:r>
              <w:rPr>
                <w:rFonts w:hint="eastAsia"/>
              </w:rPr>
              <w:t>按标准足额支付2021年22名保安的劳务费用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 w:val="24"/>
              </w:rPr>
            </w:pPr>
            <w:r>
              <w:rPr>
                <w:rFonts w:hint="eastAsia"/>
              </w:rPr>
              <w:t>按标准足额支付2021年22名保安的劳务费用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 w:val="24"/>
              </w:rPr>
            </w:pPr>
            <w:r>
              <w:rPr>
                <w:rFonts w:hint="eastAsia"/>
              </w:rPr>
              <w:t>按标准足额支付2021年22名保安的劳务费用</w:t>
            </w:r>
          </w:p>
        </w:tc>
      </w:tr>
      <w:tr>
        <w:tblPrEx>
          <w:tblCellMar>
            <w:top w:w="0" w:type="dxa"/>
            <w:left w:w="0" w:type="dxa"/>
            <w:bottom w:w="0" w:type="dxa"/>
            <w:right w:w="0" w:type="dxa"/>
          </w:tblCellMar>
        </w:tblPrEx>
        <w:trPr>
          <w:trHeight w:val="1297"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劳务费支付率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Cs w:val="21"/>
              </w:rPr>
            </w:pPr>
            <w:r>
              <w:rPr>
                <w:rFonts w:ascii="宋体" w:hAnsi="宋体"/>
                <w:szCs w:val="21"/>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　</w:t>
            </w:r>
            <w:r>
              <w:rPr>
                <w:rFonts w:ascii="宋体" w:hAnsi="宋体"/>
                <w:szCs w:val="21"/>
              </w:rPr>
              <w:t>=100%</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按年度进度安排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2021年</w:t>
            </w:r>
            <w:r>
              <w:rPr>
                <w:rFonts w:ascii="宋体" w:hAnsi="宋体"/>
                <w:szCs w:val="21"/>
              </w:rPr>
              <w:t>12</w:t>
            </w:r>
            <w:r>
              <w:rPr>
                <w:rFonts w:hint="eastAsia" w:ascii="宋体" w:hAnsi="宋体"/>
                <w:szCs w:val="21"/>
              </w:rPr>
              <w:t>月</w:t>
            </w:r>
            <w:r>
              <w:rPr>
                <w:rFonts w:ascii="宋体" w:hAnsi="宋体"/>
                <w:szCs w:val="21"/>
              </w:rPr>
              <w:t>31</w:t>
            </w:r>
            <w:r>
              <w:rPr>
                <w:rFonts w:hint="eastAsia" w:ascii="宋体" w:hAnsi="宋体"/>
                <w:szCs w:val="21"/>
              </w:rPr>
              <w:t>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2021年</w:t>
            </w:r>
            <w:r>
              <w:rPr>
                <w:rFonts w:ascii="宋体" w:hAnsi="宋体"/>
                <w:szCs w:val="21"/>
              </w:rPr>
              <w:t>12</w:t>
            </w:r>
            <w:r>
              <w:rPr>
                <w:rFonts w:hint="eastAsia" w:ascii="宋体" w:hAnsi="宋体"/>
                <w:szCs w:val="21"/>
              </w:rPr>
              <w:t>月</w:t>
            </w:r>
            <w:r>
              <w:rPr>
                <w:rFonts w:ascii="宋体" w:hAnsi="宋体"/>
                <w:szCs w:val="21"/>
              </w:rPr>
              <w:t>31</w:t>
            </w:r>
            <w:r>
              <w:rPr>
                <w:rFonts w:hint="eastAsia" w:ascii="宋体" w:hAnsi="宋体"/>
                <w:szCs w:val="21"/>
              </w:rPr>
              <w:t>日前</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kern w:val="0"/>
                <w:szCs w:val="21"/>
              </w:rPr>
            </w:pPr>
            <w:r>
              <w:rPr>
                <w:rFonts w:hint="eastAsia" w:ascii="宋体" w:hAnsi="宋体" w:cs="宋体"/>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2021年度22名保安人员劳务费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2021年度22名保安人员劳务费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2021年度22名保安人员劳务费</w:t>
            </w:r>
          </w:p>
        </w:tc>
      </w:tr>
      <w:tr>
        <w:tblPrEx>
          <w:tblCellMar>
            <w:top w:w="0" w:type="dxa"/>
            <w:left w:w="0" w:type="dxa"/>
            <w:bottom w:w="0" w:type="dxa"/>
            <w:right w:w="0" w:type="dxa"/>
          </w:tblCellMar>
        </w:tblPrEx>
        <w:trPr>
          <w:trHeight w:val="1078"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对工作的促进作用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做好巡逻，保障安全，维护稳定，把米易打造成全国最平安的县城。</w:t>
            </w:r>
          </w:p>
          <w:p>
            <w:pPr>
              <w:rPr>
                <w:rFonts w:ascii="宋体" w:hAnsi="宋体" w:cs="宋体"/>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szCs w:val="21"/>
              </w:rPr>
              <w:t>做好巡逻，保障安全，维护稳定，把米易打造成全国最平安的县城。</w:t>
            </w:r>
          </w:p>
          <w:p>
            <w:pPr>
              <w:rPr>
                <w:rFonts w:ascii="宋体" w:hAnsi="宋体" w:cs="宋体"/>
                <w:szCs w:val="21"/>
              </w:rPr>
            </w:pP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宋体"/>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szCs w:val="21"/>
              </w:rPr>
            </w:pPr>
            <w:r>
              <w:rPr>
                <w:rFonts w:hint="eastAsia" w:ascii="宋体" w:hAnsi="宋体"/>
                <w:szCs w:val="21"/>
              </w:rPr>
              <w:t>全县群众满意度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cs="宋体"/>
                <w:szCs w:val="21"/>
              </w:rPr>
            </w:pPr>
            <w:r>
              <w:rPr>
                <w:rFonts w:hint="eastAsia" w:ascii="宋体" w:hAnsi="宋体"/>
                <w:szCs w:val="21"/>
              </w:rPr>
              <w:t>政府满意度&gt;96%，群众满意度&gt;97%</w:t>
            </w:r>
          </w:p>
          <w:p>
            <w:pPr>
              <w:jc w:val="center"/>
              <w:rPr>
                <w:rFonts w:ascii="宋体" w:hAnsi="宋体" w:cs="宋体"/>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cs="宋体"/>
                <w:szCs w:val="21"/>
              </w:rPr>
            </w:pPr>
            <w:r>
              <w:rPr>
                <w:rFonts w:hint="eastAsia" w:ascii="宋体" w:hAnsi="宋体"/>
                <w:szCs w:val="21"/>
              </w:rPr>
              <w:t>政府满意度&gt;96%，群众满意度&gt;97%</w:t>
            </w:r>
          </w:p>
          <w:p>
            <w:pPr>
              <w:jc w:val="center"/>
              <w:rPr>
                <w:rFonts w:ascii="宋体" w:hAnsi="宋体" w:cs="宋体"/>
                <w:szCs w:val="21"/>
              </w:rPr>
            </w:pPr>
          </w:p>
        </w:tc>
      </w:tr>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w:t>
            </w:r>
            <w:r>
              <w:rPr>
                <w:rFonts w:hint="eastAsia" w:ascii="宋体" w:hAnsi="宋体" w:cs="宋体"/>
                <w:color w:val="000000"/>
                <w:kern w:val="0"/>
                <w:sz w:val="36"/>
                <w:szCs w:val="36"/>
              </w:rPr>
              <w:t>2021年度</w:t>
            </w:r>
            <w:r>
              <w:rPr>
                <w:rFonts w:ascii="宋体" w:hAnsi="宋体" w:cs="宋体"/>
                <w:color w:val="000000"/>
                <w:kern w:val="0"/>
                <w:sz w:val="36"/>
                <w:szCs w:val="36"/>
              </w:rPr>
              <w:t>)</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警务辅助人员公用经费</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米易县公安局</w:t>
            </w:r>
          </w:p>
        </w:tc>
      </w:tr>
      <w:tr>
        <w:tblPrEx>
          <w:tblCellMar>
            <w:top w:w="0" w:type="dxa"/>
            <w:left w:w="0" w:type="dxa"/>
            <w:bottom w:w="0" w:type="dxa"/>
            <w:right w:w="0" w:type="dxa"/>
          </w:tblCellMar>
        </w:tblPrEx>
        <w:trPr>
          <w:trHeight w:val="276"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预算执行情况</w:t>
            </w:r>
            <w:r>
              <w:rPr>
                <w:rFonts w:ascii="宋体" w:hAnsi="宋体" w:cs="宋体"/>
                <w:color w:val="000000"/>
                <w:kern w:val="0"/>
                <w:sz w:val="24"/>
              </w:rPr>
              <w:t>(</w:t>
            </w:r>
            <w:r>
              <w:rPr>
                <w:rFonts w:hint="eastAsia" w:ascii="宋体" w:hAnsi="宋体" w:cs="宋体"/>
                <w:color w:val="000000"/>
                <w:kern w:val="0"/>
                <w:sz w:val="24"/>
              </w:rPr>
              <w:t>万元</w:t>
            </w:r>
            <w:r>
              <w:rPr>
                <w:rFonts w:ascii="宋体" w:hAnsi="宋体" w:cs="宋体"/>
                <w:color w:val="000000"/>
                <w:kern w:val="0"/>
                <w:sz w:val="24"/>
              </w:rPr>
              <w:t>)</w:t>
            </w: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预算数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29.2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执行数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29.2</w:t>
            </w:r>
          </w:p>
        </w:tc>
      </w:tr>
      <w:tr>
        <w:tblPrEx>
          <w:tblCellMar>
            <w:top w:w="0" w:type="dxa"/>
            <w:left w:w="0" w:type="dxa"/>
            <w:bottom w:w="0" w:type="dxa"/>
            <w:right w:w="0" w:type="dxa"/>
          </w:tblCellMar>
        </w:tblPrEx>
        <w:trPr>
          <w:trHeight w:val="276"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29.2</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其中</w:t>
            </w:r>
            <w:r>
              <w:rPr>
                <w:rFonts w:ascii="宋体" w:cs="宋体"/>
                <w:color w:val="000000"/>
                <w:kern w:val="0"/>
                <w:sz w:val="24"/>
              </w:rPr>
              <w:t>-</w:t>
            </w:r>
            <w:r>
              <w:rPr>
                <w:rFonts w:hint="eastAsia" w:ascii="宋体" w:hAnsi="宋体" w:cs="宋体"/>
                <w:color w:val="000000"/>
                <w:kern w:val="0"/>
                <w:sz w:val="24"/>
              </w:rPr>
              <w:t>财政拨款</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29.2</w:t>
            </w:r>
          </w:p>
        </w:tc>
      </w:tr>
      <w:tr>
        <w:tblPrEx>
          <w:tblCellMar>
            <w:top w:w="0" w:type="dxa"/>
            <w:left w:w="0" w:type="dxa"/>
            <w:bottom w:w="0" w:type="dxa"/>
            <w:right w:w="0" w:type="dxa"/>
          </w:tblCellMar>
        </w:tblPrEx>
        <w:trPr>
          <w:trHeight w:val="1511"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2137"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asci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其它资金</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color w:val="000000"/>
                <w:sz w:val="24"/>
              </w:rPr>
            </w:pPr>
            <w:r>
              <w:rPr>
                <w:rFonts w:hint="eastAsia" w:ascii="宋体" w:cs="宋体"/>
                <w:color w:val="000000"/>
                <w:sz w:val="24"/>
              </w:rPr>
              <w:t>0</w:t>
            </w:r>
          </w:p>
        </w:tc>
      </w:tr>
      <w:tr>
        <w:tblPrEx>
          <w:tblCellMar>
            <w:top w:w="0" w:type="dxa"/>
            <w:left w:w="0" w:type="dxa"/>
            <w:bottom w:w="0" w:type="dxa"/>
            <w:right w:w="0" w:type="dxa"/>
          </w:tblCellMar>
        </w:tblPrEx>
        <w:trPr>
          <w:trHeight w:val="276"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年度目标完成情况</w:t>
            </w:r>
          </w:p>
        </w:tc>
        <w:tc>
          <w:tcPr>
            <w:tcW w:w="45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4529"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szCs w:val="21"/>
              </w:rPr>
            </w:pPr>
            <w:r>
              <w:rPr>
                <w:rFonts w:hint="eastAsia" w:ascii="宋体" w:hAnsi="宋体" w:cs="仿宋_GB2312"/>
                <w:szCs w:val="21"/>
              </w:rPr>
              <w:t>完成支付2021年度276名警务辅助人员日常办公经费，确保公安工作正常运转。</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hAnsi="宋体" w:cs="仿宋_GB2312"/>
                <w:szCs w:val="21"/>
              </w:rPr>
              <w:t>完成支付2021年度276名警务辅助人员日常办公经费，确保公安工作正常运转。</w:t>
            </w:r>
          </w:p>
        </w:tc>
      </w:tr>
      <w:tr>
        <w:tblPrEx>
          <w:tblCellMar>
            <w:top w:w="0" w:type="dxa"/>
            <w:left w:w="0" w:type="dxa"/>
            <w:bottom w:w="0" w:type="dxa"/>
            <w:right w:w="0" w:type="dxa"/>
          </w:tblCellMar>
        </w:tblPrEx>
        <w:trPr>
          <w:trHeight w:val="1042" w:hRule="atLeast"/>
        </w:trPr>
        <w:tc>
          <w:tcPr>
            <w:tcW w:w="645"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sz w:val="24"/>
              </w:rPr>
              <w:t>绩效指标完成情况</w:t>
            </w: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预期指标值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tblPrEx>
          <w:tblCellMar>
            <w:top w:w="0" w:type="dxa"/>
            <w:left w:w="0" w:type="dxa"/>
            <w:bottom w:w="0" w:type="dxa"/>
            <w:right w:w="0" w:type="dxa"/>
          </w:tblCellMar>
        </w:tblPrEx>
        <w:trPr>
          <w:trHeight w:val="953"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 w:val="24"/>
              </w:rPr>
            </w:pPr>
            <w:r>
              <w:rPr>
                <w:rFonts w:hint="eastAsia" w:ascii="宋体" w:hAnsi="宋体" w:cs="仿宋_GB2312"/>
                <w:szCs w:val="21"/>
              </w:rPr>
              <w:t>完成支付2021年度276名警务辅助人员日常办公经费，确保公安工作正常运转。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ascii="宋体" w:hAnsi="宋体" w:cs="仿宋_GB2312"/>
                <w:szCs w:val="21"/>
              </w:rPr>
              <w:t>基本完成预期目标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ascii="宋体" w:hAnsi="宋体" w:cs="仿宋_GB2312"/>
                <w:szCs w:val="21"/>
              </w:rPr>
              <w:t>基本完成预期目标</w:t>
            </w:r>
          </w:p>
        </w:tc>
      </w:tr>
      <w:tr>
        <w:tblPrEx>
          <w:tblCellMar>
            <w:top w:w="0" w:type="dxa"/>
            <w:left w:w="0" w:type="dxa"/>
            <w:bottom w:w="0" w:type="dxa"/>
            <w:right w:w="0" w:type="dxa"/>
          </w:tblCellMar>
        </w:tblPrEx>
        <w:trPr>
          <w:trHeight w:val="1297"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 w:val="24"/>
              </w:rPr>
            </w:pPr>
            <w:r>
              <w:rPr>
                <w:rFonts w:hint="eastAsia" w:ascii="宋体" w:hAnsi="宋体" w:cs="仿宋_GB2312"/>
                <w:szCs w:val="21"/>
              </w:rPr>
              <w:t>日常办公经费</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　</w:t>
            </w:r>
            <w:r>
              <w:t>=100%</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 w:val="24"/>
              </w:rPr>
            </w:pPr>
            <w:r>
              <w:rPr>
                <w:rFonts w:hint="eastAsia" w:asci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按年度进度安排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2021年</w:t>
            </w:r>
            <w:r>
              <w:t>12</w:t>
            </w:r>
            <w:r>
              <w:rPr>
                <w:rFonts w:hint="eastAsia"/>
              </w:rPr>
              <w:t>月</w:t>
            </w:r>
            <w:r>
              <w:t>31</w:t>
            </w:r>
            <w:r>
              <w:rPr>
                <w:rFonts w:hint="eastAsia"/>
              </w:rPr>
              <w:t>日前</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 w:val="24"/>
              </w:rPr>
            </w:pPr>
            <w:r>
              <w:rPr>
                <w:rFonts w:hint="eastAsia"/>
              </w:rPr>
              <w:t>2021年</w:t>
            </w:r>
            <w:r>
              <w:t>12</w:t>
            </w:r>
            <w:r>
              <w:rPr>
                <w:rFonts w:hint="eastAsia"/>
              </w:rPr>
              <w:t>月</w:t>
            </w:r>
            <w:r>
              <w:t>31</w:t>
            </w:r>
            <w:r>
              <w:rPr>
                <w:rFonts w:hint="eastAsia"/>
              </w:rPr>
              <w:t>日前</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kern w:val="0"/>
                <w:szCs w:val="21"/>
              </w:rPr>
            </w:pPr>
            <w:r>
              <w:rPr>
                <w:rFonts w:hint="eastAsia" w:ascii="宋体" w:hAnsi="宋体" w:cs="宋体"/>
                <w:color w:val="000000"/>
                <w:kern w:val="0"/>
                <w:szCs w:val="21"/>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ascii="宋体" w:hAnsi="宋体" w:cs="仿宋_GB2312"/>
                <w:szCs w:val="21"/>
              </w:rPr>
              <w:t>完成支付2021年度276名警务辅助人员日常办公经费，确保公安工作正常运转。</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hAnsi="宋体" w:cs="宋体"/>
                <w:szCs w:val="21"/>
              </w:rPr>
            </w:pPr>
            <w:r>
              <w:rPr>
                <w:rFonts w:hint="eastAsia" w:ascii="宋体" w:hAnsi="宋体" w:cs="宋体"/>
                <w:color w:val="000000"/>
                <w:sz w:val="24"/>
              </w:rPr>
              <w:t>29.2万元</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ascii="宋体" w:hAnsi="宋体" w:cs="宋体"/>
                <w:color w:val="000000"/>
                <w:sz w:val="24"/>
              </w:rPr>
              <w:t>29.2万元</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Cs w:val="21"/>
              </w:rPr>
            </w:pPr>
            <w:r>
              <w:rPr>
                <w:rFonts w:hint="eastAsia"/>
                <w:szCs w:val="21"/>
              </w:rPr>
              <w:t>对工作的促进作用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szCs w:val="21"/>
              </w:rPr>
              <w:t>协助民警一道维护社会稳定，把米易打造成全国最平安的县城。</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rPr>
                <w:rFonts w:ascii="宋体" w:cs="宋体"/>
                <w:szCs w:val="21"/>
              </w:rPr>
            </w:pPr>
            <w:r>
              <w:rPr>
                <w:rFonts w:hint="eastAsia"/>
                <w:szCs w:val="21"/>
              </w:rPr>
              <w:t>协助民警一道维护社会稳定，把米易打造成全国最平安的县城。</w:t>
            </w:r>
          </w:p>
        </w:tc>
      </w:tr>
      <w:tr>
        <w:tblPrEx>
          <w:tblCellMar>
            <w:top w:w="0" w:type="dxa"/>
            <w:left w:w="0" w:type="dxa"/>
            <w:bottom w:w="0" w:type="dxa"/>
            <w:right w:w="0" w:type="dxa"/>
          </w:tblCellMar>
        </w:tblPrEx>
        <w:trPr>
          <w:trHeight w:val="1042" w:hRule="atLeast"/>
        </w:trPr>
        <w:tc>
          <w:tcPr>
            <w:tcW w:w="645"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cs="宋体"/>
                <w:color w:val="000000"/>
                <w:sz w:val="24"/>
              </w:rPr>
            </w:pPr>
          </w:p>
        </w:tc>
        <w:tc>
          <w:tcPr>
            <w:tcW w:w="111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hAnsi="宋体" w:cs="宋体"/>
                <w:color w:val="000000"/>
                <w:kern w:val="0"/>
                <w:szCs w:val="21"/>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cs="宋体"/>
                <w:color w:val="000000"/>
                <w:szCs w:val="21"/>
              </w:rPr>
            </w:pPr>
            <w:r>
              <w:rPr>
                <w:rFonts w:hint="eastAsia" w:ascii="宋体" w:cs="宋体"/>
                <w:color w:val="000000"/>
                <w:szCs w:val="21"/>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cs="宋体"/>
                <w:szCs w:val="21"/>
              </w:rPr>
            </w:pPr>
            <w:r>
              <w:rPr>
                <w:rFonts w:hint="eastAsia"/>
                <w:szCs w:val="21"/>
              </w:rPr>
              <w:t>全县群众满意度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cs="宋体"/>
                <w:szCs w:val="21"/>
              </w:rPr>
            </w:pPr>
            <w:r>
              <w:rPr>
                <w:rFonts w:hint="eastAsia"/>
                <w:szCs w:val="21"/>
              </w:rPr>
              <w:t>政府满意度&gt;96%，群众满意度&gt;97%</w:t>
            </w:r>
          </w:p>
          <w:p>
            <w:pPr>
              <w:jc w:val="center"/>
              <w:rPr>
                <w:rFonts w:ascii="宋体" w:cs="宋体"/>
                <w:szCs w:val="21"/>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left"/>
              <w:rPr>
                <w:rFonts w:ascii="宋体" w:hAnsi="宋体" w:cs="宋体"/>
                <w:szCs w:val="21"/>
              </w:rPr>
            </w:pPr>
            <w:r>
              <w:rPr>
                <w:rFonts w:hint="eastAsia"/>
                <w:szCs w:val="21"/>
              </w:rPr>
              <w:t>政府满意度&gt;96%，群众满意度&gt;97%</w:t>
            </w:r>
          </w:p>
          <w:p>
            <w:pPr>
              <w:jc w:val="center"/>
              <w:rPr>
                <w:rFonts w:ascii="宋体" w:cs="宋体"/>
                <w:szCs w:val="21"/>
              </w:rPr>
            </w:pPr>
          </w:p>
        </w:tc>
      </w:tr>
    </w:tbl>
    <w:p>
      <w:pPr>
        <w:widowControl/>
        <w:spacing w:line="360" w:lineRule="auto"/>
        <w:jc w:val="left"/>
        <w:rPr>
          <w:rFonts w:ascii="仿宋_GB2312" w:eastAsia="仿宋_GB2312"/>
          <w:b/>
          <w:color w:val="000000"/>
          <w:sz w:val="32"/>
          <w:szCs w:val="32"/>
        </w:rPr>
      </w:pPr>
    </w:p>
    <w:p>
      <w:pPr>
        <w:numPr>
          <w:ilvl w:val="0"/>
          <w:numId w:val="6"/>
        </w:numPr>
        <w:spacing w:line="360" w:lineRule="auto"/>
        <w:ind w:firstLine="660"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6"/>
      <w:bookmarkEnd w:id="57"/>
    </w:p>
    <w:p>
      <w:pPr>
        <w:pStyle w:val="22"/>
        <w:spacing w:line="360" w:lineRule="auto"/>
        <w:ind w:firstLine="640" w:firstLineChars="200"/>
        <w:rPr>
          <w:rFonts w:ascii="仿宋_GB2312" w:eastAsia="仿宋_GB2312"/>
          <w:sz w:val="32"/>
          <w:szCs w:val="32"/>
        </w:rPr>
      </w:pPr>
      <w:bookmarkStart w:id="58" w:name="_Toc15377226"/>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Style w:val="22"/>
        <w:spacing w:line="360" w:lineRule="auto"/>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color w:val="auto"/>
          <w:sz w:val="32"/>
          <w:szCs w:val="32"/>
        </w:rPr>
        <w:t>“三公”经费</w:t>
      </w:r>
      <w:r>
        <w:rPr>
          <w:rFonts w:hint="eastAsia" w:ascii="仿宋_GB2312" w:eastAsia="仿宋_GB2312"/>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360" w:lineRule="auto"/>
        <w:ind w:firstLine="640" w:firstLineChars="200"/>
        <w:rPr>
          <w:rFonts w:ascii="仿宋_GB2312" w:eastAsia="仿宋_GB2312"/>
          <w:color w:val="000000"/>
          <w:sz w:val="32"/>
          <w:szCs w:val="32"/>
        </w:rPr>
      </w:pPr>
      <w:r>
        <w:rPr>
          <w:rFonts w:ascii="仿宋_GB2312" w:eastAsia="仿宋_GB2312"/>
          <w:sz w:val="32"/>
          <w:szCs w:val="32"/>
        </w:rPr>
        <w:t>10.</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12</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p>
    <w:p>
      <w:pPr>
        <w:spacing w:line="360" w:lineRule="auto"/>
        <w:ind w:firstLine="640" w:firstLineChars="200"/>
        <w:rPr>
          <w:rFonts w:ascii="仿宋_GB2312" w:eastAsia="仿宋_GB2312"/>
          <w:color w:val="000000"/>
          <w:sz w:val="32"/>
          <w:szCs w:val="32"/>
        </w:rPr>
      </w:pPr>
      <w:r>
        <w:rPr>
          <w:rFonts w:hint="eastAsia" w:ascii="仿宋_GB2312" w:eastAsia="仿宋_GB2312"/>
          <w:color w:val="000000"/>
          <w:sz w:val="32"/>
          <w:szCs w:val="32"/>
        </w:rPr>
        <w:t>13</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spacing w:line="560" w:lineRule="exact"/>
        <w:jc w:val="center"/>
        <w:outlineLvl w:val="0"/>
        <w:rPr>
          <w:rStyle w:val="24"/>
          <w:rFonts w:ascii="黑体" w:hAnsi="黑体" w:eastAsia="黑体"/>
          <w:b w:val="0"/>
        </w:rPr>
      </w:pPr>
      <w:r>
        <w:rPr>
          <w:rFonts w:ascii="宋体"/>
          <w:b/>
          <w:color w:val="000000"/>
          <w:sz w:val="44"/>
          <w:szCs w:val="44"/>
        </w:rPr>
        <w:br w:type="page"/>
      </w:r>
      <w:bookmarkStart w:id="59"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9"/>
    </w:p>
    <w:p>
      <w:pPr>
        <w:spacing w:line="56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60" w:lineRule="exact"/>
        <w:ind w:firstLine="2000" w:firstLineChars="500"/>
        <w:rPr>
          <w:rFonts w:ascii="方正小标宋简体" w:hAnsi="宋体" w:eastAsia="方正小标宋简体"/>
          <w:color w:val="000000"/>
          <w:kern w:val="0"/>
          <w:sz w:val="40"/>
          <w:szCs w:val="44"/>
        </w:rPr>
      </w:pPr>
      <w:r>
        <w:rPr>
          <w:rFonts w:hint="eastAsia" w:ascii="方正小标宋简体" w:hAnsi="宋体" w:eastAsia="方正小标宋简体"/>
          <w:color w:val="000000"/>
          <w:kern w:val="0"/>
          <w:sz w:val="40"/>
          <w:szCs w:val="44"/>
        </w:rPr>
        <w:t>2021</w:t>
      </w:r>
      <w:r>
        <w:rPr>
          <w:rFonts w:ascii="方正小标宋简体" w:hAnsi="宋体" w:eastAsia="方正小标宋简体"/>
          <w:color w:val="000000"/>
          <w:kern w:val="0"/>
          <w:sz w:val="40"/>
          <w:szCs w:val="44"/>
        </w:rPr>
        <w:t>年</w:t>
      </w:r>
      <w:r>
        <w:rPr>
          <w:rFonts w:hint="eastAsia" w:ascii="方正小标宋简体" w:hAnsi="宋体" w:eastAsia="方正小标宋简体"/>
          <w:color w:val="000000"/>
          <w:kern w:val="0"/>
          <w:sz w:val="40"/>
          <w:szCs w:val="44"/>
        </w:rPr>
        <w:t>米易县公安局</w:t>
      </w:r>
    </w:p>
    <w:p>
      <w:pPr>
        <w:spacing w:line="560" w:lineRule="exact"/>
        <w:jc w:val="center"/>
        <w:rPr>
          <w:rFonts w:ascii="方正小标宋简体" w:hAnsi="宋体" w:eastAsia="方正小标宋简体"/>
          <w:color w:val="000000"/>
          <w:kern w:val="0"/>
          <w:sz w:val="40"/>
          <w:szCs w:val="44"/>
          <w:lang w:val="zh-CN"/>
        </w:rPr>
      </w:pPr>
      <w:r>
        <w:rPr>
          <w:rFonts w:ascii="方正小标宋简体" w:hAnsi="宋体" w:eastAsia="方正小标宋简体"/>
          <w:color w:val="000000"/>
          <w:kern w:val="0"/>
          <w:sz w:val="40"/>
          <w:szCs w:val="44"/>
        </w:rPr>
        <w:t>部门</w:t>
      </w:r>
      <w:r>
        <w:rPr>
          <w:rFonts w:hint="eastAsia" w:ascii="方正小标宋简体" w:hAnsi="宋体" w:eastAsia="方正小标宋简体"/>
          <w:color w:val="000000"/>
          <w:kern w:val="0"/>
          <w:sz w:val="40"/>
          <w:szCs w:val="44"/>
          <w:lang w:val="zh-CN"/>
        </w:rPr>
        <w:t>整体支出绩效评价报告</w:t>
      </w:r>
    </w:p>
    <w:p>
      <w:pPr>
        <w:widowControl/>
        <w:adjustRightInd w:val="0"/>
        <w:snapToGrid w:val="0"/>
        <w:spacing w:line="56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部门概况</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（一）机构组成。</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米易县公安局有1</w:t>
      </w:r>
      <w:r>
        <w:rPr>
          <w:rFonts w:hint="eastAsia" w:ascii="仿宋_GB2312" w:hAnsi="宋体" w:eastAsia="仿宋_GB2312" w:cs="宋体"/>
          <w:color w:val="000000"/>
          <w:kern w:val="0"/>
          <w:sz w:val="32"/>
          <w:szCs w:val="32"/>
          <w:shd w:val="clear" w:color="auto" w:fill="FFFFFF"/>
        </w:rPr>
        <w:t>4</w:t>
      </w:r>
      <w:r>
        <w:rPr>
          <w:rFonts w:hint="eastAsia" w:ascii="仿宋_GB2312" w:hAnsi="宋体" w:eastAsia="仿宋_GB2312" w:cs="宋体"/>
          <w:color w:val="000000"/>
          <w:kern w:val="0"/>
          <w:sz w:val="32"/>
          <w:szCs w:val="32"/>
          <w:shd w:val="clear" w:color="auto" w:fill="FFFFFF"/>
          <w:lang w:val="zh-CN"/>
        </w:rPr>
        <w:t>个内设机构：指挥中心（办公室）、政工科、警务督察大队、警务保障室、禁毒缉毒大队、国内安全保卫大队、法制大队、治安管理大队、刑事侦查大队、经济犯罪侦查大队、</w:t>
      </w:r>
      <w:r>
        <w:rPr>
          <w:rFonts w:hint="eastAsia" w:ascii="仿宋_GB2312" w:hAnsi="宋体" w:eastAsia="仿宋_GB2312" w:cs="宋体"/>
          <w:color w:val="000000"/>
          <w:kern w:val="0"/>
          <w:sz w:val="32"/>
          <w:szCs w:val="32"/>
          <w:shd w:val="clear" w:color="auto" w:fill="FFFFFF"/>
        </w:rPr>
        <w:t>网络</w:t>
      </w:r>
      <w:r>
        <w:rPr>
          <w:rFonts w:hint="eastAsia" w:ascii="仿宋_GB2312" w:hAnsi="宋体" w:eastAsia="仿宋_GB2312" w:cs="宋体"/>
          <w:color w:val="000000"/>
          <w:kern w:val="0"/>
          <w:sz w:val="32"/>
          <w:szCs w:val="32"/>
          <w:shd w:val="clear" w:color="auto" w:fill="FFFFFF"/>
          <w:lang w:val="zh-CN"/>
        </w:rPr>
        <w:t>安全保卫和情报信息大队、交通警察大队、特巡警大队、</w:t>
      </w:r>
      <w:r>
        <w:rPr>
          <w:rFonts w:hint="eastAsia" w:ascii="仿宋_GB2312" w:hAnsi="宋体" w:eastAsia="仿宋_GB2312" w:cs="宋体"/>
          <w:color w:val="000000"/>
          <w:kern w:val="0"/>
          <w:sz w:val="32"/>
          <w:szCs w:val="32"/>
          <w:shd w:val="clear" w:color="auto" w:fill="FFFFFF"/>
        </w:rPr>
        <w:t>森林警察大队</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12个派出机构：米易县看守所、米易县强制隔离戒毒</w:t>
      </w:r>
    </w:p>
    <w:p>
      <w:pPr>
        <w:widowControl/>
        <w:adjustRightInd w:val="0"/>
        <w:snapToGrid w:val="0"/>
        <w:spacing w:line="560" w:lineRule="exact"/>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所、米易县拘留所、草场派出所、丙谷派出所、撒莲派出所、攀莲派出所、</w:t>
      </w:r>
      <w:r>
        <w:rPr>
          <w:rFonts w:hint="eastAsia" w:ascii="仿宋_GB2312" w:hAnsi="宋体" w:eastAsia="仿宋_GB2312" w:cs="宋体"/>
          <w:color w:val="000000"/>
          <w:kern w:val="0"/>
          <w:sz w:val="32"/>
          <w:szCs w:val="32"/>
          <w:shd w:val="clear" w:color="auto" w:fill="FFFFFF"/>
        </w:rPr>
        <w:t>新山</w:t>
      </w:r>
      <w:r>
        <w:rPr>
          <w:rFonts w:hint="eastAsia" w:ascii="仿宋_GB2312" w:hAnsi="宋体" w:eastAsia="仿宋_GB2312" w:cs="宋体"/>
          <w:color w:val="000000"/>
          <w:kern w:val="0"/>
          <w:sz w:val="32"/>
          <w:szCs w:val="32"/>
          <w:shd w:val="clear" w:color="auto" w:fill="FFFFFF"/>
          <w:lang w:val="zh-CN"/>
        </w:rPr>
        <w:t>派出所、得石派出所、白马派出所、湾丘派出所、普威派出所。</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（二）机构职能。</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1.预防、制止和侦查违法犯罪活动；</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2.维护社会治安秩序，制止危害社会治安秩序的行为；</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3.维护交通安全和交通秩序，处理交通事故；</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4.组织、实施消防工作，实行消防监督；</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5.管理枪支弹药、管制刀具和易燃易爆、剧毒、放射性等危险物品；</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6.对法律、法规规定的特种行业进行管理；</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7.警卫国家规定的特定人员，守卫重要的场所和设施；</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8.管理集会、游行、示威活动；</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9.管理户政、国籍、入境出境事务和外国人在中国境内居留、旅行的有关事务；</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10.对被判处管制、拘役、剥夺政治权利的罪犯和监外执行的罪犯执行刑罚，对被宣告缓刑、假释的罪犯实行监督、考察；</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11.监督管理计算机信息系统的安全保护工作；</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12.指导和监督国家机关、社会团体、企业事业组织和重点建设工程的治安保卫工作，指导治安保卫委员会等群众性组织的治安防范工作；</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13.法律、法规规定的其他职责。</w:t>
      </w:r>
    </w:p>
    <w:p>
      <w:pPr>
        <w:autoSpaceDE w:val="0"/>
        <w:snapToGrid w:val="0"/>
        <w:spacing w:line="560" w:lineRule="exact"/>
        <w:ind w:firstLine="623"/>
        <w:jc w:val="left"/>
        <w:textAlignment w:val="baseline"/>
        <w:rPr>
          <w:rFonts w:ascii="仿宋_GB2312" w:hAnsi="楷体" w:eastAsia="仿宋_GB2312"/>
          <w:color w:val="000000"/>
          <w:kern w:val="0"/>
          <w:sz w:val="32"/>
          <w:szCs w:val="32"/>
        </w:rPr>
      </w:pPr>
      <w:r>
        <w:rPr>
          <w:rFonts w:hint="eastAsia" w:ascii="仿宋_GB2312" w:hAnsi="楷体" w:eastAsia="仿宋_GB2312"/>
          <w:color w:val="000000"/>
          <w:kern w:val="0"/>
          <w:sz w:val="32"/>
          <w:szCs w:val="32"/>
        </w:rPr>
        <w:t>14.承办上级公安机关和县委、县政府交办的其它工作。</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（三）人员概况。</w:t>
      </w:r>
    </w:p>
    <w:p>
      <w:pPr>
        <w:spacing w:line="360" w:lineRule="auto"/>
        <w:ind w:firstLine="640" w:firstLineChars="200"/>
        <w:rPr>
          <w:rFonts w:ascii="仿宋_GB2312" w:hAnsi="宋体" w:eastAsia="仿宋_GB2312"/>
          <w:sz w:val="32"/>
          <w:szCs w:val="32"/>
        </w:rPr>
      </w:pPr>
      <w:r>
        <w:rPr>
          <w:rFonts w:hint="eastAsia" w:ascii="仿宋_GB2312" w:hAnsi="宋体" w:eastAsia="仿宋_GB2312" w:cs="宋体"/>
          <w:kern w:val="0"/>
          <w:sz w:val="32"/>
          <w:szCs w:val="32"/>
          <w:shd w:val="clear" w:color="auto" w:fill="FFFFFF"/>
          <w:lang w:val="zh-CN"/>
        </w:rPr>
        <w:t>截止2021年12月31日，</w:t>
      </w:r>
      <w:r>
        <w:rPr>
          <w:rFonts w:hint="eastAsia" w:ascii="仿宋_GB2312" w:hAnsi="宋体" w:eastAsia="仿宋_GB2312"/>
          <w:sz w:val="32"/>
          <w:szCs w:val="32"/>
        </w:rPr>
        <w:t>共有政法编制235个，共有在职民警216人，警务辅助人员276人（含交通秩序维护员），机关工勤人员7人，事业人员23人。</w:t>
      </w:r>
    </w:p>
    <w:p>
      <w:pPr>
        <w:widowControl/>
        <w:adjustRightInd w:val="0"/>
        <w:snapToGrid w:val="0"/>
        <w:spacing w:line="560" w:lineRule="exact"/>
        <w:ind w:firstLine="640" w:firstLineChars="200"/>
        <w:contextualSpacing/>
        <w:jc w:val="left"/>
        <w:rPr>
          <w:rFonts w:ascii="黑体" w:hAnsi="黑体" w:eastAsia="黑体" w:cs="黑体"/>
          <w:color w:val="000000"/>
          <w:kern w:val="0"/>
          <w:sz w:val="32"/>
          <w:szCs w:val="32"/>
          <w:shd w:val="clear" w:color="auto" w:fill="FFFFFF"/>
          <w:lang w:val="zh-CN"/>
        </w:rPr>
      </w:pPr>
      <w:r>
        <w:rPr>
          <w:rFonts w:hint="eastAsia" w:ascii="黑体" w:hAnsi="黑体" w:eastAsia="黑体" w:cs="黑体"/>
          <w:color w:val="000000"/>
          <w:kern w:val="0"/>
          <w:sz w:val="32"/>
          <w:szCs w:val="32"/>
          <w:shd w:val="clear" w:color="auto" w:fill="FFFFFF"/>
          <w:lang w:val="zh-CN"/>
        </w:rPr>
        <w:t>二、部门财政资金收支情况</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（一）部门财政资金收入情况。</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2021年米易县公安局收入决算总额为</w:t>
      </w:r>
      <w:r>
        <w:rPr>
          <w:rFonts w:hint="eastAsia" w:ascii="仿宋_GB2312" w:hAnsi="仿宋" w:eastAsia="仿宋_GB2312"/>
          <w:color w:val="000000"/>
          <w:sz w:val="32"/>
          <w:szCs w:val="32"/>
        </w:rPr>
        <w:t>10065.43</w:t>
      </w:r>
      <w:r>
        <w:rPr>
          <w:rFonts w:hint="eastAsia" w:ascii="仿宋_GB2312" w:hAnsi="宋体" w:eastAsia="仿宋_GB2312" w:cs="宋体"/>
          <w:color w:val="000000"/>
          <w:kern w:val="0"/>
          <w:sz w:val="32"/>
          <w:szCs w:val="32"/>
          <w:shd w:val="clear" w:color="auto" w:fill="FFFFFF"/>
          <w:lang w:val="zh-CN"/>
        </w:rPr>
        <w:t>万元，其中：当年财政拨款收入</w:t>
      </w:r>
      <w:r>
        <w:rPr>
          <w:rFonts w:hint="eastAsia" w:ascii="仿宋_GB2312" w:hAnsi="仿宋" w:eastAsia="仿宋_GB2312"/>
          <w:color w:val="000000"/>
          <w:sz w:val="32"/>
          <w:szCs w:val="32"/>
        </w:rPr>
        <w:t>9518.96</w:t>
      </w:r>
      <w:r>
        <w:rPr>
          <w:rFonts w:hint="eastAsia" w:ascii="仿宋_GB2312" w:hAnsi="宋体" w:eastAsia="仿宋_GB2312" w:cs="宋体"/>
          <w:color w:val="000000"/>
          <w:kern w:val="0"/>
          <w:sz w:val="32"/>
          <w:szCs w:val="32"/>
          <w:shd w:val="clear" w:color="auto" w:fill="FFFFFF"/>
          <w:lang w:val="zh-CN"/>
        </w:rPr>
        <w:t>万元，事业收入0万元，上年结转收入</w:t>
      </w:r>
      <w:r>
        <w:rPr>
          <w:rFonts w:hint="eastAsia" w:ascii="仿宋_GB2312" w:hAnsi="宋体" w:eastAsia="仿宋_GB2312" w:cs="宋体"/>
          <w:color w:val="000000"/>
          <w:kern w:val="0"/>
          <w:sz w:val="32"/>
          <w:szCs w:val="32"/>
          <w:shd w:val="clear" w:color="auto" w:fill="FFFFFF"/>
        </w:rPr>
        <w:t>546.47</w:t>
      </w:r>
      <w:r>
        <w:rPr>
          <w:rFonts w:hint="eastAsia" w:ascii="仿宋_GB2312" w:hAnsi="宋体" w:eastAsia="仿宋_GB2312" w:cs="宋体"/>
          <w:color w:val="000000"/>
          <w:kern w:val="0"/>
          <w:sz w:val="32"/>
          <w:szCs w:val="32"/>
          <w:shd w:val="clear" w:color="auto" w:fill="FFFFFF"/>
          <w:lang w:val="zh-CN"/>
        </w:rPr>
        <w:t>万元。</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（二）部门财政资金支出情况。</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2021年财政拨款支出决算总额为10065.43万元，其中：</w:t>
      </w:r>
      <w:r>
        <w:rPr>
          <w:rFonts w:hint="eastAsia" w:ascii="仿宋_GB2312" w:hAnsi="仿宋" w:eastAsia="仿宋_GB2312"/>
          <w:color w:val="000000"/>
          <w:sz w:val="32"/>
          <w:szCs w:val="32"/>
        </w:rPr>
        <w:t>公共安全支出（类）6715.42万元，占66.72%；文化旅游体育与传媒支出2.2万元，占0.02%；社会保障和就业（类）支出417.12万元，占4.14%；卫生健康支出246.68万元，占2.45%；住房保障支出460.62万元，占4.58%；城乡社区支出2223.37万元，占22.09%。</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rPr>
        <w:t>（一）</w:t>
      </w:r>
      <w:r>
        <w:rPr>
          <w:rFonts w:hint="eastAsia" w:ascii="楷体" w:hAnsi="楷体" w:eastAsia="楷体" w:cs="楷体"/>
          <w:color w:val="000000"/>
          <w:kern w:val="0"/>
          <w:sz w:val="32"/>
          <w:szCs w:val="32"/>
          <w:shd w:val="clear" w:color="auto" w:fill="FFFFFF"/>
          <w:lang w:val="zh-CN"/>
        </w:rPr>
        <w:t>预算编制情况。</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米易县公安局预算编制严格按照《预算法》相关规定，结合全县预算编制口径，结合我单位实际情况，主要用于保障该机构正常运转、完成日常工作任务以及米易县公安局事业发展相关工作而编制 。</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基本支出，是用于保障公安机关正常运转的日常支出，包括基本工资、津贴补贴等人员经费以及办公费、印刷费、水电费、办公设备购置等日常公用经费。</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项目支出，是用于保障公安机关为完成特定的行政工作任务或事业发展目标，用于专项业务工作的经费支出。</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rPr>
        <w:t>（二）</w:t>
      </w:r>
      <w:r>
        <w:rPr>
          <w:rFonts w:hint="eastAsia" w:ascii="楷体" w:hAnsi="楷体" w:eastAsia="楷体" w:cs="楷体"/>
          <w:color w:val="000000"/>
          <w:kern w:val="0"/>
          <w:sz w:val="32"/>
          <w:szCs w:val="32"/>
          <w:shd w:val="clear" w:color="auto" w:fill="FFFFFF"/>
          <w:lang w:val="zh-CN"/>
        </w:rPr>
        <w:t>执行管理情况。</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6月执行进度</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单位基本支出达到“时间过半、支出过半”，项目支出按进度拨付。9月执行进度</w:t>
      </w:r>
      <w:r>
        <w:rPr>
          <w:rFonts w:hint="eastAsia" w:ascii="仿宋_GB2312" w:hAnsi="宋体" w:eastAsia="仿宋_GB2312" w:cs="宋体"/>
          <w:color w:val="000000"/>
          <w:kern w:val="0"/>
          <w:sz w:val="32"/>
          <w:szCs w:val="32"/>
          <w:shd w:val="clear" w:color="auto" w:fill="FFFFFF"/>
        </w:rPr>
        <w:t>,</w:t>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单位基本支出及项目支出达到本部门应达到执行进度。11月执行进度，单位基本支出及项目支出达到90%。12月执行进度，</w:t>
      </w:r>
      <w:r>
        <w:rPr>
          <w:rFonts w:hint="eastAsia" w:ascii="仿宋_GB2312" w:hAnsi="宋体" w:eastAsia="仿宋_GB2312" w:cs="宋体"/>
          <w:color w:val="000000"/>
          <w:kern w:val="0"/>
          <w:sz w:val="32"/>
          <w:szCs w:val="32"/>
          <w:shd w:val="clear" w:color="auto" w:fill="FFFFFF"/>
          <w:lang w:val="zh-CN"/>
        </w:rPr>
        <w:tab/>
      </w:r>
      <w:r>
        <w:rPr>
          <w:rFonts w:hint="eastAsia" w:ascii="仿宋_GB2312" w:hAnsi="宋体" w:eastAsia="仿宋_GB2312" w:cs="宋体"/>
          <w:color w:val="000000"/>
          <w:kern w:val="0"/>
          <w:sz w:val="32"/>
          <w:szCs w:val="32"/>
          <w:shd w:val="clear" w:color="auto" w:fill="FFFFFF"/>
          <w:lang w:val="zh-CN"/>
        </w:rPr>
        <w:t>单位当年财政结转资金占财政当年拨款资金比重</w:t>
      </w:r>
      <w:r>
        <w:rPr>
          <w:rFonts w:hint="eastAsia" w:ascii="仿宋_GB2312" w:hAnsi="宋体" w:eastAsia="仿宋_GB2312" w:cs="宋体"/>
          <w:color w:val="000000"/>
          <w:kern w:val="0"/>
          <w:sz w:val="32"/>
          <w:szCs w:val="32"/>
          <w:shd w:val="clear" w:color="auto" w:fill="FFFFFF"/>
        </w:rPr>
        <w:t>7.65</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（三）部门支出情况。</w:t>
      </w:r>
    </w:p>
    <w:p>
      <w:pPr>
        <w:widowControl/>
        <w:adjustRightInd w:val="0"/>
        <w:snapToGrid w:val="0"/>
        <w:spacing w:line="560" w:lineRule="exact"/>
        <w:ind w:firstLine="643"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b/>
          <w:bCs/>
          <w:color w:val="000000"/>
          <w:kern w:val="0"/>
          <w:sz w:val="32"/>
          <w:szCs w:val="32"/>
          <w:shd w:val="clear" w:color="auto" w:fill="FFFFFF"/>
        </w:rPr>
        <w:t>1.行政运行保障。</w:t>
      </w:r>
      <w:r>
        <w:rPr>
          <w:rFonts w:hint="eastAsia" w:ascii="仿宋_GB2312" w:hAnsi="宋体" w:eastAsia="仿宋_GB2312" w:cs="宋体"/>
          <w:color w:val="000000"/>
          <w:kern w:val="0"/>
          <w:sz w:val="32"/>
          <w:szCs w:val="32"/>
          <w:shd w:val="clear" w:color="auto" w:fill="FFFFFF"/>
          <w:lang w:val="zh-CN"/>
        </w:rPr>
        <w:t>一是建立健全差旅费、中央转移支付资金使用、资产管理等各项财务制度，强化财务约束，严格控制一般性支出，坚持“三公”经费等支出预算管理，杜绝无预算、超预算支出行为，并定期开展监督检查，推进厉行节约信息公开。二是提高预算管理水平，强化预算管理意识，增强部门预算编制的科学性；三是推进预算绩效管理，提高财政资金使用效益；四是强化财务规范化管理，抓好内控体系和财务信息系统建设，加强对重点专项资金的监管。</w:t>
      </w:r>
    </w:p>
    <w:p>
      <w:pPr>
        <w:widowControl/>
        <w:adjustRightInd w:val="0"/>
        <w:snapToGrid w:val="0"/>
        <w:spacing w:line="560" w:lineRule="exact"/>
        <w:ind w:firstLine="643"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rPr>
        <w:t>2.机关厉行节约。</w:t>
      </w:r>
      <w:r>
        <w:rPr>
          <w:rFonts w:hint="eastAsia" w:ascii="仿宋_GB2312" w:hAnsi="宋体" w:eastAsia="仿宋_GB2312" w:cs="宋体"/>
          <w:color w:val="000000"/>
          <w:kern w:val="0"/>
          <w:sz w:val="32"/>
          <w:szCs w:val="32"/>
          <w:shd w:val="clear" w:color="auto" w:fill="FFFFFF"/>
          <w:lang w:val="zh-CN"/>
        </w:rPr>
        <w:t>严格执行支出预算，“三公经费”本着节约、高效的原则严格控制支出，节能降耗，廉洁行政。一是因公出国（境）经费。2021年米易县公安局无人员因公出国（境）。二是公务接待费。2021年公务接待费1.</w:t>
      </w:r>
      <w:r>
        <w:rPr>
          <w:rFonts w:hint="eastAsia" w:ascii="仿宋_GB2312" w:hAnsi="宋体" w:eastAsia="仿宋_GB2312" w:cs="宋体"/>
          <w:color w:val="000000"/>
          <w:kern w:val="0"/>
          <w:sz w:val="32"/>
          <w:szCs w:val="32"/>
          <w:shd w:val="clear" w:color="auto" w:fill="FFFFFF"/>
        </w:rPr>
        <w:t>58</w:t>
      </w:r>
      <w:r>
        <w:rPr>
          <w:rFonts w:hint="eastAsia" w:ascii="仿宋_GB2312" w:hAnsi="宋体" w:eastAsia="仿宋_GB2312" w:cs="宋体"/>
          <w:color w:val="000000"/>
          <w:kern w:val="0"/>
          <w:sz w:val="32"/>
          <w:szCs w:val="32"/>
          <w:shd w:val="clear" w:color="auto" w:fill="FFFFFF"/>
          <w:lang w:val="zh-CN"/>
        </w:rPr>
        <w:t>万元,较2020年</w:t>
      </w:r>
      <w:r>
        <w:rPr>
          <w:rFonts w:hint="eastAsia" w:ascii="仿宋_GB2312" w:hAnsi="宋体" w:eastAsia="仿宋_GB2312" w:cs="宋体"/>
          <w:color w:val="000000"/>
          <w:kern w:val="0"/>
          <w:sz w:val="32"/>
          <w:szCs w:val="32"/>
          <w:shd w:val="clear" w:color="auto" w:fill="FFFFFF"/>
        </w:rPr>
        <w:t>0.9</w:t>
      </w:r>
      <w:r>
        <w:rPr>
          <w:rFonts w:hint="eastAsia" w:ascii="仿宋_GB2312" w:hAnsi="宋体" w:eastAsia="仿宋_GB2312" w:cs="宋体"/>
          <w:color w:val="000000"/>
          <w:kern w:val="0"/>
          <w:sz w:val="32"/>
          <w:szCs w:val="32"/>
          <w:shd w:val="clear" w:color="auto" w:fill="FFFFFF"/>
          <w:lang w:val="zh-CN"/>
        </w:rPr>
        <w:t>万元决算数</w:t>
      </w:r>
      <w:r>
        <w:rPr>
          <w:rFonts w:hint="eastAsia" w:ascii="仿宋_GB2312" w:hAnsi="宋体" w:eastAsia="仿宋_GB2312" w:cs="宋体"/>
          <w:color w:val="000000"/>
          <w:kern w:val="0"/>
          <w:sz w:val="32"/>
          <w:szCs w:val="32"/>
          <w:shd w:val="clear" w:color="auto" w:fill="FFFFFF"/>
        </w:rPr>
        <w:t>上升76.44%</w:t>
      </w:r>
      <w:r>
        <w:rPr>
          <w:rFonts w:hint="eastAsia" w:ascii="仿宋_GB2312" w:hAnsi="宋体" w:eastAsia="仿宋_GB2312" w:cs="宋体"/>
          <w:color w:val="000000"/>
          <w:kern w:val="0"/>
          <w:sz w:val="32"/>
          <w:szCs w:val="32"/>
          <w:shd w:val="clear" w:color="auto" w:fill="FFFFFF"/>
          <w:lang w:val="zh-CN"/>
        </w:rPr>
        <w:t>。2021年公务接待费主要用于执行公务、开展业务活动开支的交通费、住宿费、用餐费等。三是公务用车购置及运行维护费。2021年按规定更新购置公务用车</w:t>
      </w:r>
      <w:r>
        <w:rPr>
          <w:rFonts w:hint="eastAsia" w:ascii="仿宋_GB2312" w:hAnsi="宋体" w:eastAsia="仿宋_GB2312" w:cs="宋体"/>
          <w:color w:val="000000"/>
          <w:kern w:val="0"/>
          <w:sz w:val="32"/>
          <w:szCs w:val="32"/>
          <w:shd w:val="clear" w:color="auto" w:fill="FFFFFF"/>
        </w:rPr>
        <w:t>5</w:t>
      </w:r>
      <w:r>
        <w:rPr>
          <w:rFonts w:hint="eastAsia" w:ascii="仿宋_GB2312" w:hAnsi="宋体" w:eastAsia="仿宋_GB2312" w:cs="宋体"/>
          <w:color w:val="000000"/>
          <w:kern w:val="0"/>
          <w:sz w:val="32"/>
          <w:szCs w:val="32"/>
          <w:shd w:val="clear" w:color="auto" w:fill="FFFFFF"/>
          <w:lang w:val="zh-CN"/>
        </w:rPr>
        <w:t>辆,车辆购置支出</w:t>
      </w:r>
      <w:r>
        <w:rPr>
          <w:rFonts w:hint="eastAsia" w:ascii="仿宋_GB2312" w:hAnsi="宋体" w:eastAsia="仿宋_GB2312" w:cs="宋体"/>
          <w:color w:val="000000"/>
          <w:kern w:val="0"/>
          <w:sz w:val="32"/>
          <w:szCs w:val="32"/>
          <w:shd w:val="clear" w:color="auto" w:fill="FFFFFF"/>
        </w:rPr>
        <w:t>143.11</w:t>
      </w:r>
      <w:r>
        <w:rPr>
          <w:rFonts w:hint="eastAsia" w:ascii="仿宋_GB2312" w:hAnsi="宋体" w:eastAsia="仿宋_GB2312" w:cs="宋体"/>
          <w:color w:val="000000"/>
          <w:kern w:val="0"/>
          <w:sz w:val="32"/>
          <w:szCs w:val="32"/>
          <w:shd w:val="clear" w:color="auto" w:fill="FFFFFF"/>
          <w:lang w:val="zh-CN"/>
        </w:rPr>
        <w:t>万元。2021年车辆运行维护费支出</w:t>
      </w:r>
      <w:r>
        <w:rPr>
          <w:rFonts w:hint="eastAsia" w:ascii="仿宋_GB2312" w:hAnsi="宋体" w:eastAsia="仿宋_GB2312" w:cs="宋体"/>
          <w:color w:val="000000"/>
          <w:kern w:val="0"/>
          <w:sz w:val="32"/>
          <w:szCs w:val="32"/>
          <w:shd w:val="clear" w:color="auto" w:fill="FFFFFF"/>
        </w:rPr>
        <w:t>83.12</w:t>
      </w:r>
      <w:r>
        <w:rPr>
          <w:rFonts w:hint="eastAsia" w:ascii="仿宋_GB2312" w:hAnsi="宋体" w:eastAsia="仿宋_GB2312" w:cs="宋体"/>
          <w:color w:val="000000"/>
          <w:kern w:val="0"/>
          <w:sz w:val="32"/>
          <w:szCs w:val="32"/>
          <w:shd w:val="clear" w:color="auto" w:fill="FFFFFF"/>
          <w:lang w:val="zh-CN"/>
        </w:rPr>
        <w:t>万元,较2020年决算数</w:t>
      </w:r>
      <w:r>
        <w:rPr>
          <w:rFonts w:hint="eastAsia" w:ascii="仿宋_GB2312" w:hAnsi="宋体" w:eastAsia="仿宋_GB2312" w:cs="宋体"/>
          <w:color w:val="000000"/>
          <w:kern w:val="0"/>
          <w:sz w:val="32"/>
          <w:szCs w:val="32"/>
          <w:shd w:val="clear" w:color="auto" w:fill="FFFFFF"/>
        </w:rPr>
        <w:t>73.92</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rPr>
        <w:t>增加9.2</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rPr>
        <w:t>上升12.45</w:t>
      </w:r>
      <w:r>
        <w:rPr>
          <w:rFonts w:hint="eastAsia" w:ascii="仿宋_GB2312" w:hAnsi="宋体" w:eastAsia="仿宋_GB2312" w:cs="宋体"/>
          <w:color w:val="000000"/>
          <w:kern w:val="0"/>
          <w:sz w:val="32"/>
          <w:szCs w:val="32"/>
          <w:shd w:val="clear" w:color="auto" w:fill="FFFFFF"/>
          <w:lang w:val="zh-CN"/>
        </w:rPr>
        <w:t>%。用于安保维稳、执法办案等所需的公务用车燃料费、维修费、过路过桥费、保险费支出。</w:t>
      </w:r>
    </w:p>
    <w:p>
      <w:pPr>
        <w:widowControl/>
        <w:adjustRightInd w:val="0"/>
        <w:snapToGrid w:val="0"/>
        <w:spacing w:line="560" w:lineRule="exact"/>
        <w:ind w:firstLine="643"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b/>
          <w:bCs/>
          <w:color w:val="000000"/>
          <w:kern w:val="0"/>
          <w:sz w:val="32"/>
          <w:szCs w:val="32"/>
          <w:shd w:val="clear" w:color="auto" w:fill="FFFFFF"/>
        </w:rPr>
        <w:t xml:space="preserve">3.机关节能降耗。 </w:t>
      </w:r>
      <w:r>
        <w:rPr>
          <w:rFonts w:hint="eastAsia" w:ascii="仿宋_GB2312" w:hAnsi="宋体" w:eastAsia="仿宋_GB2312" w:cs="宋体"/>
          <w:color w:val="000000"/>
          <w:kern w:val="0"/>
          <w:sz w:val="32"/>
          <w:szCs w:val="32"/>
          <w:shd w:val="clear" w:color="auto" w:fill="FFFFFF"/>
          <w:lang w:val="zh-CN"/>
        </w:rPr>
        <w:t>2021年米易县公安局水费</w:t>
      </w:r>
      <w:r>
        <w:rPr>
          <w:rFonts w:hint="eastAsia" w:ascii="仿宋_GB2312" w:hAnsi="宋体" w:eastAsia="仿宋_GB2312" w:cs="宋体"/>
          <w:color w:val="000000"/>
          <w:kern w:val="0"/>
          <w:sz w:val="32"/>
          <w:szCs w:val="32"/>
          <w:shd w:val="clear" w:color="auto" w:fill="FFFFFF"/>
        </w:rPr>
        <w:t>23.29万元</w:t>
      </w:r>
      <w:r>
        <w:rPr>
          <w:rFonts w:hint="eastAsia" w:ascii="仿宋_GB2312" w:hAnsi="宋体" w:eastAsia="仿宋_GB2312" w:cs="宋体"/>
          <w:color w:val="000000"/>
          <w:kern w:val="0"/>
          <w:sz w:val="32"/>
          <w:szCs w:val="32"/>
          <w:shd w:val="clear" w:color="auto" w:fill="FFFFFF"/>
          <w:lang w:val="zh-CN"/>
        </w:rPr>
        <w:t>，较2020年</w:t>
      </w:r>
      <w:r>
        <w:rPr>
          <w:rFonts w:hint="eastAsia" w:ascii="仿宋_GB2312" w:hAnsi="宋体" w:eastAsia="仿宋_GB2312" w:cs="宋体"/>
          <w:color w:val="000000"/>
          <w:kern w:val="0"/>
          <w:sz w:val="32"/>
          <w:szCs w:val="32"/>
          <w:shd w:val="clear" w:color="auto" w:fill="FFFFFF"/>
        </w:rPr>
        <w:t>20.37</w:t>
      </w:r>
      <w:r>
        <w:rPr>
          <w:rFonts w:hint="eastAsia" w:ascii="仿宋_GB2312" w:hAnsi="宋体" w:eastAsia="仿宋_GB2312" w:cs="宋体"/>
          <w:color w:val="000000"/>
          <w:kern w:val="0"/>
          <w:sz w:val="32"/>
          <w:szCs w:val="32"/>
          <w:shd w:val="clear" w:color="auto" w:fill="FFFFFF"/>
          <w:lang w:val="zh-CN"/>
        </w:rPr>
        <w:t>万元决算数</w:t>
      </w:r>
      <w:r>
        <w:rPr>
          <w:rFonts w:hint="eastAsia" w:ascii="仿宋_GB2312" w:hAnsi="宋体" w:eastAsia="仿宋_GB2312" w:cs="宋体"/>
          <w:color w:val="000000"/>
          <w:kern w:val="0"/>
          <w:sz w:val="32"/>
          <w:szCs w:val="32"/>
          <w:shd w:val="clear" w:color="auto" w:fill="FFFFFF"/>
        </w:rPr>
        <w:t>上升，由于有些派出所2020年的水费未报累计到2021年</w:t>
      </w:r>
      <w:r>
        <w:rPr>
          <w:rFonts w:hint="eastAsia" w:ascii="仿宋_GB2312" w:hAnsi="宋体" w:eastAsia="仿宋_GB2312" w:cs="宋体"/>
          <w:color w:val="000000"/>
          <w:kern w:val="0"/>
          <w:sz w:val="32"/>
          <w:szCs w:val="32"/>
          <w:shd w:val="clear" w:color="auto" w:fill="FFFFFF"/>
          <w:lang w:val="zh-CN"/>
        </w:rPr>
        <w:t>。2021年米易县公安局电费</w:t>
      </w:r>
      <w:r>
        <w:rPr>
          <w:rFonts w:hint="eastAsia" w:ascii="仿宋_GB2312" w:hAnsi="宋体" w:eastAsia="仿宋_GB2312" w:cs="宋体"/>
          <w:color w:val="000000"/>
          <w:kern w:val="0"/>
          <w:sz w:val="32"/>
          <w:szCs w:val="32"/>
          <w:shd w:val="clear" w:color="auto" w:fill="FFFFFF"/>
        </w:rPr>
        <w:t>116.47万元</w:t>
      </w:r>
      <w:r>
        <w:rPr>
          <w:rFonts w:hint="eastAsia" w:ascii="仿宋_GB2312" w:hAnsi="宋体" w:eastAsia="仿宋_GB2312" w:cs="宋体"/>
          <w:color w:val="000000"/>
          <w:kern w:val="0"/>
          <w:sz w:val="32"/>
          <w:szCs w:val="32"/>
          <w:shd w:val="clear" w:color="auto" w:fill="FFFFFF"/>
          <w:lang w:val="zh-CN"/>
        </w:rPr>
        <w:t>，较2020年费</w:t>
      </w:r>
      <w:r>
        <w:rPr>
          <w:rFonts w:hint="eastAsia" w:ascii="仿宋_GB2312" w:hAnsi="宋体" w:eastAsia="仿宋_GB2312" w:cs="宋体"/>
          <w:color w:val="000000"/>
          <w:kern w:val="0"/>
          <w:sz w:val="32"/>
          <w:szCs w:val="32"/>
          <w:shd w:val="clear" w:color="auto" w:fill="FFFFFF"/>
        </w:rPr>
        <w:t>85.9</w:t>
      </w:r>
      <w:r>
        <w:rPr>
          <w:rFonts w:hint="eastAsia" w:ascii="仿宋_GB2312" w:hAnsi="宋体" w:eastAsia="仿宋_GB2312" w:cs="宋体"/>
          <w:color w:val="000000"/>
          <w:kern w:val="0"/>
          <w:sz w:val="32"/>
          <w:szCs w:val="32"/>
          <w:shd w:val="clear" w:color="auto" w:fill="FFFFFF"/>
          <w:lang w:val="zh-CN"/>
        </w:rPr>
        <w:t>万元决算数</w:t>
      </w:r>
      <w:r>
        <w:rPr>
          <w:rFonts w:hint="eastAsia" w:ascii="仿宋_GB2312" w:hAnsi="宋体" w:eastAsia="仿宋_GB2312" w:cs="宋体"/>
          <w:color w:val="000000"/>
          <w:kern w:val="0"/>
          <w:sz w:val="32"/>
          <w:szCs w:val="32"/>
          <w:shd w:val="clear" w:color="auto" w:fill="FFFFFF"/>
        </w:rPr>
        <w:t>上升</w:t>
      </w:r>
      <w:r>
        <w:rPr>
          <w:rFonts w:hint="eastAsia" w:ascii="仿宋_GB2312" w:hAnsi="宋体" w:eastAsia="仿宋_GB2312" w:cs="宋体"/>
          <w:color w:val="000000"/>
          <w:kern w:val="0"/>
          <w:sz w:val="32"/>
          <w:szCs w:val="32"/>
          <w:shd w:val="clear" w:color="auto" w:fill="FFFFFF"/>
          <w:lang w:val="zh-CN"/>
        </w:rPr>
        <w:t>，因</w:t>
      </w:r>
      <w:r>
        <w:rPr>
          <w:rFonts w:hint="eastAsia" w:ascii="仿宋_GB2312" w:hAnsi="宋体" w:eastAsia="仿宋_GB2312" w:cs="宋体"/>
          <w:color w:val="000000"/>
          <w:kern w:val="0"/>
          <w:sz w:val="32"/>
          <w:szCs w:val="32"/>
          <w:shd w:val="clear" w:color="auto" w:fill="FFFFFF"/>
        </w:rPr>
        <w:t>2021年天气炎热时间长，温度高，空调使用率高</w:t>
      </w:r>
      <w:r>
        <w:rPr>
          <w:rFonts w:hint="eastAsia" w:ascii="仿宋_GB2312" w:hAnsi="宋体" w:eastAsia="仿宋_GB2312" w:cs="宋体"/>
          <w:color w:val="000000"/>
          <w:kern w:val="0"/>
          <w:sz w:val="32"/>
          <w:szCs w:val="32"/>
          <w:shd w:val="clear" w:color="auto" w:fill="FFFFFF"/>
          <w:lang w:val="zh-CN"/>
        </w:rPr>
        <w:t>。2021年米易县公安局燃油费</w:t>
      </w:r>
      <w:r>
        <w:rPr>
          <w:rFonts w:hint="eastAsia" w:ascii="仿宋_GB2312" w:hAnsi="宋体" w:eastAsia="仿宋_GB2312" w:cs="宋体"/>
          <w:color w:val="000000"/>
          <w:kern w:val="0"/>
          <w:sz w:val="32"/>
          <w:szCs w:val="32"/>
          <w:shd w:val="clear" w:color="auto" w:fill="FFFFFF"/>
        </w:rPr>
        <w:t>75.4万元</w:t>
      </w:r>
      <w:r>
        <w:rPr>
          <w:rFonts w:hint="eastAsia" w:ascii="仿宋_GB2312" w:hAnsi="宋体" w:eastAsia="仿宋_GB2312" w:cs="宋体"/>
          <w:color w:val="000000"/>
          <w:kern w:val="0"/>
          <w:sz w:val="32"/>
          <w:szCs w:val="32"/>
          <w:shd w:val="clear" w:color="auto" w:fill="FFFFFF"/>
          <w:lang w:val="zh-CN"/>
        </w:rPr>
        <w:t>，较2020年</w:t>
      </w:r>
      <w:r>
        <w:rPr>
          <w:rFonts w:hint="eastAsia" w:ascii="仿宋_GB2312" w:hAnsi="宋体" w:eastAsia="仿宋_GB2312" w:cs="宋体"/>
          <w:color w:val="000000"/>
          <w:kern w:val="0"/>
          <w:sz w:val="32"/>
          <w:szCs w:val="32"/>
          <w:shd w:val="clear" w:color="auto" w:fill="FFFFFF"/>
        </w:rPr>
        <w:t>121.46</w:t>
      </w:r>
      <w:r>
        <w:rPr>
          <w:rFonts w:hint="eastAsia" w:ascii="仿宋_GB2312" w:hAnsi="宋体" w:eastAsia="仿宋_GB2312" w:cs="宋体"/>
          <w:color w:val="000000"/>
          <w:kern w:val="0"/>
          <w:sz w:val="32"/>
          <w:szCs w:val="32"/>
          <w:shd w:val="clear" w:color="auto" w:fill="FFFFFF"/>
          <w:lang w:val="zh-CN"/>
        </w:rPr>
        <w:t>万元决算数</w:t>
      </w:r>
      <w:r>
        <w:rPr>
          <w:rFonts w:hint="eastAsia" w:ascii="仿宋_GB2312" w:hAnsi="宋体" w:eastAsia="仿宋_GB2312" w:cs="宋体"/>
          <w:color w:val="000000"/>
          <w:kern w:val="0"/>
          <w:sz w:val="32"/>
          <w:szCs w:val="32"/>
          <w:shd w:val="clear" w:color="auto" w:fill="FFFFFF"/>
        </w:rPr>
        <w:t>上升，因2021年汽油价格较低</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rPr>
      </w:pPr>
      <w:r>
        <w:rPr>
          <w:rFonts w:hint="eastAsia" w:ascii="楷体" w:hAnsi="楷体" w:eastAsia="楷体" w:cs="楷体"/>
          <w:color w:val="000000"/>
          <w:kern w:val="0"/>
          <w:sz w:val="32"/>
          <w:szCs w:val="32"/>
          <w:shd w:val="clear" w:color="auto" w:fill="FFFFFF"/>
        </w:rPr>
        <w:t>（四）专项预算项目支出绩效。</w:t>
      </w:r>
    </w:p>
    <w:p>
      <w:pPr>
        <w:widowControl/>
        <w:adjustRightInd w:val="0"/>
        <w:snapToGrid w:val="0"/>
        <w:spacing w:line="560" w:lineRule="exact"/>
        <w:ind w:firstLine="640" w:firstLineChars="200"/>
        <w:contextualSpacing/>
        <w:jc w:val="left"/>
        <w:rPr>
          <w:rFonts w:ascii="仿宋_GB2312" w:eastAsia="仿宋_GB2312"/>
          <w:sz w:val="32"/>
          <w:szCs w:val="20"/>
        </w:rPr>
      </w:pPr>
      <w:r>
        <w:rPr>
          <w:rFonts w:hint="eastAsia" w:ascii="仿宋_GB2312" w:hAnsi="宋体" w:eastAsia="仿宋_GB2312" w:cs="宋体"/>
          <w:color w:val="000000"/>
          <w:kern w:val="0"/>
          <w:sz w:val="32"/>
          <w:szCs w:val="32"/>
          <w:shd w:val="clear" w:color="auto" w:fill="FFFFFF"/>
        </w:rPr>
        <w:t>2</w:t>
      </w:r>
      <w:r>
        <w:rPr>
          <w:rFonts w:hint="eastAsia" w:ascii="仿宋_GB2312" w:hAnsi="宋体" w:eastAsia="仿宋_GB2312" w:cs="宋体"/>
          <w:kern w:val="0"/>
          <w:sz w:val="32"/>
          <w:szCs w:val="32"/>
          <w:shd w:val="clear" w:color="auto" w:fill="FFFFFF"/>
        </w:rPr>
        <w:t>021年度中央专项转移支付资金966.93万元，其中其中</w:t>
      </w:r>
      <w:r>
        <w:rPr>
          <w:rFonts w:hint="eastAsia" w:ascii="仿宋_GB2312" w:hAnsi="宋体" w:eastAsia="仿宋_GB2312" w:cs="宋体"/>
          <w:kern w:val="0"/>
          <w:sz w:val="32"/>
          <w:szCs w:val="32"/>
          <w:shd w:val="clear" w:color="auto" w:fill="FFFFFF"/>
          <w:lang w:val="zh-CN"/>
        </w:rPr>
        <w:t>办案差旅费2</w:t>
      </w:r>
      <w:r>
        <w:rPr>
          <w:rFonts w:hint="eastAsia" w:ascii="仿宋_GB2312" w:hAnsi="宋体" w:eastAsia="仿宋_GB2312" w:cs="宋体"/>
          <w:kern w:val="0"/>
          <w:sz w:val="32"/>
          <w:szCs w:val="32"/>
          <w:shd w:val="clear" w:color="auto" w:fill="FFFFFF"/>
        </w:rPr>
        <w:t>03.46万元</w:t>
      </w:r>
      <w:r>
        <w:rPr>
          <w:rFonts w:hint="eastAsia" w:ascii="仿宋_GB2312" w:hAnsi="宋体" w:eastAsia="仿宋_GB2312" w:cs="宋体"/>
          <w:kern w:val="0"/>
          <w:sz w:val="32"/>
          <w:szCs w:val="32"/>
          <w:shd w:val="clear" w:color="auto" w:fill="FFFFFF"/>
          <w:lang w:val="zh-CN"/>
        </w:rPr>
        <w:t>、业务车辆运行维护费</w:t>
      </w:r>
      <w:r>
        <w:rPr>
          <w:rFonts w:hint="eastAsia" w:ascii="仿宋_GB2312" w:hAnsi="宋体" w:eastAsia="仿宋_GB2312" w:cs="宋体"/>
          <w:kern w:val="0"/>
          <w:sz w:val="32"/>
          <w:szCs w:val="32"/>
          <w:shd w:val="clear" w:color="auto" w:fill="FFFFFF"/>
        </w:rPr>
        <w:t>99.49万元、</w:t>
      </w:r>
      <w:r>
        <w:rPr>
          <w:rFonts w:hint="eastAsia" w:ascii="仿宋_GB2312" w:hAnsi="宋体" w:eastAsia="仿宋_GB2312" w:cs="宋体"/>
          <w:kern w:val="0"/>
          <w:sz w:val="32"/>
          <w:szCs w:val="32"/>
          <w:shd w:val="clear" w:color="auto" w:fill="FFFFFF"/>
          <w:lang w:val="zh-CN"/>
        </w:rPr>
        <w:t>特勤耳目费</w:t>
      </w:r>
      <w:r>
        <w:rPr>
          <w:rFonts w:hint="eastAsia" w:ascii="仿宋_GB2312" w:hAnsi="宋体" w:eastAsia="仿宋_GB2312" w:cs="宋体"/>
          <w:kern w:val="0"/>
          <w:sz w:val="32"/>
          <w:szCs w:val="32"/>
          <w:shd w:val="clear" w:color="auto" w:fill="FFFFFF"/>
        </w:rPr>
        <w:t>1.2万元</w:t>
      </w:r>
      <w:r>
        <w:rPr>
          <w:rFonts w:hint="eastAsia" w:ascii="仿宋_GB2312" w:hAnsi="宋体" w:eastAsia="仿宋_GB2312" w:cs="宋体"/>
          <w:kern w:val="0"/>
          <w:sz w:val="32"/>
          <w:szCs w:val="32"/>
          <w:shd w:val="clear" w:color="auto" w:fill="FFFFFF"/>
          <w:lang w:val="zh-CN"/>
        </w:rPr>
        <w:t>、</w:t>
      </w:r>
      <w:r>
        <w:rPr>
          <w:rFonts w:hint="eastAsia" w:ascii="仿宋_GB2312" w:hAnsi="宋体" w:eastAsia="仿宋_GB2312" w:cs="宋体"/>
          <w:kern w:val="0"/>
          <w:sz w:val="32"/>
          <w:szCs w:val="32"/>
          <w:shd w:val="clear" w:color="auto" w:fill="FFFFFF"/>
        </w:rPr>
        <w:t>邮电费75.01万元</w:t>
      </w:r>
      <w:r>
        <w:rPr>
          <w:rFonts w:hint="eastAsia" w:ascii="仿宋_GB2312" w:hAnsi="宋体" w:eastAsia="仿宋_GB2312" w:cs="宋体"/>
          <w:kern w:val="0"/>
          <w:sz w:val="32"/>
          <w:szCs w:val="32"/>
          <w:shd w:val="clear" w:color="auto" w:fill="FFFFFF"/>
          <w:lang w:val="zh-CN"/>
        </w:rPr>
        <w:t>；培训费</w:t>
      </w:r>
      <w:r>
        <w:rPr>
          <w:rFonts w:hint="eastAsia" w:ascii="仿宋_GB2312" w:hAnsi="宋体" w:eastAsia="仿宋_GB2312" w:cs="宋体"/>
          <w:kern w:val="0"/>
          <w:sz w:val="32"/>
          <w:szCs w:val="32"/>
          <w:shd w:val="clear" w:color="auto" w:fill="FFFFFF"/>
        </w:rPr>
        <w:t>1万元</w:t>
      </w:r>
      <w:r>
        <w:rPr>
          <w:rFonts w:hint="eastAsia" w:ascii="仿宋_GB2312" w:hAnsi="宋体" w:eastAsia="仿宋_GB2312" w:cs="宋体"/>
          <w:kern w:val="0"/>
          <w:sz w:val="32"/>
          <w:szCs w:val="32"/>
          <w:shd w:val="clear" w:color="auto" w:fill="FFFFFF"/>
          <w:lang w:val="zh-CN"/>
        </w:rPr>
        <w:t>；</w:t>
      </w:r>
      <w:r>
        <w:rPr>
          <w:rFonts w:hint="eastAsia" w:ascii="仿宋_GB2312" w:hAnsi="宋体" w:eastAsia="仿宋_GB2312" w:cs="宋体"/>
          <w:kern w:val="0"/>
          <w:sz w:val="32"/>
          <w:szCs w:val="32"/>
          <w:shd w:val="clear" w:color="auto" w:fill="FFFFFF"/>
        </w:rPr>
        <w:t>专用设备购置费146.53万元</w:t>
      </w:r>
      <w:r>
        <w:rPr>
          <w:rFonts w:hint="eastAsia" w:ascii="仿宋_GB2312" w:hAnsi="宋体" w:eastAsia="仿宋_GB2312" w:cs="宋体"/>
          <w:kern w:val="0"/>
          <w:sz w:val="32"/>
          <w:szCs w:val="32"/>
          <w:shd w:val="clear" w:color="auto" w:fill="FFFFFF"/>
          <w:lang w:val="zh-CN"/>
        </w:rPr>
        <w:t>；</w:t>
      </w:r>
      <w:r>
        <w:rPr>
          <w:rFonts w:hint="eastAsia" w:ascii="仿宋_GB2312" w:hAnsi="宋体" w:eastAsia="仿宋_GB2312" w:cs="宋体"/>
          <w:kern w:val="0"/>
          <w:sz w:val="32"/>
          <w:szCs w:val="32"/>
          <w:shd w:val="clear" w:color="auto" w:fill="FFFFFF"/>
        </w:rPr>
        <w:t>办公设备购置费34.16万元，</w:t>
      </w:r>
      <w:r>
        <w:rPr>
          <w:rFonts w:hint="eastAsia" w:ascii="仿宋" w:hAnsi="仿宋" w:eastAsia="仿宋" w:cs="仿宋"/>
          <w:sz w:val="32"/>
          <w:szCs w:val="32"/>
        </w:rPr>
        <w:t>交通工具购置费</w:t>
      </w:r>
      <w:r>
        <w:rPr>
          <w:rFonts w:hint="eastAsia" w:ascii="仿宋_GB2312" w:hAnsi="宋体" w:eastAsia="仿宋_GB2312" w:cs="宋体"/>
          <w:kern w:val="0"/>
          <w:sz w:val="32"/>
          <w:szCs w:val="32"/>
          <w:shd w:val="clear" w:color="auto" w:fill="FFFFFF"/>
        </w:rPr>
        <w:t>175.48万</w:t>
      </w:r>
      <w:r>
        <w:rPr>
          <w:rFonts w:hint="eastAsia" w:ascii="仿宋" w:hAnsi="仿宋" w:eastAsia="仿宋" w:cs="仿宋"/>
          <w:sz w:val="32"/>
          <w:szCs w:val="32"/>
        </w:rPr>
        <w:t>元，业务委托费67.53</w:t>
      </w:r>
      <w:r>
        <w:rPr>
          <w:rFonts w:hint="eastAsia" w:ascii="仿宋_GB2312" w:hAnsi="宋体" w:eastAsia="仿宋_GB2312" w:cs="宋体"/>
          <w:kern w:val="0"/>
          <w:sz w:val="32"/>
          <w:szCs w:val="32"/>
          <w:shd w:val="clear" w:color="auto" w:fill="FFFFFF"/>
        </w:rPr>
        <w:t>万元，办案材料消耗费18.38万</w:t>
      </w:r>
      <w:r>
        <w:rPr>
          <w:rFonts w:hint="eastAsia" w:ascii="仿宋" w:hAnsi="仿宋" w:eastAsia="仿宋" w:cs="仿宋"/>
          <w:sz w:val="32"/>
          <w:szCs w:val="32"/>
        </w:rPr>
        <w:t>元等。</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rPr>
        <w:t>米易县公安局在执行中央专项转移支付项目过程中，严格按照《会计法》、《财政部 公安部关于印发&lt;公安机关财务管理办法&gt;的通知》（财行〔2014〕19号）等相关要求组织实施，专款专用，未发现出现截留、挪用和违反合同约定支付等现象。会计核算真实、完整、准确、及时，支出审批程序严格按规定执行，经费支出与预算批复用途相符，且符合国家财经法规和财务管理制度以及项目资金管理的相关规定。</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我局结合自身实际，突出工作重点，保障</w:t>
      </w:r>
      <w:r>
        <w:rPr>
          <w:rFonts w:hint="eastAsia" w:ascii="仿宋_GB2312" w:hAnsi="宋体" w:eastAsia="仿宋_GB2312" w:cs="宋体"/>
          <w:color w:val="000000"/>
          <w:kern w:val="0"/>
          <w:sz w:val="32"/>
          <w:szCs w:val="32"/>
          <w:shd w:val="clear" w:color="auto" w:fill="FFFFFF"/>
        </w:rPr>
        <w:t>专项预算项目</w:t>
      </w:r>
      <w:r>
        <w:rPr>
          <w:rFonts w:hint="eastAsia" w:ascii="仿宋_GB2312" w:hAnsi="宋体" w:eastAsia="仿宋_GB2312" w:cs="宋体"/>
          <w:color w:val="000000"/>
          <w:kern w:val="0"/>
          <w:sz w:val="32"/>
          <w:szCs w:val="32"/>
          <w:shd w:val="clear" w:color="auto" w:fill="FFFFFF"/>
          <w:lang w:val="zh-CN"/>
        </w:rPr>
        <w:t>经费，合理安排，统筹使用资金。各项</w:t>
      </w:r>
      <w:r>
        <w:rPr>
          <w:rFonts w:hint="eastAsia" w:ascii="仿宋_GB2312" w:hAnsi="宋体" w:eastAsia="仿宋_GB2312" w:cs="宋体"/>
          <w:color w:val="000000"/>
          <w:kern w:val="0"/>
          <w:sz w:val="32"/>
          <w:szCs w:val="32"/>
          <w:shd w:val="clear" w:color="auto" w:fill="FFFFFF"/>
        </w:rPr>
        <w:t>专项预算项目</w:t>
      </w:r>
      <w:r>
        <w:rPr>
          <w:rFonts w:hint="eastAsia" w:ascii="仿宋_GB2312" w:hAnsi="宋体" w:eastAsia="仿宋_GB2312" w:cs="宋体"/>
          <w:color w:val="000000"/>
          <w:kern w:val="0"/>
          <w:sz w:val="32"/>
          <w:szCs w:val="32"/>
          <w:shd w:val="clear" w:color="auto" w:fill="FFFFFF"/>
          <w:lang w:val="zh-CN"/>
        </w:rPr>
        <w:t>资金及时到账，</w:t>
      </w:r>
      <w:r>
        <w:rPr>
          <w:rFonts w:hint="eastAsia" w:ascii="仿宋_GB2312" w:hAnsi="宋体" w:eastAsia="仿宋_GB2312" w:cs="宋体"/>
          <w:color w:val="000000"/>
          <w:kern w:val="0"/>
          <w:sz w:val="32"/>
          <w:szCs w:val="32"/>
          <w:shd w:val="clear" w:color="auto" w:fill="FFFFFF"/>
        </w:rPr>
        <w:t>专项预算项目</w:t>
      </w:r>
      <w:r>
        <w:rPr>
          <w:rFonts w:hint="eastAsia" w:ascii="仿宋_GB2312" w:hAnsi="宋体" w:eastAsia="仿宋_GB2312" w:cs="宋体"/>
          <w:color w:val="000000"/>
          <w:kern w:val="0"/>
          <w:sz w:val="32"/>
          <w:szCs w:val="32"/>
          <w:shd w:val="clear" w:color="auto" w:fill="FFFFFF"/>
          <w:lang w:val="zh-CN"/>
        </w:rPr>
        <w:t>不存在滞留、挪用问题。</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rPr>
      </w:pPr>
      <w:r>
        <w:rPr>
          <w:rFonts w:hint="eastAsia" w:ascii="仿宋_GB2312" w:hAnsi="宋体" w:eastAsia="仿宋_GB2312" w:cs="宋体"/>
          <w:color w:val="000000"/>
          <w:kern w:val="0"/>
          <w:sz w:val="32"/>
          <w:szCs w:val="32"/>
          <w:shd w:val="clear" w:color="auto" w:fill="FFFFFF"/>
          <w:lang w:val="zh-CN"/>
        </w:rPr>
        <w:t>我局严格加强预算绩效管理，切实提高财政资金使用效益，严格开支范围，专款专用，按规定时限和规定用途将</w:t>
      </w:r>
      <w:r>
        <w:rPr>
          <w:rFonts w:hint="eastAsia" w:ascii="仿宋_GB2312" w:hAnsi="宋体" w:eastAsia="仿宋_GB2312" w:cs="宋体"/>
          <w:color w:val="000000"/>
          <w:kern w:val="0"/>
          <w:sz w:val="32"/>
          <w:szCs w:val="32"/>
          <w:shd w:val="clear" w:color="auto" w:fill="FFFFFF"/>
        </w:rPr>
        <w:t>专项预算项目</w:t>
      </w:r>
      <w:r>
        <w:rPr>
          <w:rFonts w:hint="eastAsia" w:ascii="仿宋_GB2312" w:hAnsi="宋体" w:eastAsia="仿宋_GB2312" w:cs="宋体"/>
          <w:color w:val="000000"/>
          <w:kern w:val="0"/>
          <w:sz w:val="32"/>
          <w:szCs w:val="32"/>
          <w:shd w:val="clear" w:color="auto" w:fill="FFFFFF"/>
          <w:lang w:val="zh-CN"/>
        </w:rPr>
        <w:t>经费安排使用，随时掌握和监督</w:t>
      </w:r>
      <w:r>
        <w:rPr>
          <w:rFonts w:hint="eastAsia" w:ascii="仿宋_GB2312" w:hAnsi="宋体" w:eastAsia="仿宋_GB2312" w:cs="宋体"/>
          <w:color w:val="000000"/>
          <w:kern w:val="0"/>
          <w:sz w:val="32"/>
          <w:szCs w:val="32"/>
          <w:shd w:val="clear" w:color="auto" w:fill="FFFFFF"/>
        </w:rPr>
        <w:t>专项预算项目</w:t>
      </w:r>
      <w:r>
        <w:rPr>
          <w:rFonts w:hint="eastAsia" w:ascii="仿宋_GB2312" w:hAnsi="宋体" w:eastAsia="仿宋_GB2312" w:cs="宋体"/>
          <w:color w:val="000000"/>
          <w:kern w:val="0"/>
          <w:sz w:val="32"/>
          <w:szCs w:val="32"/>
          <w:shd w:val="clear" w:color="auto" w:fill="FFFFFF"/>
          <w:lang w:val="zh-CN"/>
        </w:rPr>
        <w:t>资金开支情况。</w:t>
      </w:r>
    </w:p>
    <w:p>
      <w:pPr>
        <w:widowControl/>
        <w:adjustRightInd w:val="0"/>
        <w:snapToGrid w:val="0"/>
        <w:spacing w:line="560" w:lineRule="exact"/>
        <w:ind w:firstLine="640" w:firstLineChars="200"/>
        <w:contextualSpacing/>
        <w:jc w:val="left"/>
        <w:rPr>
          <w:rFonts w:ascii="楷体" w:hAnsi="楷体" w:eastAsia="楷体" w:cs="楷体"/>
          <w:kern w:val="0"/>
          <w:sz w:val="32"/>
          <w:szCs w:val="32"/>
          <w:shd w:val="clear" w:color="auto" w:fill="FFFFFF"/>
          <w:lang w:val="zh-CN"/>
        </w:rPr>
      </w:pPr>
      <w:r>
        <w:rPr>
          <w:rFonts w:hint="eastAsia" w:ascii="楷体" w:hAnsi="楷体" w:eastAsia="楷体" w:cs="楷体"/>
          <w:kern w:val="0"/>
          <w:sz w:val="32"/>
          <w:szCs w:val="32"/>
          <w:shd w:val="clear" w:color="auto" w:fill="FFFFFF"/>
          <w:lang w:val="zh-CN"/>
        </w:rPr>
        <w:t>（五）结果应用情况。</w:t>
      </w:r>
    </w:p>
    <w:p>
      <w:pPr>
        <w:widowControl/>
        <w:adjustRightInd w:val="0"/>
        <w:snapToGrid w:val="0"/>
        <w:spacing w:line="560" w:lineRule="exact"/>
        <w:ind w:firstLine="643" w:firstLineChars="200"/>
        <w:contextualSpacing/>
        <w:jc w:val="left"/>
        <w:rPr>
          <w:rFonts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rPr>
        <w:t>1.</w:t>
      </w:r>
      <w:r>
        <w:rPr>
          <w:rFonts w:hint="eastAsia" w:ascii="仿宋_GB2312" w:hAnsi="宋体" w:eastAsia="仿宋_GB2312" w:cs="宋体"/>
          <w:b/>
          <w:bCs/>
          <w:kern w:val="0"/>
          <w:sz w:val="32"/>
          <w:szCs w:val="32"/>
          <w:shd w:val="clear" w:color="auto" w:fill="FFFFFF"/>
          <w:lang w:val="zh-CN"/>
        </w:rPr>
        <w:t>产出指标完成情况分析。</w:t>
      </w:r>
    </w:p>
    <w:p>
      <w:pPr>
        <w:widowControl/>
        <w:adjustRightInd w:val="0"/>
        <w:snapToGrid w:val="0"/>
        <w:spacing w:line="560" w:lineRule="exact"/>
        <w:ind w:firstLine="643" w:firstLineChars="200"/>
        <w:contextualSpacing/>
        <w:jc w:val="left"/>
        <w:rPr>
          <w:rFonts w:ascii="仿宋_GB2312" w:hAnsi="宋体" w:eastAsia="仿宋_GB2312" w:cs="宋体"/>
          <w:b/>
          <w:bCs/>
          <w:kern w:val="0"/>
          <w:sz w:val="32"/>
          <w:szCs w:val="32"/>
          <w:shd w:val="clear" w:color="auto" w:fill="FFFFFF"/>
          <w:lang w:val="zh-CN"/>
        </w:rPr>
      </w:pPr>
      <w:r>
        <w:rPr>
          <w:rFonts w:hint="eastAsia" w:ascii="仿宋_GB2312" w:hAnsi="宋体" w:eastAsia="仿宋_GB2312" w:cs="宋体"/>
          <w:b/>
          <w:bCs/>
          <w:kern w:val="0"/>
          <w:sz w:val="32"/>
          <w:szCs w:val="32"/>
          <w:shd w:val="clear" w:color="auto" w:fill="FFFFFF"/>
          <w:lang w:val="zh-CN"/>
        </w:rPr>
        <w:t>（</w:t>
      </w:r>
      <w:r>
        <w:rPr>
          <w:rFonts w:hint="eastAsia" w:ascii="仿宋_GB2312" w:hAnsi="宋体" w:eastAsia="仿宋_GB2312" w:cs="宋体"/>
          <w:b/>
          <w:bCs/>
          <w:kern w:val="0"/>
          <w:sz w:val="32"/>
          <w:szCs w:val="32"/>
          <w:shd w:val="clear" w:color="auto" w:fill="FFFFFF"/>
        </w:rPr>
        <w:t>1</w:t>
      </w:r>
      <w:r>
        <w:rPr>
          <w:rFonts w:hint="eastAsia" w:ascii="仿宋_GB2312" w:hAnsi="宋体" w:eastAsia="仿宋_GB2312" w:cs="宋体"/>
          <w:b/>
          <w:bCs/>
          <w:kern w:val="0"/>
          <w:sz w:val="32"/>
          <w:szCs w:val="32"/>
          <w:shd w:val="clear" w:color="auto" w:fill="FFFFFF"/>
          <w:lang w:val="zh-CN"/>
        </w:rPr>
        <w:t>）数量指标。</w:t>
      </w:r>
    </w:p>
    <w:p>
      <w:pPr>
        <w:widowControl/>
        <w:adjustRightInd w:val="0"/>
        <w:snapToGrid w:val="0"/>
        <w:spacing w:line="560"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 w:hAnsi="仿宋" w:eastAsia="仿宋" w:cs="仿宋"/>
          <w:sz w:val="32"/>
          <w:szCs w:val="32"/>
        </w:rPr>
        <w:t>保障人员基本工资（目标值：100%相符）</w:t>
      </w:r>
      <w:r>
        <w:rPr>
          <w:rFonts w:hint="eastAsia" w:ascii="仿宋_GB2312" w:hAnsi="宋体" w:eastAsia="仿宋_GB2312" w:cs="宋体"/>
          <w:kern w:val="0"/>
          <w:sz w:val="32"/>
          <w:szCs w:val="32"/>
          <w:shd w:val="clear" w:color="auto" w:fill="FFFFFF"/>
        </w:rPr>
        <w:t>保障</w:t>
      </w:r>
      <w:r>
        <w:rPr>
          <w:rFonts w:hint="eastAsia" w:ascii="仿宋_GB2312" w:hAnsi="宋体" w:eastAsia="仿宋_GB2312"/>
          <w:sz w:val="32"/>
          <w:szCs w:val="32"/>
        </w:rPr>
        <w:t>在职民警216人、警务辅助人员276人（含交通秩序维护员）、机关工勤人员7人、事业人员23人工资和五险一金的按时发放。</w:t>
      </w:r>
    </w:p>
    <w:p>
      <w:pPr>
        <w:widowControl/>
        <w:adjustRightInd w:val="0"/>
        <w:snapToGrid w:val="0"/>
        <w:spacing w:line="560"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装备采购数量（目标值：213件），全年完成装备采购数量213件。</w:t>
      </w:r>
    </w:p>
    <w:p>
      <w:pPr>
        <w:widowControl/>
        <w:adjustRightInd w:val="0"/>
        <w:snapToGrid w:val="0"/>
        <w:spacing w:line="560" w:lineRule="exact"/>
        <w:ind w:firstLine="640" w:firstLineChars="20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政府审批工程（目标值：2件），全年完成政府审批工程2个。</w:t>
      </w:r>
    </w:p>
    <w:p>
      <w:pPr>
        <w:widowControl/>
        <w:adjustRightInd w:val="0"/>
        <w:snapToGrid w:val="0"/>
        <w:spacing w:line="560" w:lineRule="exact"/>
        <w:ind w:firstLine="64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办理违法犯罪案件（目标值：</w:t>
      </w:r>
      <w:r>
        <w:rPr>
          <w:rFonts w:hint="eastAsia" w:ascii="仿宋" w:hAnsi="仿宋" w:eastAsia="仿宋" w:cs="仿宋"/>
          <w:sz w:val="32"/>
          <w:szCs w:val="32"/>
        </w:rPr>
        <w:t>100%相符</w:t>
      </w:r>
      <w:r>
        <w:rPr>
          <w:rFonts w:hint="eastAsia" w:ascii="仿宋_GB2312" w:hAnsi="宋体" w:eastAsia="仿宋_GB2312" w:cs="宋体"/>
          <w:kern w:val="0"/>
          <w:sz w:val="32"/>
          <w:szCs w:val="32"/>
          <w:shd w:val="clear" w:color="auto" w:fill="FFFFFF"/>
        </w:rPr>
        <w:t>），全年办理各类违法犯罪案件1200余起。</w:t>
      </w:r>
    </w:p>
    <w:p>
      <w:pPr>
        <w:widowControl/>
        <w:adjustRightInd w:val="0"/>
        <w:snapToGrid w:val="0"/>
        <w:spacing w:line="560" w:lineRule="exact"/>
        <w:ind w:firstLine="640"/>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打击处理违法犯罪嫌疑人（目标值：</w:t>
      </w:r>
      <w:r>
        <w:rPr>
          <w:rFonts w:hint="eastAsia" w:ascii="仿宋" w:hAnsi="仿宋" w:eastAsia="仿宋" w:cs="仿宋"/>
          <w:sz w:val="32"/>
          <w:szCs w:val="32"/>
        </w:rPr>
        <w:t>100%相符</w:t>
      </w:r>
      <w:r>
        <w:rPr>
          <w:rFonts w:hint="eastAsia" w:ascii="仿宋_GB2312" w:hAnsi="宋体" w:eastAsia="仿宋_GB2312" w:cs="宋体"/>
          <w:kern w:val="0"/>
          <w:sz w:val="32"/>
          <w:szCs w:val="32"/>
          <w:shd w:val="clear" w:color="auto" w:fill="FFFFFF"/>
        </w:rPr>
        <w:t>），全年打击处理违法犯罪嫌疑人1300余人次。</w:t>
      </w:r>
    </w:p>
    <w:p>
      <w:pPr>
        <w:spacing w:line="560" w:lineRule="exact"/>
        <w:ind w:firstLine="643" w:firstLineChars="200"/>
        <w:rPr>
          <w:rFonts w:ascii="仿宋" w:hAnsi="仿宋" w:eastAsia="仿宋" w:cs="仿宋"/>
          <w:sz w:val="32"/>
          <w:szCs w:val="32"/>
        </w:rPr>
      </w:pPr>
      <w:r>
        <w:rPr>
          <w:rFonts w:hint="eastAsia" w:ascii="仿宋_GB2312" w:hAnsi="宋体" w:eastAsia="仿宋_GB2312" w:cs="宋体"/>
          <w:b/>
          <w:bCs/>
          <w:kern w:val="0"/>
          <w:sz w:val="32"/>
          <w:szCs w:val="32"/>
          <w:shd w:val="clear" w:color="auto" w:fill="FFFFFF"/>
          <w:lang w:val="zh-CN"/>
        </w:rPr>
        <w:t>（</w:t>
      </w:r>
      <w:r>
        <w:rPr>
          <w:rFonts w:hint="eastAsia" w:ascii="仿宋_GB2312" w:hAnsi="宋体" w:eastAsia="仿宋_GB2312" w:cs="宋体"/>
          <w:b/>
          <w:bCs/>
          <w:kern w:val="0"/>
          <w:sz w:val="32"/>
          <w:szCs w:val="32"/>
          <w:shd w:val="clear" w:color="auto" w:fill="FFFFFF"/>
        </w:rPr>
        <w:t>2</w:t>
      </w:r>
      <w:r>
        <w:rPr>
          <w:rFonts w:hint="eastAsia" w:ascii="仿宋_GB2312" w:hAnsi="宋体" w:eastAsia="仿宋_GB2312" w:cs="宋体"/>
          <w:b/>
          <w:bCs/>
          <w:kern w:val="0"/>
          <w:sz w:val="32"/>
          <w:szCs w:val="32"/>
          <w:shd w:val="clear" w:color="auto" w:fill="FFFFFF"/>
          <w:lang w:val="zh-CN"/>
        </w:rPr>
        <w:t>）质量指标。</w:t>
      </w:r>
      <w:r>
        <w:rPr>
          <w:rFonts w:hint="eastAsia" w:ascii="仿宋" w:hAnsi="仿宋" w:eastAsia="仿宋" w:cs="仿宋"/>
          <w:sz w:val="32"/>
          <w:szCs w:val="32"/>
        </w:rPr>
        <w:t>支出相符性（目标值：100%相符），全年使用资金的项目均能按照预算、设计和合同及有关程序实施，支出相符性100%；支出合规性（目标值：100%合规），按照预算批复的用途使用资金，未发现存在截留、挤占、挪用资金等情况；项目安装完成后，至目前为止未发现故障存在的情况。</w:t>
      </w:r>
    </w:p>
    <w:p>
      <w:pPr>
        <w:spacing w:line="560" w:lineRule="exact"/>
        <w:ind w:firstLine="643" w:firstLineChars="200"/>
        <w:rPr>
          <w:rFonts w:ascii="仿宋" w:hAnsi="仿宋" w:eastAsia="仿宋" w:cs="仿宋"/>
          <w:sz w:val="32"/>
          <w:szCs w:val="32"/>
        </w:rPr>
      </w:pPr>
      <w:r>
        <w:rPr>
          <w:rFonts w:hint="eastAsia" w:ascii="仿宋_GB2312" w:hAnsi="宋体" w:eastAsia="仿宋_GB2312" w:cs="宋体"/>
          <w:b/>
          <w:bCs/>
          <w:kern w:val="0"/>
          <w:sz w:val="32"/>
          <w:szCs w:val="32"/>
          <w:shd w:val="clear" w:color="auto" w:fill="FFFFFF"/>
          <w:lang w:val="zh-CN"/>
        </w:rPr>
        <w:t>（</w:t>
      </w:r>
      <w:r>
        <w:rPr>
          <w:rFonts w:hint="eastAsia" w:ascii="仿宋_GB2312" w:hAnsi="宋体" w:eastAsia="仿宋_GB2312" w:cs="宋体"/>
          <w:b/>
          <w:bCs/>
          <w:kern w:val="0"/>
          <w:sz w:val="32"/>
          <w:szCs w:val="32"/>
          <w:shd w:val="clear" w:color="auto" w:fill="FFFFFF"/>
        </w:rPr>
        <w:t>3</w:t>
      </w:r>
      <w:r>
        <w:rPr>
          <w:rFonts w:hint="eastAsia" w:ascii="仿宋_GB2312" w:hAnsi="宋体" w:eastAsia="仿宋_GB2312" w:cs="宋体"/>
          <w:b/>
          <w:bCs/>
          <w:kern w:val="0"/>
          <w:sz w:val="32"/>
          <w:szCs w:val="32"/>
          <w:shd w:val="clear" w:color="auto" w:fill="FFFFFF"/>
          <w:lang w:val="zh-CN"/>
        </w:rPr>
        <w:t>）</w:t>
      </w:r>
      <w:r>
        <w:rPr>
          <w:rFonts w:hint="eastAsia" w:ascii="仿宋" w:hAnsi="仿宋" w:eastAsia="仿宋" w:cs="仿宋"/>
          <w:b/>
          <w:bCs/>
          <w:sz w:val="32"/>
          <w:szCs w:val="32"/>
        </w:rPr>
        <w:t>时效指标。</w:t>
      </w:r>
      <w:r>
        <w:rPr>
          <w:rFonts w:hint="eastAsia" w:ascii="仿宋" w:hAnsi="仿宋" w:eastAsia="仿宋" w:cs="仿宋"/>
          <w:sz w:val="32"/>
          <w:szCs w:val="32"/>
        </w:rPr>
        <w:t>目标完成的及时性（目标值：目标按时完成），项目均能按合同约定期限完成；资金到位及时性（目标值：资金按项目进度及时到位），年内及时下达到位各项资金；支出的及时性（目标值：按合同及时付款），项目支出均能按合同约定支付相关款项；验收的有效性（目标值：项目验收及时，程序有效），项目均在合同约定时限内，按相关规定的验收流程和所需人数，及时组织验收；会计信息及时性（目标值：会计资料提供及时，资产及时入账），会计资料传递及时，涉及固定资产的，都能按照要求，先编制固定资产卡片，后给付入账。</w:t>
      </w:r>
    </w:p>
    <w:p>
      <w:pPr>
        <w:spacing w:line="560" w:lineRule="exact"/>
        <w:ind w:firstLine="643" w:firstLineChars="200"/>
        <w:rPr>
          <w:rFonts w:ascii="仿宋" w:hAnsi="仿宋" w:eastAsia="仿宋" w:cs="仿宋"/>
          <w:sz w:val="32"/>
          <w:szCs w:val="32"/>
        </w:rPr>
      </w:pPr>
      <w:r>
        <w:rPr>
          <w:rFonts w:hint="eastAsia" w:ascii="仿宋" w:hAnsi="仿宋" w:eastAsia="仿宋" w:cs="仿宋"/>
          <w:b/>
          <w:bCs/>
          <w:kern w:val="0"/>
          <w:sz w:val="32"/>
          <w:szCs w:val="32"/>
          <w:shd w:val="clear" w:color="auto" w:fill="FFFFFF"/>
          <w:lang w:val="zh-CN"/>
        </w:rPr>
        <w:t>（</w:t>
      </w:r>
      <w:r>
        <w:rPr>
          <w:rFonts w:hint="eastAsia" w:ascii="仿宋" w:hAnsi="仿宋" w:eastAsia="仿宋" w:cs="仿宋"/>
          <w:b/>
          <w:bCs/>
          <w:kern w:val="0"/>
          <w:sz w:val="32"/>
          <w:szCs w:val="32"/>
          <w:shd w:val="clear" w:color="auto" w:fill="FFFFFF"/>
        </w:rPr>
        <w:t>4</w:t>
      </w:r>
      <w:r>
        <w:rPr>
          <w:rFonts w:hint="eastAsia" w:ascii="仿宋" w:hAnsi="仿宋" w:eastAsia="仿宋" w:cs="仿宋"/>
          <w:b/>
          <w:bCs/>
          <w:kern w:val="0"/>
          <w:sz w:val="32"/>
          <w:szCs w:val="32"/>
          <w:shd w:val="clear" w:color="auto" w:fill="FFFFFF"/>
          <w:lang w:val="zh-CN"/>
        </w:rPr>
        <w:t>）</w:t>
      </w:r>
      <w:r>
        <w:rPr>
          <w:rFonts w:hint="eastAsia" w:ascii="仿宋" w:hAnsi="仿宋" w:eastAsia="仿宋" w:cs="仿宋"/>
          <w:b/>
          <w:bCs/>
          <w:sz w:val="32"/>
          <w:szCs w:val="32"/>
        </w:rPr>
        <w:t>成本指标。</w:t>
      </w:r>
      <w:r>
        <w:rPr>
          <w:rFonts w:hint="eastAsia" w:ascii="仿宋" w:hAnsi="仿宋" w:eastAsia="仿宋" w:cs="仿宋"/>
          <w:sz w:val="32"/>
          <w:szCs w:val="32"/>
        </w:rPr>
        <w:t>落实办案业务经费和业务装备经费保障。</w:t>
      </w:r>
    </w:p>
    <w:p>
      <w:pPr>
        <w:spacing w:line="560" w:lineRule="exact"/>
        <w:ind w:firstLine="643" w:firstLineChars="200"/>
        <w:rPr>
          <w:rFonts w:ascii="仿宋" w:hAnsi="仿宋" w:eastAsia="仿宋" w:cs="仿宋"/>
          <w:b/>
          <w:bCs/>
          <w:sz w:val="32"/>
          <w:szCs w:val="32"/>
        </w:rPr>
      </w:pPr>
      <w:r>
        <w:rPr>
          <w:rFonts w:hint="eastAsia" w:ascii="Calibri" w:hAnsi="Calibri" w:eastAsia="仿宋" w:cs="Calibri"/>
          <w:b/>
          <w:bCs/>
          <w:sz w:val="32"/>
          <w:szCs w:val="32"/>
        </w:rPr>
        <w:t>2</w:t>
      </w:r>
      <w:r>
        <w:rPr>
          <w:rFonts w:hint="eastAsia" w:ascii="仿宋" w:hAnsi="仿宋" w:eastAsia="仿宋" w:cs="仿宋"/>
          <w:b/>
          <w:bCs/>
          <w:sz w:val="32"/>
          <w:szCs w:val="32"/>
        </w:rPr>
        <w:t>.效益指标完成情况分析。</w:t>
      </w:r>
    </w:p>
    <w:p>
      <w:pPr>
        <w:spacing w:line="560" w:lineRule="exact"/>
        <w:ind w:firstLine="643" w:firstLineChars="200"/>
        <w:rPr>
          <w:rFonts w:ascii="仿宋" w:hAnsi="仿宋" w:eastAsia="仿宋" w:cs="仿宋"/>
          <w:sz w:val="32"/>
          <w:szCs w:val="32"/>
        </w:rPr>
      </w:pPr>
      <w:r>
        <w:rPr>
          <w:rFonts w:hint="eastAsia" w:ascii="仿宋_GB2312" w:hAnsi="宋体" w:eastAsia="仿宋_GB2312" w:cs="宋体"/>
          <w:b/>
          <w:bCs/>
          <w:kern w:val="0"/>
          <w:sz w:val="32"/>
          <w:szCs w:val="32"/>
          <w:shd w:val="clear" w:color="auto" w:fill="FFFFFF"/>
          <w:lang w:val="zh-CN"/>
        </w:rPr>
        <w:t>（</w:t>
      </w:r>
      <w:r>
        <w:rPr>
          <w:rFonts w:hint="eastAsia" w:ascii="仿宋_GB2312" w:hAnsi="宋体" w:eastAsia="仿宋_GB2312" w:cs="宋体"/>
          <w:b/>
          <w:bCs/>
          <w:kern w:val="0"/>
          <w:sz w:val="32"/>
          <w:szCs w:val="32"/>
          <w:shd w:val="clear" w:color="auto" w:fill="FFFFFF"/>
        </w:rPr>
        <w:t>1</w:t>
      </w:r>
      <w:r>
        <w:rPr>
          <w:rFonts w:hint="eastAsia" w:ascii="仿宋_GB2312" w:hAnsi="宋体" w:eastAsia="仿宋_GB2312" w:cs="宋体"/>
          <w:b/>
          <w:bCs/>
          <w:kern w:val="0"/>
          <w:sz w:val="32"/>
          <w:szCs w:val="32"/>
          <w:shd w:val="clear" w:color="auto" w:fill="FFFFFF"/>
          <w:lang w:val="zh-CN"/>
        </w:rPr>
        <w:t>）</w:t>
      </w:r>
      <w:r>
        <w:rPr>
          <w:rFonts w:hint="eastAsia" w:ascii="仿宋" w:hAnsi="仿宋" w:eastAsia="仿宋" w:cs="仿宋"/>
          <w:b/>
          <w:bCs/>
          <w:sz w:val="32"/>
          <w:szCs w:val="32"/>
        </w:rPr>
        <w:t>经济效益</w:t>
      </w:r>
      <w:r>
        <w:rPr>
          <w:rFonts w:hint="eastAsia" w:ascii="仿宋" w:hAnsi="仿宋" w:eastAsia="仿宋" w:cs="仿宋"/>
          <w:sz w:val="32"/>
          <w:szCs w:val="32"/>
        </w:rPr>
        <w:t>。提升我局打击破案能力，减少被害人经济财产损失。</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lang w:val="zh-CN"/>
        </w:rPr>
        <w:t>（</w:t>
      </w:r>
      <w:r>
        <w:rPr>
          <w:rFonts w:hint="eastAsia" w:ascii="仿宋" w:hAnsi="仿宋" w:eastAsia="仿宋" w:cs="仿宋"/>
          <w:b/>
          <w:bCs/>
          <w:sz w:val="32"/>
          <w:szCs w:val="32"/>
        </w:rPr>
        <w:t>2</w:t>
      </w:r>
      <w:r>
        <w:rPr>
          <w:rFonts w:hint="eastAsia" w:ascii="仿宋" w:hAnsi="仿宋" w:eastAsia="仿宋" w:cs="仿宋"/>
          <w:b/>
          <w:bCs/>
          <w:sz w:val="32"/>
          <w:szCs w:val="32"/>
          <w:lang w:val="zh-CN"/>
        </w:rPr>
        <w:t>）</w:t>
      </w:r>
      <w:r>
        <w:rPr>
          <w:rFonts w:hint="eastAsia" w:ascii="仿宋" w:hAnsi="仿宋" w:eastAsia="仿宋" w:cs="仿宋"/>
          <w:b/>
          <w:bCs/>
          <w:sz w:val="32"/>
          <w:szCs w:val="32"/>
        </w:rPr>
        <w:t>社会效益。</w:t>
      </w:r>
      <w:r>
        <w:rPr>
          <w:rFonts w:hint="eastAsia" w:ascii="仿宋" w:hAnsi="仿宋" w:eastAsia="仿宋" w:cs="仿宋"/>
          <w:sz w:val="32"/>
          <w:szCs w:val="32"/>
        </w:rPr>
        <w:t>提高我局经费保障水平（目标值：稳步提升），2021年中央转移支付资金分配</w:t>
      </w:r>
      <w:r>
        <w:rPr>
          <w:rFonts w:hint="eastAsia" w:ascii="仿宋_GB2312" w:hAnsi="宋体" w:eastAsia="仿宋_GB2312" w:cs="宋体"/>
          <w:kern w:val="0"/>
          <w:sz w:val="32"/>
          <w:szCs w:val="32"/>
          <w:shd w:val="clear" w:color="auto" w:fill="FFFFFF"/>
        </w:rPr>
        <w:t>966.93</w:t>
      </w:r>
      <w:r>
        <w:rPr>
          <w:rFonts w:hint="eastAsia" w:ascii="仿宋" w:hAnsi="仿宋" w:eastAsia="仿宋" w:cs="仿宋"/>
          <w:kern w:val="0"/>
          <w:sz w:val="32"/>
          <w:szCs w:val="32"/>
          <w:shd w:val="clear" w:color="auto" w:fill="FFFFFF"/>
        </w:rPr>
        <w:t>万元</w:t>
      </w:r>
      <w:r>
        <w:rPr>
          <w:rFonts w:hint="eastAsia" w:ascii="仿宋" w:hAnsi="仿宋" w:eastAsia="仿宋" w:cs="仿宋"/>
          <w:sz w:val="32"/>
          <w:szCs w:val="32"/>
        </w:rPr>
        <w:t>，经费保障水平得到稳步提升；提高当地居民安全感满意度。</w:t>
      </w:r>
    </w:p>
    <w:p>
      <w:pPr>
        <w:spacing w:line="560" w:lineRule="exact"/>
        <w:ind w:firstLine="643" w:firstLineChars="200"/>
        <w:rPr>
          <w:rFonts w:ascii="仿宋" w:hAnsi="仿宋" w:eastAsia="仿宋" w:cs="仿宋"/>
          <w:sz w:val="32"/>
          <w:szCs w:val="32"/>
        </w:rPr>
      </w:pPr>
      <w:r>
        <w:rPr>
          <w:rFonts w:hint="eastAsia" w:ascii="仿宋_GB2312" w:hAnsi="宋体" w:eastAsia="仿宋_GB2312" w:cs="宋体"/>
          <w:b/>
          <w:bCs/>
          <w:kern w:val="0"/>
          <w:sz w:val="32"/>
          <w:szCs w:val="32"/>
          <w:shd w:val="clear" w:color="auto" w:fill="FFFFFF"/>
          <w:lang w:val="zh-CN"/>
        </w:rPr>
        <w:t>（</w:t>
      </w:r>
      <w:r>
        <w:rPr>
          <w:rFonts w:hint="eastAsia" w:ascii="仿宋" w:hAnsi="仿宋" w:eastAsia="仿宋" w:cs="仿宋"/>
          <w:b/>
          <w:bCs/>
          <w:sz w:val="32"/>
          <w:szCs w:val="32"/>
        </w:rPr>
        <w:t>3</w:t>
      </w:r>
      <w:r>
        <w:rPr>
          <w:rFonts w:hint="eastAsia" w:ascii="仿宋" w:hAnsi="仿宋" w:eastAsia="仿宋" w:cs="仿宋"/>
          <w:b/>
          <w:bCs/>
          <w:sz w:val="32"/>
          <w:szCs w:val="32"/>
          <w:lang w:val="zh-CN"/>
        </w:rPr>
        <w:t>）生态效益。</w:t>
      </w:r>
      <w:r>
        <w:rPr>
          <w:rFonts w:hint="eastAsia" w:ascii="仿宋" w:hAnsi="仿宋" w:eastAsia="仿宋" w:cs="仿宋"/>
          <w:sz w:val="32"/>
          <w:szCs w:val="32"/>
        </w:rPr>
        <w:t>项目实施对单位所在地无污染（目标值：无污染），项目均按国家环保标志实施，未发现污染，未收到投诉。</w:t>
      </w:r>
    </w:p>
    <w:p>
      <w:pPr>
        <w:spacing w:line="560" w:lineRule="exact"/>
        <w:ind w:firstLine="643" w:firstLineChars="200"/>
        <w:rPr>
          <w:rFonts w:ascii="仿宋" w:hAnsi="仿宋" w:eastAsia="仿宋" w:cs="仿宋"/>
          <w:sz w:val="32"/>
          <w:szCs w:val="32"/>
        </w:rPr>
      </w:pPr>
      <w:r>
        <w:rPr>
          <w:rFonts w:hint="eastAsia" w:ascii="仿宋" w:hAnsi="仿宋" w:eastAsia="仿宋" w:cs="仿宋"/>
          <w:b/>
          <w:bCs/>
          <w:sz w:val="32"/>
          <w:szCs w:val="32"/>
          <w:lang w:val="zh-CN"/>
        </w:rPr>
        <w:t>（</w:t>
      </w:r>
      <w:r>
        <w:rPr>
          <w:rFonts w:hint="eastAsia" w:ascii="仿宋" w:hAnsi="仿宋" w:eastAsia="仿宋" w:cs="仿宋"/>
          <w:b/>
          <w:bCs/>
          <w:sz w:val="32"/>
          <w:szCs w:val="32"/>
        </w:rPr>
        <w:t>4</w:t>
      </w:r>
      <w:r>
        <w:rPr>
          <w:rFonts w:hint="eastAsia" w:ascii="仿宋" w:hAnsi="仿宋" w:eastAsia="仿宋" w:cs="仿宋"/>
          <w:b/>
          <w:bCs/>
          <w:sz w:val="32"/>
          <w:szCs w:val="32"/>
          <w:lang w:val="zh-CN"/>
        </w:rPr>
        <w:t>）</w:t>
      </w:r>
      <w:r>
        <w:rPr>
          <w:rFonts w:hint="eastAsia" w:ascii="仿宋" w:hAnsi="仿宋" w:eastAsia="仿宋" w:cs="仿宋"/>
          <w:b/>
          <w:bCs/>
          <w:sz w:val="32"/>
          <w:szCs w:val="32"/>
        </w:rPr>
        <w:t>可持续影响。</w:t>
      </w:r>
      <w:r>
        <w:rPr>
          <w:rFonts w:hint="eastAsia" w:ascii="仿宋" w:hAnsi="仿宋" w:eastAsia="仿宋" w:cs="仿宋"/>
          <w:sz w:val="32"/>
          <w:szCs w:val="32"/>
          <w:shd w:val="clear" w:color="auto" w:fill="FFFFFF"/>
        </w:rPr>
        <w:t>项目技术水平（目标值：项目使用技术达标率100%），项目使用的技术和购置的产品均能达到国家有关标准，技术达标率100%；项目的可持续性（目标值：设备可使用年限达标），项目均能按通用设备和专用设备的使用年限要求实施采购，从现有情况看，均能达到使用年限要求。</w:t>
      </w:r>
    </w:p>
    <w:p>
      <w:pPr>
        <w:spacing w:line="560" w:lineRule="exact"/>
        <w:ind w:firstLine="643" w:firstLineChars="200"/>
        <w:rPr>
          <w:rFonts w:ascii="仿宋" w:hAnsi="仿宋" w:eastAsia="仿宋" w:cs="仿宋"/>
          <w:b/>
          <w:bCs/>
          <w:sz w:val="32"/>
          <w:szCs w:val="32"/>
        </w:rPr>
      </w:pPr>
      <w:r>
        <w:rPr>
          <w:rFonts w:hint="eastAsia" w:ascii="Calibri" w:hAnsi="Calibri" w:eastAsia="仿宋" w:cs="Calibri"/>
          <w:b/>
          <w:bCs/>
          <w:sz w:val="32"/>
          <w:szCs w:val="32"/>
        </w:rPr>
        <w:t>3</w:t>
      </w:r>
      <w:r>
        <w:rPr>
          <w:rFonts w:hint="eastAsia" w:ascii="仿宋" w:hAnsi="仿宋" w:eastAsia="仿宋" w:cs="仿宋"/>
          <w:b/>
          <w:bCs/>
          <w:sz w:val="32"/>
          <w:szCs w:val="32"/>
        </w:rPr>
        <w:t>.满意度指标完成情况分析。</w:t>
      </w:r>
    </w:p>
    <w:p>
      <w:pPr>
        <w:spacing w:line="560" w:lineRule="exact"/>
        <w:ind w:firstLine="643" w:firstLineChars="200"/>
        <w:rPr>
          <w:rFonts w:ascii="仿宋" w:hAnsi="仿宋" w:eastAsia="仿宋" w:cs="仿宋"/>
          <w:sz w:val="32"/>
          <w:szCs w:val="32"/>
          <w:shd w:val="clear" w:color="auto" w:fill="FFFFFF"/>
        </w:rPr>
      </w:pPr>
      <w:r>
        <w:rPr>
          <w:rFonts w:hint="eastAsia" w:ascii="仿宋" w:hAnsi="仿宋" w:eastAsia="仿宋" w:cs="仿宋"/>
          <w:b/>
          <w:bCs/>
          <w:kern w:val="0"/>
          <w:sz w:val="32"/>
          <w:szCs w:val="32"/>
          <w:shd w:val="clear" w:color="auto" w:fill="FFFFFF"/>
          <w:lang w:val="zh-CN"/>
        </w:rPr>
        <w:t>（</w:t>
      </w:r>
      <w:r>
        <w:rPr>
          <w:rFonts w:hint="eastAsia" w:ascii="仿宋" w:hAnsi="仿宋" w:eastAsia="仿宋" w:cs="仿宋"/>
          <w:b/>
          <w:bCs/>
          <w:kern w:val="0"/>
          <w:sz w:val="32"/>
          <w:szCs w:val="32"/>
          <w:shd w:val="clear" w:color="auto" w:fill="FFFFFF"/>
        </w:rPr>
        <w:t>1</w:t>
      </w:r>
      <w:r>
        <w:rPr>
          <w:rFonts w:hint="eastAsia" w:ascii="仿宋" w:hAnsi="仿宋" w:eastAsia="仿宋" w:cs="仿宋"/>
          <w:b/>
          <w:bCs/>
          <w:kern w:val="0"/>
          <w:sz w:val="32"/>
          <w:szCs w:val="32"/>
          <w:shd w:val="clear" w:color="auto" w:fill="FFFFFF"/>
          <w:lang w:val="zh-CN"/>
        </w:rPr>
        <w:t>）</w:t>
      </w:r>
      <w:r>
        <w:rPr>
          <w:rFonts w:hint="eastAsia" w:ascii="仿宋" w:hAnsi="仿宋" w:eastAsia="仿宋" w:cs="仿宋"/>
          <w:b/>
          <w:bCs/>
          <w:sz w:val="32"/>
          <w:szCs w:val="32"/>
          <w:shd w:val="clear" w:color="auto" w:fill="FFFFFF"/>
        </w:rPr>
        <w:t>项目服务目标（干警）满意率</w:t>
      </w:r>
      <w:r>
        <w:rPr>
          <w:rFonts w:hint="eastAsia" w:ascii="仿宋" w:hAnsi="仿宋" w:eastAsia="仿宋" w:cs="仿宋"/>
          <w:sz w:val="32"/>
          <w:szCs w:val="32"/>
          <w:shd w:val="clear" w:color="auto" w:fill="FFFFFF"/>
        </w:rPr>
        <w:t>（目标值：满意率90%以上）。项目实施过程中和完成后，在我局召开的多次工作座谈会中，均未收到干警对项目施工、质量、流程等方面的投诉，满意率达90%以上。</w:t>
      </w:r>
    </w:p>
    <w:p>
      <w:pPr>
        <w:spacing w:line="560" w:lineRule="exact"/>
        <w:ind w:firstLine="643" w:firstLineChars="200"/>
        <w:rPr>
          <w:rFonts w:ascii="仿宋_GB2312" w:hAnsi="宋体"/>
          <w:b/>
          <w:bCs/>
          <w:szCs w:val="32"/>
        </w:rPr>
      </w:pPr>
      <w:r>
        <w:rPr>
          <w:rFonts w:hint="eastAsia" w:ascii="仿宋" w:hAnsi="仿宋" w:eastAsia="仿宋" w:cs="仿宋"/>
          <w:b/>
          <w:bCs/>
          <w:kern w:val="0"/>
          <w:sz w:val="32"/>
          <w:szCs w:val="32"/>
          <w:shd w:val="clear" w:color="auto" w:fill="FFFFFF"/>
          <w:lang w:val="zh-CN"/>
        </w:rPr>
        <w:t>（</w:t>
      </w:r>
      <w:r>
        <w:rPr>
          <w:rFonts w:hint="eastAsia" w:ascii="仿宋" w:hAnsi="仿宋" w:eastAsia="仿宋" w:cs="仿宋"/>
          <w:b/>
          <w:bCs/>
          <w:kern w:val="0"/>
          <w:sz w:val="32"/>
          <w:szCs w:val="32"/>
          <w:shd w:val="clear" w:color="auto" w:fill="FFFFFF"/>
        </w:rPr>
        <w:t>2</w:t>
      </w:r>
      <w:r>
        <w:rPr>
          <w:rFonts w:hint="eastAsia" w:ascii="仿宋" w:hAnsi="仿宋" w:eastAsia="仿宋" w:cs="仿宋"/>
          <w:b/>
          <w:bCs/>
          <w:kern w:val="0"/>
          <w:sz w:val="32"/>
          <w:szCs w:val="32"/>
          <w:shd w:val="clear" w:color="auto" w:fill="FFFFFF"/>
          <w:lang w:val="zh-CN"/>
        </w:rPr>
        <w:t>）</w:t>
      </w:r>
      <w:r>
        <w:rPr>
          <w:rFonts w:hint="eastAsia" w:ascii="仿宋" w:hAnsi="仿宋" w:eastAsia="仿宋" w:cs="仿宋"/>
          <w:b/>
          <w:bCs/>
          <w:kern w:val="0"/>
          <w:sz w:val="32"/>
          <w:szCs w:val="32"/>
          <w:shd w:val="clear" w:color="auto" w:fill="FFFFFF"/>
        </w:rPr>
        <w:t>项目服务目标（人民群众）满意率</w:t>
      </w:r>
      <w:r>
        <w:rPr>
          <w:rFonts w:hint="eastAsia" w:ascii="仿宋" w:hAnsi="仿宋" w:eastAsia="仿宋" w:cs="仿宋"/>
          <w:sz w:val="32"/>
          <w:szCs w:val="32"/>
          <w:shd w:val="clear" w:color="auto" w:fill="FFFFFF"/>
        </w:rPr>
        <w:t>（目标值：满意率90%以上）。国家调查队开展的人民群众满意度调查，满意率达95%以上。</w:t>
      </w:r>
    </w:p>
    <w:p>
      <w:pPr>
        <w:widowControl/>
        <w:adjustRightInd w:val="0"/>
        <w:snapToGrid w:val="0"/>
        <w:spacing w:line="56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2021年我局及时、准确、优质地完成预算编制；预算执行情况良好，支出管理规范，未出现因违规支出受到相关监督部门批评或处理的情况；资金管理制度较为完善，会计核算和账务处理规范，会计资料完整。</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（二）存在问题。</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在资金使用计划和进度上有待进一步加强。</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国有资产的管理不够规范，主要原因是部门太多，资产管理难度大。</w:t>
      </w:r>
    </w:p>
    <w:p>
      <w:pPr>
        <w:widowControl/>
        <w:adjustRightInd w:val="0"/>
        <w:snapToGrid w:val="0"/>
        <w:spacing w:line="560" w:lineRule="exact"/>
        <w:ind w:firstLine="640" w:firstLineChars="200"/>
        <w:contextualSpacing/>
        <w:jc w:val="left"/>
        <w:rPr>
          <w:rFonts w:ascii="楷体" w:hAnsi="楷体" w:eastAsia="楷体" w:cs="楷体"/>
          <w:color w:val="000000"/>
          <w:kern w:val="0"/>
          <w:sz w:val="32"/>
          <w:szCs w:val="32"/>
          <w:shd w:val="clear" w:color="auto" w:fill="FFFFFF"/>
          <w:lang w:val="zh-CN"/>
        </w:rPr>
      </w:pPr>
      <w:r>
        <w:rPr>
          <w:rFonts w:hint="eastAsia" w:ascii="楷体" w:hAnsi="楷体" w:eastAsia="楷体" w:cs="楷体"/>
          <w:color w:val="000000"/>
          <w:kern w:val="0"/>
          <w:sz w:val="32"/>
          <w:szCs w:val="32"/>
          <w:shd w:val="clear" w:color="auto" w:fill="FFFFFF"/>
          <w:lang w:val="zh-CN"/>
        </w:rPr>
        <w:t>（三）改进建议。</w:t>
      </w:r>
    </w:p>
    <w:p>
      <w:pPr>
        <w:widowControl/>
        <w:adjustRightInd w:val="0"/>
        <w:snapToGrid w:val="0"/>
        <w:spacing w:line="560" w:lineRule="exact"/>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1、适当提高日常公用经费预算标准，并形成有效的增长机制。</w:t>
      </w:r>
    </w:p>
    <w:p>
      <w:pPr>
        <w:widowControl/>
        <w:adjustRightInd w:val="0"/>
        <w:snapToGrid w:val="0"/>
        <w:spacing w:line="560" w:lineRule="exact"/>
        <w:ind w:firstLine="640" w:firstLineChars="200"/>
        <w:contextualSpacing/>
        <w:jc w:val="left"/>
        <w:rPr>
          <w:rFonts w:ascii="黑体" w:hAnsi="黑体" w:eastAsia="黑体" w:cs="黑体"/>
          <w:sz w:val="32"/>
          <w:szCs w:val="32"/>
        </w:rPr>
      </w:pPr>
      <w:r>
        <w:rPr>
          <w:rFonts w:hint="eastAsia" w:ascii="仿宋_GB2312" w:hAnsi="宋体" w:eastAsia="仿宋_GB2312" w:cs="宋体"/>
          <w:color w:val="000000"/>
          <w:kern w:val="0"/>
          <w:sz w:val="32"/>
          <w:szCs w:val="32"/>
          <w:shd w:val="clear" w:color="auto" w:fill="FFFFFF"/>
          <w:lang w:val="zh-CN"/>
        </w:rPr>
        <w:t>2、严格按照《固定资产管理办法》的规定加强管理，及时登记，加强实物和卡片管理，确保账账、账实相符。</w:t>
      </w:r>
    </w:p>
    <w:p>
      <w:pPr>
        <w:spacing w:line="560" w:lineRule="exact"/>
        <w:rPr>
          <w:rFonts w:ascii="方正小标宋简体" w:hAnsi="宋体" w:eastAsia="方正小标宋简体"/>
          <w:color w:val="000000"/>
          <w:kern w:val="0"/>
          <w:sz w:val="44"/>
          <w:szCs w:val="44"/>
        </w:rPr>
      </w:pPr>
      <w:r>
        <w:rPr>
          <w:rFonts w:hint="eastAsia" w:ascii="黑体" w:hAnsi="黑体" w:eastAsia="黑体" w:cs="黑体"/>
          <w:sz w:val="32"/>
          <w:szCs w:val="32"/>
        </w:rPr>
        <w:t>附件2</w:t>
      </w:r>
    </w:p>
    <w:p>
      <w:pPr>
        <w:spacing w:line="560" w:lineRule="exact"/>
        <w:jc w:val="center"/>
        <w:rPr>
          <w:rFonts w:ascii="黑体" w:hAnsi="黑体" w:eastAsia="黑体" w:cs="黑体"/>
          <w:color w:val="000000"/>
          <w:kern w:val="0"/>
          <w:sz w:val="44"/>
          <w:szCs w:val="44"/>
          <w:lang w:val="zh-CN"/>
        </w:rPr>
      </w:pPr>
      <w:r>
        <w:rPr>
          <w:rFonts w:hint="eastAsia" w:ascii="黑体" w:hAnsi="黑体" w:eastAsia="黑体" w:cs="黑体"/>
          <w:color w:val="000000"/>
          <w:kern w:val="0"/>
          <w:sz w:val="44"/>
          <w:szCs w:val="44"/>
        </w:rPr>
        <w:t>警务辅助人员包干经费</w:t>
      </w:r>
      <w:r>
        <w:rPr>
          <w:rFonts w:hint="eastAsia" w:ascii="黑体" w:hAnsi="黑体" w:eastAsia="黑体" w:cs="黑体"/>
          <w:color w:val="000000"/>
          <w:kern w:val="0"/>
          <w:sz w:val="44"/>
          <w:szCs w:val="44"/>
          <w:lang w:val="zh-CN"/>
        </w:rPr>
        <w:t>项目</w:t>
      </w:r>
    </w:p>
    <w:p>
      <w:pPr>
        <w:spacing w:line="560" w:lineRule="exact"/>
        <w:jc w:val="center"/>
        <w:rPr>
          <w:rFonts w:ascii="黑体" w:hAnsi="黑体" w:eastAsia="黑体" w:cs="黑体"/>
          <w:color w:val="000000"/>
          <w:kern w:val="0"/>
          <w:sz w:val="44"/>
          <w:szCs w:val="44"/>
          <w:lang w:val="zh-CN"/>
        </w:rPr>
      </w:pPr>
      <w:r>
        <w:rPr>
          <w:rFonts w:hint="eastAsia" w:ascii="黑体" w:hAnsi="黑体" w:eastAsia="黑体" w:cs="黑体"/>
          <w:color w:val="000000"/>
          <w:kern w:val="0"/>
          <w:sz w:val="44"/>
          <w:szCs w:val="44"/>
        </w:rPr>
        <w:t>2021年</w:t>
      </w:r>
      <w:r>
        <w:rPr>
          <w:rFonts w:hint="eastAsia" w:ascii="黑体" w:hAnsi="黑体" w:eastAsia="黑体" w:cs="黑体"/>
          <w:color w:val="000000"/>
          <w:kern w:val="0"/>
          <w:sz w:val="44"/>
          <w:szCs w:val="44"/>
          <w:lang w:val="zh-CN"/>
        </w:rPr>
        <w:t>绩效评价报告</w:t>
      </w:r>
    </w:p>
    <w:p>
      <w:pPr>
        <w:spacing w:line="560" w:lineRule="exact"/>
        <w:rPr>
          <w:rFonts w:ascii="宋体" w:hAnsi="宋体"/>
          <w:sz w:val="32"/>
          <w:szCs w:val="32"/>
          <w:lang w:val="zh-CN"/>
        </w:rPr>
      </w:pPr>
    </w:p>
    <w:p>
      <w:pPr>
        <w:adjustRightInd w:val="0"/>
        <w:snapToGrid w:val="0"/>
        <w:spacing w:line="560"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（一）项目基本情况。</w:t>
      </w:r>
    </w:p>
    <w:p>
      <w:pPr>
        <w:spacing w:line="560" w:lineRule="exact"/>
        <w:ind w:firstLine="643" w:firstLineChars="200"/>
        <w:rPr>
          <w:rFonts w:ascii="仿宋_GB2312" w:hAnsi="宋体" w:eastAsia="仿宋_GB2312"/>
          <w:sz w:val="32"/>
          <w:szCs w:val="32"/>
        </w:rPr>
      </w:pPr>
      <w:r>
        <w:rPr>
          <w:rFonts w:hint="eastAsia" w:ascii="仿宋_GB2312" w:hAnsi="宋体" w:eastAsia="仿宋_GB2312"/>
          <w:b/>
          <w:bCs/>
          <w:sz w:val="32"/>
          <w:szCs w:val="32"/>
        </w:rPr>
        <w:t>1.项目单位基本情况。</w:t>
      </w:r>
      <w:r>
        <w:rPr>
          <w:rFonts w:hint="eastAsia" w:ascii="仿宋_GB2312" w:hAnsi="宋体" w:eastAsia="仿宋_GB2312"/>
          <w:sz w:val="32"/>
          <w:szCs w:val="32"/>
        </w:rPr>
        <w:t>米易县公安局属财政独立核算的行政事业单位。共设有14个内设机构和有12个派出机构，我局实有警务辅助人员276人。</w:t>
      </w:r>
      <w:r>
        <w:rPr>
          <w:rFonts w:hint="eastAsia" w:ascii="仿宋_GB2312" w:hAnsi="宋体" w:eastAsia="仿宋_GB2312"/>
          <w:sz w:val="32"/>
          <w:szCs w:val="32"/>
        </w:rPr>
        <w:br w:type="textWrapping"/>
      </w:r>
      <w:r>
        <w:rPr>
          <w:rFonts w:hint="eastAsia" w:ascii="仿宋_GB2312" w:hAnsi="宋体" w:eastAsia="仿宋_GB2312"/>
          <w:b/>
          <w:bCs/>
          <w:sz w:val="32"/>
          <w:szCs w:val="32"/>
        </w:rPr>
        <w:t>2.项目基本情况。</w:t>
      </w:r>
      <w:r>
        <w:rPr>
          <w:rFonts w:hint="eastAsia" w:ascii="仿宋_GB2312" w:hAnsi="宋体" w:eastAsia="仿宋_GB2312"/>
          <w:sz w:val="32"/>
          <w:szCs w:val="32"/>
        </w:rPr>
        <w:t>米易县公安局负责警务辅助人员经费的一切财务收支，警务辅助人员经费由工资、差旅费、加班费、慰问费等组成，该项目资金纳入年初预算，实行由县国库集中支付中心统一核算。2021年财政下达警务辅助人员经费</w:t>
      </w:r>
      <w:r>
        <w:rPr>
          <w:rFonts w:hint="eastAsia" w:ascii="仿宋_GB2312" w:hAnsi="微软雅黑" w:eastAsia="仿宋_GB2312" w:cs="宋体"/>
          <w:color w:val="333333"/>
          <w:sz w:val="32"/>
          <w:szCs w:val="32"/>
        </w:rPr>
        <w:t>1591.11</w:t>
      </w:r>
      <w:r>
        <w:rPr>
          <w:rFonts w:hint="eastAsia" w:ascii="仿宋_GB2312" w:hAnsi="宋体" w:eastAsia="仿宋_GB2312"/>
          <w:sz w:val="32"/>
          <w:szCs w:val="32"/>
        </w:rPr>
        <w:t>万元，实际开支</w:t>
      </w:r>
      <w:r>
        <w:rPr>
          <w:rFonts w:hint="eastAsia" w:ascii="仿宋_GB2312" w:hAnsi="微软雅黑" w:eastAsia="仿宋_GB2312" w:cs="宋体"/>
          <w:color w:val="333333"/>
          <w:sz w:val="32"/>
          <w:szCs w:val="32"/>
        </w:rPr>
        <w:t>1591.11</w:t>
      </w:r>
      <w:r>
        <w:rPr>
          <w:rFonts w:hint="eastAsia" w:ascii="仿宋_GB2312" w:hAnsi="宋体" w:eastAsia="仿宋_GB2312"/>
          <w:sz w:val="32"/>
          <w:szCs w:val="32"/>
        </w:rPr>
        <w:t>万元。</w:t>
      </w:r>
    </w:p>
    <w:p>
      <w:pPr>
        <w:spacing w:line="560" w:lineRule="exact"/>
        <w:ind w:firstLine="643" w:firstLineChars="200"/>
        <w:rPr>
          <w:rFonts w:ascii="仿宋" w:hAnsi="仿宋" w:eastAsia="仿宋" w:cs="仿宋"/>
          <w:sz w:val="32"/>
          <w:szCs w:val="32"/>
        </w:rPr>
      </w:pPr>
      <w:r>
        <w:rPr>
          <w:rFonts w:hint="eastAsia" w:ascii="仿宋_GB2312" w:hAnsi="宋体" w:eastAsia="仿宋_GB2312"/>
          <w:b/>
          <w:bCs/>
          <w:sz w:val="32"/>
          <w:szCs w:val="32"/>
        </w:rPr>
        <w:t>3.单位制定了内控制度。</w:t>
      </w:r>
      <w:r>
        <w:rPr>
          <w:rFonts w:hint="eastAsia" w:ascii="仿宋_GB2312" w:hAnsi="宋体" w:eastAsia="仿宋_GB2312"/>
          <w:sz w:val="32"/>
          <w:szCs w:val="32"/>
        </w:rPr>
        <w:t>严格按照制度支付各项支出。</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（二）项目绩效目标。</w:t>
      </w:r>
    </w:p>
    <w:p>
      <w:pPr>
        <w:adjustRightInd w:val="0"/>
        <w:snapToGrid w:val="0"/>
        <w:spacing w:line="560" w:lineRule="exact"/>
        <w:ind w:firstLine="720"/>
        <w:rPr>
          <w:rFonts w:ascii="仿宋_GB2312" w:hAnsi="宋体" w:eastAsia="仿宋_GB2312" w:cs="宋体"/>
          <w:kern w:val="0"/>
          <w:sz w:val="32"/>
          <w:szCs w:val="32"/>
        </w:rPr>
      </w:pPr>
      <w:r>
        <w:rPr>
          <w:rFonts w:hint="eastAsia" w:ascii="仿宋_GB2312" w:hAnsi="宋体" w:eastAsia="仿宋_GB2312"/>
          <w:sz w:val="32"/>
          <w:szCs w:val="32"/>
        </w:rPr>
        <w:t>规范警务辅助人员日常工资，保障警务辅助人员合法权益。</w:t>
      </w:r>
      <w:r>
        <w:rPr>
          <w:rFonts w:hint="eastAsia" w:ascii="仿宋_GB2312" w:hAnsi="宋体" w:eastAsia="仿宋_GB2312" w:cs="宋体"/>
          <w:kern w:val="0"/>
          <w:sz w:val="32"/>
          <w:szCs w:val="32"/>
        </w:rPr>
        <w:t>警务辅助人员工资的及时发放，稳定了警务辅助人员队伍，增强了警务辅助人员的凝聚力和战斗力。</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（三）项目自评步骤及方法。</w:t>
      </w:r>
    </w:p>
    <w:p>
      <w:pPr>
        <w:spacing w:line="560" w:lineRule="exact"/>
        <w:ind w:firstLine="643" w:firstLineChars="200"/>
        <w:outlineLvl w:val="0"/>
        <w:rPr>
          <w:rFonts w:ascii="仿宋" w:hAnsi="仿宋" w:eastAsia="仿宋" w:cs="仿宋"/>
          <w:b/>
          <w:bCs/>
          <w:sz w:val="32"/>
          <w:szCs w:val="32"/>
        </w:rPr>
      </w:pPr>
      <w:r>
        <w:rPr>
          <w:rFonts w:hint="eastAsia" w:ascii="仿宋" w:hAnsi="仿宋" w:eastAsia="仿宋" w:cs="仿宋"/>
          <w:b/>
          <w:bCs/>
          <w:sz w:val="32"/>
          <w:szCs w:val="32"/>
        </w:rPr>
        <w:t>1、绩效评价目的、对象和范围。</w:t>
      </w:r>
    </w:p>
    <w:p>
      <w:pPr>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绩效评价目的：为了进一步合理规范使用警务辅助人员包干经费。</w:t>
      </w:r>
    </w:p>
    <w:p>
      <w:pPr>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绩效评价对象：警务辅助人员包干经费</w:t>
      </w:r>
    </w:p>
    <w:p>
      <w:pPr>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绩效评价范围：米易县公安局警务辅助人员工作成效</w:t>
      </w:r>
    </w:p>
    <w:p>
      <w:pPr>
        <w:spacing w:line="560" w:lineRule="exact"/>
        <w:ind w:firstLine="643" w:firstLineChars="200"/>
        <w:outlineLvl w:val="0"/>
        <w:rPr>
          <w:rFonts w:ascii="仿宋" w:hAnsi="仿宋" w:eastAsia="仿宋" w:cs="仿宋"/>
          <w:sz w:val="32"/>
          <w:szCs w:val="32"/>
        </w:rPr>
      </w:pPr>
      <w:r>
        <w:rPr>
          <w:rFonts w:hint="eastAsia" w:ascii="仿宋" w:hAnsi="仿宋" w:eastAsia="仿宋" w:cs="仿宋"/>
          <w:b/>
          <w:bCs/>
          <w:sz w:val="32"/>
          <w:szCs w:val="32"/>
        </w:rPr>
        <w:t>2、绩效评价工作过程。</w:t>
      </w:r>
      <w:r>
        <w:rPr>
          <w:rFonts w:hint="eastAsia" w:ascii="仿宋" w:hAnsi="仿宋" w:eastAsia="仿宋" w:cs="仿宋"/>
          <w:sz w:val="32"/>
          <w:szCs w:val="32"/>
        </w:rPr>
        <w:t>米易县公安局领导重视绩效评价工作，成立了绩效评价工作小组。按照绩效评价相关工作要求开展我局绩效评价工作。</w:t>
      </w:r>
    </w:p>
    <w:p>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（一）项目资金申报及批复情况。</w:t>
      </w:r>
    </w:p>
    <w:p>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2021年度警务辅助人员包干经费，纳入2021年度预算</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（二）资金计划、到位及使用情况。</w:t>
      </w:r>
    </w:p>
    <w:p>
      <w:pPr>
        <w:adjustRightInd w:val="0"/>
        <w:snapToGrid w:val="0"/>
        <w:spacing w:line="560" w:lineRule="exact"/>
        <w:ind w:firstLine="720"/>
        <w:rPr>
          <w:rFonts w:ascii="仿宋_GB2312" w:hAnsi="宋体" w:eastAsia="仿宋_GB2312"/>
          <w:sz w:val="32"/>
          <w:szCs w:val="32"/>
          <w:lang w:val="zh-CN"/>
        </w:rPr>
      </w:pPr>
      <w:r>
        <w:rPr>
          <w:rFonts w:hint="eastAsia" w:ascii="仿宋" w:hAnsi="仿宋" w:eastAsia="仿宋" w:cs="仿宋"/>
          <w:b/>
          <w:bCs/>
          <w:sz w:val="32"/>
          <w:szCs w:val="32"/>
          <w:lang w:val="zh-CN"/>
        </w:rPr>
        <w:t>1.资金计划。</w:t>
      </w:r>
      <w:r>
        <w:rPr>
          <w:rFonts w:hint="eastAsia" w:ascii="仿宋" w:hAnsi="仿宋" w:eastAsia="仿宋" w:cs="仿宋"/>
          <w:sz w:val="32"/>
          <w:szCs w:val="32"/>
        </w:rPr>
        <w:t>2021年度警务辅助人员包干经费，纳入2021年度预算。</w:t>
      </w:r>
    </w:p>
    <w:p>
      <w:pPr>
        <w:adjustRightInd w:val="0"/>
        <w:snapToGrid w:val="0"/>
        <w:spacing w:line="560" w:lineRule="exact"/>
        <w:ind w:firstLine="720"/>
        <w:rPr>
          <w:rFonts w:ascii="仿宋_GB2312" w:hAnsi="宋体" w:eastAsia="仿宋_GB2312"/>
          <w:sz w:val="32"/>
          <w:szCs w:val="32"/>
          <w:lang w:val="zh-CN"/>
        </w:rPr>
      </w:pPr>
      <w:r>
        <w:rPr>
          <w:rFonts w:hint="eastAsia" w:ascii="仿宋" w:hAnsi="仿宋" w:eastAsia="仿宋" w:cs="仿宋"/>
          <w:b/>
          <w:bCs/>
          <w:sz w:val="32"/>
          <w:szCs w:val="32"/>
        </w:rPr>
        <w:t>2.</w:t>
      </w:r>
      <w:r>
        <w:rPr>
          <w:rFonts w:hint="eastAsia" w:ascii="仿宋" w:hAnsi="仿宋" w:eastAsia="仿宋" w:cs="仿宋"/>
          <w:b/>
          <w:bCs/>
          <w:sz w:val="32"/>
          <w:szCs w:val="32"/>
          <w:lang w:val="zh-CN"/>
        </w:rPr>
        <w:t>资金到位。</w:t>
      </w:r>
      <w:r>
        <w:rPr>
          <w:rFonts w:hint="eastAsia" w:ascii="仿宋" w:hAnsi="仿宋" w:eastAsia="仿宋" w:cs="仿宋"/>
          <w:sz w:val="32"/>
          <w:szCs w:val="32"/>
        </w:rPr>
        <w:t>2021年度警务辅助人员包干经费，纳入2021年度预算，由</w:t>
      </w:r>
      <w:r>
        <w:rPr>
          <w:rFonts w:hint="eastAsia" w:ascii="仿宋_GB2312" w:hAnsi="宋体" w:eastAsia="仿宋_GB2312"/>
          <w:sz w:val="32"/>
          <w:szCs w:val="32"/>
          <w:lang w:val="zh-CN"/>
        </w:rPr>
        <w:t>县财政全额拨款。资金到位情况与资金计划一致，资金到位率</w:t>
      </w:r>
      <w:r>
        <w:rPr>
          <w:rFonts w:hint="eastAsia" w:ascii="仿宋_GB2312" w:hAnsi="宋体" w:eastAsia="仿宋_GB2312"/>
          <w:sz w:val="32"/>
          <w:szCs w:val="32"/>
        </w:rPr>
        <w:t>100%且</w:t>
      </w:r>
      <w:r>
        <w:rPr>
          <w:rFonts w:hint="eastAsia" w:ascii="仿宋_GB2312" w:hAnsi="宋体" w:eastAsia="仿宋_GB2312"/>
          <w:sz w:val="32"/>
          <w:szCs w:val="32"/>
          <w:lang w:val="zh-CN"/>
        </w:rPr>
        <w:t>及时下达。</w:t>
      </w:r>
    </w:p>
    <w:p>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b/>
          <w:bCs/>
          <w:sz w:val="32"/>
          <w:szCs w:val="32"/>
        </w:rPr>
        <w:t>3.</w:t>
      </w:r>
      <w:r>
        <w:rPr>
          <w:rFonts w:hint="eastAsia" w:ascii="仿宋" w:hAnsi="仿宋" w:eastAsia="仿宋" w:cs="仿宋"/>
          <w:b/>
          <w:bCs/>
          <w:sz w:val="32"/>
          <w:szCs w:val="32"/>
          <w:lang w:val="zh-CN"/>
        </w:rPr>
        <w:t>资金使用。</w:t>
      </w:r>
      <w:r>
        <w:rPr>
          <w:rFonts w:hint="eastAsia" w:ascii="仿宋" w:hAnsi="仿宋" w:eastAsia="仿宋" w:cs="仿宋"/>
          <w:sz w:val="32"/>
          <w:szCs w:val="32"/>
        </w:rPr>
        <w:t>警务辅助人员包干经费按时到位，到位率100%。支出依据合规，无虚列项目支出情况；无截留挤占挪用情况；无超标准开支情况；资金是否按申报条件及时使用。</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（三）项目财务管理情况。</w:t>
      </w:r>
    </w:p>
    <w:p>
      <w:pPr>
        <w:adjustRightInd w:val="0"/>
        <w:snapToGrid w:val="0"/>
        <w:spacing w:line="560"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米易县公安局财务管理制度健全，严格执行财务管理制度，账务处理及时，会计核算规范。</w:t>
      </w:r>
    </w:p>
    <w:p>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（一）项目组织架构及实施流程。</w:t>
      </w:r>
    </w:p>
    <w:p>
      <w:pPr>
        <w:spacing w:line="560" w:lineRule="exact"/>
        <w:ind w:firstLine="640" w:firstLineChars="200"/>
        <w:outlineLvl w:val="0"/>
        <w:rPr>
          <w:rFonts w:ascii="楷体_GB2312" w:hAnsi="宋体" w:eastAsia="楷体_GB2312"/>
          <w:b/>
          <w:sz w:val="32"/>
          <w:szCs w:val="32"/>
          <w:lang w:val="zh-CN"/>
        </w:rPr>
      </w:pPr>
      <w:r>
        <w:rPr>
          <w:rFonts w:hint="eastAsia" w:ascii="仿宋" w:hAnsi="仿宋" w:eastAsia="仿宋" w:cs="仿宋"/>
          <w:sz w:val="32"/>
          <w:szCs w:val="32"/>
        </w:rPr>
        <w:t>设立预期目标以及年度实施计划，项目符合省、市、县关于警务辅助人员管理相关文件。米易县公安局制定了警务辅助人员工资管理办法。警务辅助人员包干经费按时到位，到位率100%。支出依据合规，无虚列项目支出情况；无截留挤占挪用情况；无超标准开支情况；资金是否按申报条件及时使用。警务辅助人员包干经费符合预期绩效目标，完成年度计划数量，产出质量达到绩效目标。按年度计划成在规定的时间内完成相关工作。</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（二）项目管理情况。</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米易县公安局财务管理制度健全，严格执行财务管理制度，账务处理及时，会计核算规范。</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（三）项目监管情况。</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米易县公安局</w:t>
      </w:r>
      <w:r>
        <w:rPr>
          <w:rFonts w:hint="eastAsia" w:ascii="仿宋_GB2312" w:hAnsi="宋体" w:eastAsia="仿宋_GB2312"/>
          <w:sz w:val="32"/>
          <w:szCs w:val="32"/>
        </w:rPr>
        <w:t>驻</w:t>
      </w:r>
      <w:r>
        <w:rPr>
          <w:rFonts w:hint="eastAsia" w:ascii="仿宋_GB2312" w:hAnsi="宋体" w:eastAsia="仿宋_GB2312"/>
          <w:sz w:val="32"/>
          <w:szCs w:val="32"/>
          <w:lang w:val="zh-CN"/>
        </w:rPr>
        <w:t>局纪检监察组对</w:t>
      </w:r>
      <w:r>
        <w:rPr>
          <w:rFonts w:hint="eastAsia" w:ascii="仿宋" w:hAnsi="仿宋" w:eastAsia="仿宋" w:cs="仿宋"/>
          <w:sz w:val="32"/>
          <w:szCs w:val="32"/>
        </w:rPr>
        <w:t>警务辅助人员包干经费支出进行</w:t>
      </w:r>
      <w:r>
        <w:rPr>
          <w:rFonts w:hint="eastAsia" w:ascii="仿宋_GB2312" w:hAnsi="宋体" w:eastAsia="仿宋_GB2312"/>
          <w:sz w:val="32"/>
          <w:szCs w:val="32"/>
          <w:lang w:val="zh-CN"/>
        </w:rPr>
        <w:t>监管工作。</w:t>
      </w:r>
    </w:p>
    <w:p>
      <w:pPr>
        <w:adjustRightInd w:val="0"/>
        <w:snapToGrid w:val="0"/>
        <w:spacing w:line="560" w:lineRule="exact"/>
        <w:ind w:firstLine="720"/>
        <w:rPr>
          <w:rFonts w:ascii="仿宋_GB2312" w:hAnsi="宋体" w:eastAsia="仿宋_GB2312"/>
          <w:sz w:val="32"/>
          <w:szCs w:val="32"/>
          <w:lang w:val="zh-CN"/>
        </w:rPr>
      </w:pPr>
      <w:r>
        <w:rPr>
          <w:rFonts w:hint="eastAsia" w:ascii="黑体" w:hAnsi="宋体" w:eastAsia="黑体"/>
          <w:sz w:val="32"/>
          <w:szCs w:val="32"/>
        </w:rPr>
        <w:t>四、项目绩效情况</w:t>
      </w:r>
      <w:r>
        <w:rPr>
          <w:rFonts w:hint="eastAsia" w:ascii="仿宋_GB2312" w:hAnsi="宋体" w:eastAsia="仿宋_GB2312"/>
          <w:sz w:val="32"/>
          <w:szCs w:val="32"/>
          <w:lang w:val="zh-CN"/>
        </w:rPr>
        <w:tab/>
      </w:r>
    </w:p>
    <w:p>
      <w:pPr>
        <w:adjustRightInd w:val="0"/>
        <w:snapToGrid w:val="0"/>
        <w:spacing w:line="560" w:lineRule="exact"/>
        <w:ind w:firstLine="640" w:firstLineChars="200"/>
        <w:rPr>
          <w:rFonts w:ascii="楷体_GB2312" w:hAnsi="宋体" w:eastAsia="楷体_GB2312"/>
          <w:bCs/>
          <w:sz w:val="32"/>
          <w:szCs w:val="32"/>
          <w:lang w:val="zh-CN"/>
        </w:rPr>
      </w:pPr>
      <w:r>
        <w:rPr>
          <w:rFonts w:hint="eastAsia" w:ascii="楷体_GB2312" w:hAnsi="宋体" w:eastAsia="楷体_GB2312"/>
          <w:bCs/>
          <w:sz w:val="32"/>
          <w:szCs w:val="32"/>
          <w:lang w:val="zh-CN"/>
        </w:rPr>
        <w:t>（一）项目完成情况。</w:t>
      </w:r>
    </w:p>
    <w:p>
      <w:pPr>
        <w:spacing w:line="560" w:lineRule="exact"/>
        <w:ind w:firstLine="640" w:firstLineChars="200"/>
        <w:outlineLvl w:val="0"/>
        <w:rPr>
          <w:rFonts w:ascii="仿宋" w:hAnsi="仿宋" w:eastAsia="仿宋" w:cs="仿宋"/>
          <w:sz w:val="32"/>
          <w:szCs w:val="32"/>
        </w:rPr>
      </w:pPr>
      <w:r>
        <w:rPr>
          <w:rFonts w:hint="eastAsia" w:ascii="仿宋" w:hAnsi="仿宋" w:eastAsia="仿宋" w:cs="仿宋"/>
          <w:sz w:val="32"/>
          <w:szCs w:val="32"/>
        </w:rPr>
        <w:t>警务辅助人员包干经费符合预期绩效目标，完成年度计划数量，产出质量达到绩效目标。按年度计划成在规定的时间内完成相关工作。</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（二）项目效益情况。</w:t>
      </w:r>
    </w:p>
    <w:p>
      <w:pPr>
        <w:adjustRightInd w:val="0"/>
        <w:snapToGrid w:val="0"/>
        <w:spacing w:line="560" w:lineRule="exact"/>
        <w:ind w:firstLine="720"/>
        <w:rPr>
          <w:rFonts w:ascii="仿宋" w:hAnsi="仿宋" w:eastAsia="仿宋" w:cs="仿宋"/>
          <w:sz w:val="32"/>
          <w:szCs w:val="32"/>
        </w:rPr>
      </w:pPr>
      <w:r>
        <w:rPr>
          <w:rFonts w:hint="eastAsia" w:ascii="仿宋_GB2312" w:hAnsi="宋体" w:eastAsia="仿宋_GB2312" w:cs="宋体"/>
          <w:kern w:val="0"/>
          <w:sz w:val="32"/>
          <w:szCs w:val="32"/>
        </w:rPr>
        <w:t>警务警务辅助人员承担着街面巡逻、</w:t>
      </w:r>
      <w:r>
        <w:rPr>
          <w:rFonts w:hint="eastAsia" w:eastAsia="仿宋_GB2312"/>
          <w:color w:val="000000"/>
          <w:sz w:val="32"/>
          <w:szCs w:val="32"/>
        </w:rPr>
        <w:t>春节期间系列活动、中高考等各类活动</w:t>
      </w:r>
      <w:r>
        <w:rPr>
          <w:rFonts w:hint="eastAsia" w:ascii="仿宋_GB2312" w:hAnsi="宋体" w:eastAsia="仿宋_GB2312" w:cs="宋体"/>
          <w:kern w:val="0"/>
          <w:sz w:val="32"/>
          <w:szCs w:val="32"/>
        </w:rPr>
        <w:t>安保、劝阻交通安全违法行为、进行交通安全宣传教育、协助抓捕嫌疑人、协助办理案件、接受群众求助等大量辅助性工作，他们为米易县公安局的警务工作发挥了很大的作用。警务辅助人员工资的及时发放，稳定了警务辅助人员队伍，增强了警务辅助人员的凝聚力和战斗力。我们定岗定人来确保用最少的人员和资金发挥最大的经济效益和社会效益。</w:t>
      </w:r>
      <w:r>
        <w:rPr>
          <w:rFonts w:hint="eastAsia" w:ascii="仿宋" w:hAnsi="仿宋" w:eastAsia="仿宋" w:cs="仿宋"/>
          <w:sz w:val="32"/>
          <w:szCs w:val="32"/>
        </w:rPr>
        <w:t>人民群众对警务辅助人员队伍满意度达到95%。</w:t>
      </w:r>
    </w:p>
    <w:p>
      <w:pPr>
        <w:adjustRightInd w:val="0"/>
        <w:snapToGrid w:val="0"/>
        <w:spacing w:line="560"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（一）评价结论。</w:t>
      </w:r>
    </w:p>
    <w:p>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我局按照米易县重点项目（政策）支出绩效评价指标体系逐项评分，警务辅助人员包干经费自评得分98分。</w:t>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（二）存在的问题。</w:t>
      </w:r>
    </w:p>
    <w:p>
      <w:pPr>
        <w:adjustRightInd w:val="0"/>
        <w:snapToGrid w:val="0"/>
        <w:spacing w:line="560"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结合自评情况，分析存在的问题及原因。</w:t>
      </w:r>
      <w:r>
        <w:rPr>
          <w:rFonts w:hint="eastAsia" w:ascii="仿宋_GB2312" w:hAnsi="宋体" w:eastAsia="仿宋_GB2312"/>
          <w:sz w:val="32"/>
          <w:szCs w:val="32"/>
          <w:lang w:val="zh-CN"/>
        </w:rPr>
        <w:tab/>
      </w:r>
    </w:p>
    <w:p>
      <w:pPr>
        <w:adjustRightInd w:val="0"/>
        <w:snapToGrid w:val="0"/>
        <w:spacing w:line="560" w:lineRule="exact"/>
        <w:ind w:firstLine="720"/>
        <w:rPr>
          <w:rFonts w:ascii="楷体_GB2312" w:hAnsi="宋体" w:eastAsia="楷体_GB2312"/>
          <w:bCs/>
          <w:sz w:val="32"/>
          <w:szCs w:val="32"/>
          <w:lang w:val="zh-CN"/>
        </w:rPr>
      </w:pPr>
      <w:r>
        <w:rPr>
          <w:rFonts w:hint="eastAsia" w:ascii="楷体_GB2312" w:hAnsi="宋体" w:eastAsia="楷体_GB2312"/>
          <w:bCs/>
          <w:sz w:val="32"/>
          <w:szCs w:val="32"/>
          <w:lang w:val="zh-CN"/>
        </w:rPr>
        <w:t>（三）相关建议。</w:t>
      </w:r>
    </w:p>
    <w:p>
      <w:pPr>
        <w:autoSpaceDE w:val="0"/>
        <w:autoSpaceDN w:val="0"/>
        <w:adjustRightInd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警务辅助人员包干经费主要用于警务辅助人员工资，警务辅助人员工资每月应按时发放。</w:t>
      </w:r>
    </w:p>
    <w:p>
      <w:pPr>
        <w:spacing w:line="560" w:lineRule="exact"/>
        <w:ind w:firstLine="2640" w:firstLineChars="600"/>
        <w:outlineLvl w:val="0"/>
        <w:rPr>
          <w:rFonts w:ascii="黑体" w:hAnsi="黑体" w:eastAsia="黑体"/>
          <w:color w:val="000000"/>
          <w:sz w:val="44"/>
          <w:szCs w:val="44"/>
        </w:rPr>
      </w:pPr>
      <w:bookmarkStart w:id="60" w:name="_Toc15396618"/>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Fonts w:ascii="黑体" w:hAnsi="黑体" w:eastAsia="黑体"/>
          <w:color w:val="000000"/>
          <w:sz w:val="44"/>
          <w:szCs w:val="44"/>
        </w:rPr>
      </w:pPr>
    </w:p>
    <w:p>
      <w:pPr>
        <w:spacing w:line="560" w:lineRule="exact"/>
        <w:ind w:firstLine="2640" w:firstLineChars="600"/>
        <w:outlineLvl w:val="0"/>
        <w:rPr>
          <w:rStyle w:val="24"/>
          <w:rFonts w:ascii="黑体" w:hAnsi="黑体" w:eastAsia="黑体"/>
          <w:b w:val="0"/>
        </w:rPr>
      </w:pPr>
      <w:r>
        <w:rPr>
          <w:rFonts w:hint="eastAsia" w:ascii="黑体" w:hAnsi="黑体" w:eastAsia="黑体"/>
          <w:color w:val="000000"/>
          <w:sz w:val="44"/>
          <w:szCs w:val="44"/>
        </w:rPr>
        <w:t>第</w:t>
      </w:r>
      <w:r>
        <w:rPr>
          <w:rStyle w:val="24"/>
          <w:rFonts w:hint="eastAsia" w:ascii="黑体" w:hAnsi="黑体" w:eastAsia="黑体"/>
          <w:b w:val="0"/>
        </w:rPr>
        <w:t>五部分 附表</w:t>
      </w:r>
      <w:bookmarkEnd w:id="58"/>
      <w:bookmarkEnd w:id="60"/>
    </w:p>
    <w:p>
      <w:pPr>
        <w:spacing w:line="560" w:lineRule="exact"/>
        <w:jc w:val="center"/>
        <w:outlineLvl w:val="0"/>
        <w:rPr>
          <w:rFonts w:ascii="仿宋" w:hAnsi="仿宋" w:eastAsia="仿宋"/>
          <w:b/>
          <w:color w:val="000000"/>
          <w:sz w:val="44"/>
          <w:szCs w:val="44"/>
        </w:rPr>
      </w:pPr>
    </w:p>
    <w:p>
      <w:pPr>
        <w:pStyle w:val="3"/>
        <w:spacing w:before="0" w:after="0" w:line="560" w:lineRule="exact"/>
        <w:rPr>
          <w:rFonts w:ascii="仿宋" w:hAnsi="仿宋" w:eastAsia="仿宋"/>
          <w:color w:val="000000"/>
        </w:rPr>
      </w:pPr>
      <w:bookmarkStart w:id="61"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1"/>
    </w:p>
    <w:p>
      <w:pPr>
        <w:pStyle w:val="3"/>
        <w:spacing w:before="0" w:after="0" w:line="560" w:lineRule="exact"/>
        <w:rPr>
          <w:rFonts w:ascii="仿宋" w:hAnsi="仿宋" w:eastAsia="仿宋"/>
          <w:color w:val="000000"/>
        </w:rPr>
      </w:pPr>
      <w:bookmarkStart w:id="62"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2"/>
    </w:p>
    <w:p>
      <w:pPr>
        <w:pStyle w:val="3"/>
        <w:spacing w:before="0" w:after="0" w:line="560" w:lineRule="exact"/>
        <w:rPr>
          <w:rFonts w:ascii="仿宋" w:hAnsi="仿宋" w:eastAsia="仿宋"/>
          <w:color w:val="000000"/>
        </w:rPr>
      </w:pPr>
      <w:bookmarkStart w:id="63"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3"/>
    </w:p>
    <w:p>
      <w:pPr>
        <w:pStyle w:val="3"/>
        <w:spacing w:before="0" w:after="0" w:line="560" w:lineRule="exact"/>
        <w:rPr>
          <w:rFonts w:ascii="仿宋" w:hAnsi="仿宋" w:eastAsia="仿宋"/>
          <w:b w:val="0"/>
          <w:color w:val="000000"/>
        </w:rPr>
      </w:pPr>
      <w:bookmarkStart w:id="64"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4"/>
    </w:p>
    <w:p>
      <w:pPr>
        <w:pStyle w:val="3"/>
        <w:spacing w:before="0" w:after="0" w:line="560" w:lineRule="exact"/>
        <w:rPr>
          <w:rStyle w:val="25"/>
          <w:rFonts w:ascii="仿宋" w:hAnsi="仿宋" w:eastAsia="仿宋"/>
          <w:b w:val="0"/>
          <w:bCs w:val="0"/>
        </w:rPr>
      </w:pPr>
      <w:bookmarkStart w:id="65"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5"/>
      <w:bookmarkStart w:id="66" w:name="_Toc15396624"/>
    </w:p>
    <w:p>
      <w:pPr>
        <w:pStyle w:val="3"/>
        <w:spacing w:before="0" w:after="0" w:line="560" w:lineRule="exact"/>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6"/>
    </w:p>
    <w:p>
      <w:pPr>
        <w:pStyle w:val="3"/>
        <w:spacing w:before="0" w:after="0" w:line="560" w:lineRule="exact"/>
        <w:rPr>
          <w:rFonts w:ascii="仿宋" w:hAnsi="仿宋" w:eastAsia="仿宋"/>
          <w:color w:val="000000"/>
        </w:rPr>
      </w:pPr>
      <w:bookmarkStart w:id="67"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7"/>
    </w:p>
    <w:p>
      <w:pPr>
        <w:pStyle w:val="3"/>
        <w:spacing w:before="0" w:after="0" w:line="560" w:lineRule="exact"/>
        <w:rPr>
          <w:rFonts w:ascii="仿宋" w:hAnsi="仿宋" w:eastAsia="仿宋"/>
          <w:color w:val="000000"/>
        </w:rPr>
      </w:pPr>
      <w:bookmarkStart w:id="68"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8"/>
    </w:p>
    <w:p>
      <w:pPr>
        <w:pStyle w:val="3"/>
        <w:spacing w:before="0" w:after="0" w:line="560" w:lineRule="exact"/>
        <w:rPr>
          <w:rFonts w:ascii="仿宋" w:hAnsi="仿宋" w:eastAsia="仿宋"/>
          <w:color w:val="000000"/>
        </w:rPr>
      </w:pPr>
      <w:bookmarkStart w:id="69"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9"/>
    </w:p>
    <w:p>
      <w:pPr>
        <w:pStyle w:val="3"/>
        <w:spacing w:before="0" w:after="0" w:line="560" w:lineRule="exact"/>
        <w:rPr>
          <w:rStyle w:val="25"/>
          <w:rFonts w:hint="eastAsia" w:ascii="仿宋" w:hAnsi="仿宋" w:eastAsia="仿宋"/>
          <w:b w:val="0"/>
          <w:bCs w:val="0"/>
        </w:rPr>
      </w:pPr>
      <w:bookmarkStart w:id="70"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0"/>
      <w:bookmarkStart w:id="71" w:name="_Toc15396629"/>
    </w:p>
    <w:p>
      <w:pPr>
        <w:pStyle w:val="3"/>
        <w:spacing w:before="0" w:after="0" w:line="560" w:lineRule="exact"/>
        <w:rPr>
          <w:rFonts w:ascii="仿宋" w:hAnsi="仿宋" w:eastAsia="仿宋"/>
          <w:color w:val="000000"/>
        </w:rPr>
      </w:pPr>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1"/>
    </w:p>
    <w:p>
      <w:pPr>
        <w:pStyle w:val="3"/>
        <w:spacing w:before="0" w:after="0" w:line="560" w:lineRule="exact"/>
        <w:rPr>
          <w:rStyle w:val="25"/>
          <w:rFonts w:hint="eastAsia" w:ascii="仿宋" w:hAnsi="仿宋" w:eastAsia="仿宋"/>
          <w:b w:val="0"/>
          <w:bCs w:val="0"/>
        </w:rPr>
      </w:pPr>
      <w:bookmarkStart w:id="72"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2"/>
      <w:bookmarkStart w:id="73" w:name="_Toc15396631"/>
    </w:p>
    <w:p>
      <w:pPr>
        <w:pStyle w:val="3"/>
        <w:spacing w:before="0" w:after="0" w:line="560" w:lineRule="exact"/>
        <w:rPr>
          <w:rStyle w:val="25"/>
          <w:rFonts w:ascii="仿宋" w:hAnsi="仿宋" w:eastAsia="仿宋"/>
          <w:b w:val="0"/>
          <w:bCs w:val="0"/>
        </w:rPr>
      </w:pPr>
      <w:r>
        <w:rPr>
          <w:rStyle w:val="25"/>
          <w:rFonts w:hint="eastAsia" w:ascii="仿宋" w:hAnsi="仿宋" w:eastAsia="仿宋"/>
          <w:b w:val="0"/>
          <w:bCs w:val="0"/>
        </w:rPr>
        <w:t>十三、</w:t>
      </w:r>
      <w:bookmarkEnd w:id="73"/>
      <w:r>
        <w:rPr>
          <w:rFonts w:hint="eastAsia" w:ascii="仿宋" w:hAnsi="仿宋" w:eastAsia="仿宋"/>
          <w:b w:val="0"/>
          <w:color w:val="000000"/>
        </w:rPr>
        <w:t>国</w:t>
      </w:r>
      <w:r>
        <w:rPr>
          <w:rStyle w:val="30"/>
          <w:rFonts w:hint="eastAsia" w:ascii="仿宋" w:hAnsi="仿宋" w:eastAsia="仿宋"/>
          <w:b w:val="0"/>
          <w:bCs w:val="0"/>
        </w:rPr>
        <w:t>有资本经营预算财政拨款收入支出决算表</w:t>
      </w:r>
    </w:p>
    <w:p>
      <w:pPr>
        <w:pStyle w:val="3"/>
        <w:spacing w:before="0" w:after="0" w:line="560" w:lineRule="exact"/>
        <w:rPr>
          <w:rStyle w:val="25"/>
          <w:rFonts w:ascii="仿宋" w:hAnsi="仿宋" w:eastAsia="仿宋"/>
          <w:b w:val="0"/>
          <w:bCs w:val="0"/>
        </w:rPr>
      </w:pPr>
      <w:r>
        <w:rPr>
          <w:rStyle w:val="25"/>
          <w:rFonts w:hint="eastAsia" w:ascii="仿宋" w:hAnsi="仿宋" w:eastAsia="仿宋"/>
          <w:b w:val="0"/>
          <w:bCs w:val="0"/>
        </w:rPr>
        <w:t>十四、</w:t>
      </w:r>
      <w:r>
        <w:rPr>
          <w:rFonts w:hint="eastAsia" w:ascii="仿宋" w:hAnsi="仿宋" w:eastAsia="仿宋"/>
          <w:b w:val="0"/>
          <w:color w:val="000000"/>
        </w:rPr>
        <w:t>国</w:t>
      </w:r>
      <w:r>
        <w:rPr>
          <w:rStyle w:val="30"/>
          <w:rFonts w:hint="eastAsia" w:ascii="仿宋" w:hAnsi="仿宋" w:eastAsia="仿宋"/>
          <w:b w:val="0"/>
          <w:bCs w:val="0"/>
        </w:rPr>
        <w:t>有资本经营预算财政拨款支出决算表</w:t>
      </w:r>
    </w:p>
    <w:p>
      <w:pPr>
        <w:spacing w:line="560" w:lineRule="exact"/>
        <w:rPr>
          <w:rStyle w:val="25"/>
          <w:rFonts w:ascii="仿宋" w:hAnsi="仿宋" w:eastAsia="仿宋"/>
          <w:b w:val="0"/>
          <w:bCs w:val="0"/>
        </w:rPr>
      </w:pPr>
      <w:r>
        <w:rPr>
          <w:rStyle w:val="25"/>
          <w:rFonts w:hint="eastAsia" w:ascii="仿宋" w:hAnsi="仿宋" w:eastAsia="仿宋"/>
          <w:b w:val="0"/>
          <w:bCs w:val="0"/>
        </w:rPr>
        <w:t>十五、机关运行经费、国有资产占用情况及政府采购支出信息表</w:t>
      </w:r>
    </w:p>
    <w:p>
      <w:pPr>
        <w:spacing w:line="560" w:lineRule="exact"/>
        <w:rPr>
          <w:rStyle w:val="25"/>
          <w:rFonts w:ascii="仿宋" w:hAnsi="仿宋" w:eastAsia="仿宋"/>
          <w:b w:val="0"/>
          <w:bCs w:val="0"/>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2</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7CA169"/>
    <w:multiLevelType w:val="singleLevel"/>
    <w:tmpl w:val="AE7CA169"/>
    <w:lvl w:ilvl="0" w:tentative="0">
      <w:start w:val="2"/>
      <w:numFmt w:val="chineseCounting"/>
      <w:suff w:val="space"/>
      <w:lvlText w:val="第%1部分"/>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3C8FC5"/>
    <w:multiLevelType w:val="singleLevel"/>
    <w:tmpl w:val="EC3C8FC5"/>
    <w:lvl w:ilvl="0" w:tentative="0">
      <w:start w:val="1"/>
      <w:numFmt w:val="decimal"/>
      <w:lvlText w:val="%1."/>
      <w:lvlJc w:val="left"/>
      <w:pPr>
        <w:tabs>
          <w:tab w:val="left" w:pos="312"/>
        </w:tabs>
      </w:pPr>
    </w:lvl>
  </w:abstractNum>
  <w:abstractNum w:abstractNumId="4">
    <w:nsid w:val="F982B7C8"/>
    <w:multiLevelType w:val="singleLevel"/>
    <w:tmpl w:val="F982B7C8"/>
    <w:lvl w:ilvl="0" w:tentative="0">
      <w:start w:val="1"/>
      <w:numFmt w:val="chineseCounting"/>
      <w:suff w:val="nothing"/>
      <w:lvlText w:val="（%1）"/>
      <w:lvlJc w:val="left"/>
      <w:rPr>
        <w:rFonts w:hint="eastAsia"/>
      </w:r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4"/>
  </w:num>
  <w:num w:numId="2">
    <w:abstractNumId w:val="0"/>
  </w:num>
  <w:num w:numId="3">
    <w:abstractNumId w:val="5"/>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jQ1NWQ1NjcxYjVhYWRjZGY5ODc4MmIxOTBiMzE2MzA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19B0"/>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16CD4"/>
    <w:rsid w:val="004223DE"/>
    <w:rsid w:val="00434489"/>
    <w:rsid w:val="00437085"/>
    <w:rsid w:val="00443880"/>
    <w:rsid w:val="004464F4"/>
    <w:rsid w:val="00471401"/>
    <w:rsid w:val="00473F31"/>
    <w:rsid w:val="0048263A"/>
    <w:rsid w:val="00487E5D"/>
    <w:rsid w:val="004A711F"/>
    <w:rsid w:val="004B199D"/>
    <w:rsid w:val="004B4690"/>
    <w:rsid w:val="004D282E"/>
    <w:rsid w:val="004E0A2D"/>
    <w:rsid w:val="004E206B"/>
    <w:rsid w:val="004E6DF7"/>
    <w:rsid w:val="004F0FBD"/>
    <w:rsid w:val="004F403E"/>
    <w:rsid w:val="00505A47"/>
    <w:rsid w:val="00512FDA"/>
    <w:rsid w:val="00520DA0"/>
    <w:rsid w:val="005664BB"/>
    <w:rsid w:val="00566FFA"/>
    <w:rsid w:val="0057481D"/>
    <w:rsid w:val="00575F0B"/>
    <w:rsid w:val="0058486E"/>
    <w:rsid w:val="00585B33"/>
    <w:rsid w:val="0059014D"/>
    <w:rsid w:val="005B5C64"/>
    <w:rsid w:val="005C6BD0"/>
    <w:rsid w:val="005C6C4C"/>
    <w:rsid w:val="005D1C8B"/>
    <w:rsid w:val="005D468D"/>
    <w:rsid w:val="005D5CED"/>
    <w:rsid w:val="005F1A4C"/>
    <w:rsid w:val="0060532F"/>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27533"/>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F1991"/>
    <w:rsid w:val="007F2C2F"/>
    <w:rsid w:val="007F55FC"/>
    <w:rsid w:val="007F5665"/>
    <w:rsid w:val="00800112"/>
    <w:rsid w:val="00813348"/>
    <w:rsid w:val="008253BB"/>
    <w:rsid w:val="00833962"/>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E98"/>
    <w:rsid w:val="009C37FB"/>
    <w:rsid w:val="009D3447"/>
    <w:rsid w:val="009D4711"/>
    <w:rsid w:val="009E4CA7"/>
    <w:rsid w:val="009F1185"/>
    <w:rsid w:val="009F18CD"/>
    <w:rsid w:val="009F2A13"/>
    <w:rsid w:val="009F7527"/>
    <w:rsid w:val="00A039ED"/>
    <w:rsid w:val="00A04EB0"/>
    <w:rsid w:val="00A13CC1"/>
    <w:rsid w:val="00A16847"/>
    <w:rsid w:val="00A237D8"/>
    <w:rsid w:val="00A268C4"/>
    <w:rsid w:val="00A307CD"/>
    <w:rsid w:val="00A331C8"/>
    <w:rsid w:val="00A35117"/>
    <w:rsid w:val="00A40A00"/>
    <w:rsid w:val="00A4142F"/>
    <w:rsid w:val="00A422EB"/>
    <w:rsid w:val="00A45BB7"/>
    <w:rsid w:val="00A5596E"/>
    <w:rsid w:val="00A56DF2"/>
    <w:rsid w:val="00A56E6E"/>
    <w:rsid w:val="00A67AB5"/>
    <w:rsid w:val="00A733B2"/>
    <w:rsid w:val="00A741C2"/>
    <w:rsid w:val="00A91760"/>
    <w:rsid w:val="00A93B00"/>
    <w:rsid w:val="00A93C21"/>
    <w:rsid w:val="00AB64C9"/>
    <w:rsid w:val="00AC3C6A"/>
    <w:rsid w:val="00AD0F83"/>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0E69"/>
    <w:rsid w:val="00C33E72"/>
    <w:rsid w:val="00C354B2"/>
    <w:rsid w:val="00C35554"/>
    <w:rsid w:val="00C42709"/>
    <w:rsid w:val="00C533CC"/>
    <w:rsid w:val="00C5751C"/>
    <w:rsid w:val="00C61BFC"/>
    <w:rsid w:val="00C62B85"/>
    <w:rsid w:val="00C65438"/>
    <w:rsid w:val="00C91CBB"/>
    <w:rsid w:val="00CB4E70"/>
    <w:rsid w:val="00CC09B6"/>
    <w:rsid w:val="00CC666F"/>
    <w:rsid w:val="00CD1E3F"/>
    <w:rsid w:val="00CE44F6"/>
    <w:rsid w:val="00CE49DA"/>
    <w:rsid w:val="00CE7B61"/>
    <w:rsid w:val="00CF271C"/>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66797"/>
    <w:rsid w:val="00E82267"/>
    <w:rsid w:val="00E853CE"/>
    <w:rsid w:val="00E867B6"/>
    <w:rsid w:val="00E87F08"/>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511E66"/>
    <w:rsid w:val="09240F7A"/>
    <w:rsid w:val="092B7DF5"/>
    <w:rsid w:val="09F36EE0"/>
    <w:rsid w:val="0C107553"/>
    <w:rsid w:val="0D4C67A1"/>
    <w:rsid w:val="10C055FF"/>
    <w:rsid w:val="11ED771B"/>
    <w:rsid w:val="14974D1C"/>
    <w:rsid w:val="16BB723D"/>
    <w:rsid w:val="1ACD32C2"/>
    <w:rsid w:val="1B845363"/>
    <w:rsid w:val="1D0A068C"/>
    <w:rsid w:val="20BA18FC"/>
    <w:rsid w:val="20DC2501"/>
    <w:rsid w:val="21155598"/>
    <w:rsid w:val="22A65C60"/>
    <w:rsid w:val="22F339B7"/>
    <w:rsid w:val="2389083E"/>
    <w:rsid w:val="240371BF"/>
    <w:rsid w:val="24C3662A"/>
    <w:rsid w:val="257D61FB"/>
    <w:rsid w:val="26B26B14"/>
    <w:rsid w:val="28D266D0"/>
    <w:rsid w:val="296D01D2"/>
    <w:rsid w:val="29FD04D3"/>
    <w:rsid w:val="2BB03927"/>
    <w:rsid w:val="2C365FEA"/>
    <w:rsid w:val="2C523B1B"/>
    <w:rsid w:val="318717BD"/>
    <w:rsid w:val="319F7F4E"/>
    <w:rsid w:val="354950D4"/>
    <w:rsid w:val="356A1152"/>
    <w:rsid w:val="35886A81"/>
    <w:rsid w:val="365B302B"/>
    <w:rsid w:val="3A72251E"/>
    <w:rsid w:val="3B2354F6"/>
    <w:rsid w:val="3C4E4E42"/>
    <w:rsid w:val="3CA309E9"/>
    <w:rsid w:val="3D870704"/>
    <w:rsid w:val="3F4B5A39"/>
    <w:rsid w:val="3F9C3C04"/>
    <w:rsid w:val="409C04F7"/>
    <w:rsid w:val="41E4551D"/>
    <w:rsid w:val="43491AB1"/>
    <w:rsid w:val="43E241D8"/>
    <w:rsid w:val="44D8223D"/>
    <w:rsid w:val="44F2335F"/>
    <w:rsid w:val="45CD0843"/>
    <w:rsid w:val="45D82B90"/>
    <w:rsid w:val="4715207B"/>
    <w:rsid w:val="483C65E2"/>
    <w:rsid w:val="48854C46"/>
    <w:rsid w:val="4A411A5E"/>
    <w:rsid w:val="4ACB5CD7"/>
    <w:rsid w:val="4E207162"/>
    <w:rsid w:val="4EAA5602"/>
    <w:rsid w:val="4ECE2238"/>
    <w:rsid w:val="5073237C"/>
    <w:rsid w:val="517576C7"/>
    <w:rsid w:val="531A0324"/>
    <w:rsid w:val="5348201B"/>
    <w:rsid w:val="556C3F93"/>
    <w:rsid w:val="595561FB"/>
    <w:rsid w:val="599B1F42"/>
    <w:rsid w:val="59FF7BAD"/>
    <w:rsid w:val="5A771CE1"/>
    <w:rsid w:val="5A791099"/>
    <w:rsid w:val="5BC840DC"/>
    <w:rsid w:val="5C1D559B"/>
    <w:rsid w:val="5D3F6C4F"/>
    <w:rsid w:val="5D966919"/>
    <w:rsid w:val="5DC40F10"/>
    <w:rsid w:val="5F35082F"/>
    <w:rsid w:val="61490CA6"/>
    <w:rsid w:val="65056C30"/>
    <w:rsid w:val="65E8324C"/>
    <w:rsid w:val="66363C6C"/>
    <w:rsid w:val="669C4337"/>
    <w:rsid w:val="67935497"/>
    <w:rsid w:val="68C82B6A"/>
    <w:rsid w:val="69EB6A0A"/>
    <w:rsid w:val="6ADA5C9D"/>
    <w:rsid w:val="6EE31EA1"/>
    <w:rsid w:val="700D4447"/>
    <w:rsid w:val="706F2B95"/>
    <w:rsid w:val="71F75B1C"/>
    <w:rsid w:val="72734D90"/>
    <w:rsid w:val="757F3C26"/>
    <w:rsid w:val="75C43A01"/>
    <w:rsid w:val="768E7D6A"/>
    <w:rsid w:val="77491969"/>
    <w:rsid w:val="781C3289"/>
    <w:rsid w:val="79983708"/>
    <w:rsid w:val="7AF3040E"/>
    <w:rsid w:val="7BB37091"/>
    <w:rsid w:val="7C334028"/>
    <w:rsid w:val="7C5241EA"/>
    <w:rsid w:val="7DDE1AE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0">
    <w:name w:val="标题 2 Char1"/>
    <w:basedOn w:val="13"/>
    <w:link w:val="3"/>
    <w:qFormat/>
    <w:locked/>
    <w:uiPriority w:val="9"/>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2" Type="http://schemas.openxmlformats.org/officeDocument/2006/relationships/themeOverride" Target="../theme/themeOverride2.xml"/><Relationship Id="rId1" Type="http://schemas.openxmlformats.org/officeDocument/2006/relationships/package" Target="../embeddings/Workbook3.xlsx"/></Relationships>
</file>

<file path=word/charts/_rels/chart3.xml.rels><?xml version="1.0" encoding="UTF-8" standalone="yes"?>
<Relationships xmlns="http://schemas.openxmlformats.org/package/2006/relationships"><Relationship Id="rId2" Type="http://schemas.openxmlformats.org/officeDocument/2006/relationships/themeOverride" Target="../theme/themeOverride4.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6.xlsx"/></Relationships>
</file>

<file path=word/charts/_rels/chart5.xml.rels><?xml version="1.0" encoding="UTF-8" standalone="yes"?>
<Relationships xmlns="http://schemas.openxmlformats.org/package/2006/relationships"><Relationship Id="rId2" Type="http://schemas.openxmlformats.org/officeDocument/2006/relationships/themeOverride" Target="../theme/themeOverride3.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2" Type="http://schemas.openxmlformats.org/officeDocument/2006/relationships/themeOverride" Target="../theme/themeOverride5.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279352226720648"/>
          <c:y val="0.242696629213483"/>
          <c:w val="0.940620782726046"/>
          <c:h val="0.597677902621723"/>
        </c:manualLayout>
      </c:layout>
      <c:barChart>
        <c:barDir val="col"/>
        <c:grouping val="clustered"/>
        <c:varyColors val="0"/>
        <c:ser>
          <c:idx val="0"/>
          <c:order val="0"/>
          <c:tx>
            <c:strRef>
              <c:f>Sheet1!$B$1</c:f>
              <c:strCache>
                <c:ptCount val="1"/>
                <c:pt idx="0">
                  <c:v>2021年</c:v>
                </c:pt>
              </c:strCache>
            </c:strRef>
          </c:tx>
          <c:spPr>
            <a:solidFill>
              <a:schemeClr val="accent1">
                <a:alpha val="85000"/>
              </a:schemeClr>
            </a:solidFill>
            <a:ln w="9525" cap="flat" cmpd="sng" algn="ctr">
              <a:solidFill>
                <a:schemeClr val="lt1">
                  <a:alpha val="50000"/>
                </a:schemeClr>
              </a:solidFill>
              <a:round/>
            </a:ln>
            <a:effectLst/>
          </c:spPr>
          <c:invertIfNegative val="0"/>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10065.43</a:t>
                    </a:r>
                    <a:endParaRPr lang="en-US" altLang="zh-CN"/>
                  </a:p>
                  <a:p>
                    <a:pPr defTabSz="914400">
                      <a:defRPr lang="zh-CN" sz="900" b="1" i="0" u="none" strike="noStrike" kern="1200" baseline="0">
                        <a:solidFill>
                          <a:schemeClr val="lt1"/>
                        </a:solidFill>
                        <a:latin typeface="+mn-lt"/>
                        <a:ea typeface="+mn-ea"/>
                        <a:cs typeface="+mn-cs"/>
                      </a:defRPr>
                    </a:pP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rPr lang="en-US" altLang="zh-CN"/>
                      <a:t>10065.43</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收入</c:v>
                </c:pt>
                <c:pt idx="1">
                  <c:v>支出</c:v>
                </c:pt>
              </c:strCache>
            </c:strRef>
          </c:cat>
          <c:val>
            <c:numRef>
              <c:f>Sheet1!$B$2:$B$3</c:f>
              <c:numCache>
                <c:formatCode>General</c:formatCode>
                <c:ptCount val="2"/>
                <c:pt idx="0">
                  <c:v>10065.43</c:v>
                </c:pt>
                <c:pt idx="1">
                  <c:v>10065.43</c:v>
                </c:pt>
              </c:numCache>
            </c:numRef>
          </c:val>
        </c:ser>
        <c:ser>
          <c:idx val="1"/>
          <c:order val="1"/>
          <c:tx>
            <c:strRef>
              <c:f>Sheet1!$C$1</c:f>
              <c:strCache>
                <c:ptCount val="1"/>
                <c:pt idx="0">
                  <c:v>2020年</c:v>
                </c:pt>
              </c:strCache>
            </c:strRef>
          </c:tx>
          <c:spPr>
            <a:solidFill>
              <a:schemeClr val="accent2">
                <a:alpha val="85000"/>
              </a:schemeClr>
            </a:solidFill>
            <a:ln w="9525" cap="flat" cmpd="sng" algn="ctr">
              <a:solidFill>
                <a:schemeClr val="lt1">
                  <a:alpha val="50000"/>
                </a:schemeClr>
              </a:solidFill>
              <a:round/>
            </a:ln>
            <a:effectLst/>
          </c:spPr>
          <c:invertIfNegative val="0"/>
          <c:dLbls>
            <c:dLbl>
              <c:idx val="0"/>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10081.81</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1" i="0" u="none" strike="noStrike" kern="1200" baseline="0">
                        <a:solidFill>
                          <a:schemeClr val="lt1"/>
                        </a:solidFill>
                        <a:latin typeface="+mn-lt"/>
                        <a:ea typeface="+mn-ea"/>
                        <a:cs typeface="+mn-cs"/>
                      </a:defRPr>
                    </a:pPr>
                    <a:r>
                      <a:t>10081.81</a:t>
                    </a:r>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收入</c:v>
                </c:pt>
                <c:pt idx="1">
                  <c:v>支出</c:v>
                </c:pt>
              </c:strCache>
            </c:strRef>
          </c:cat>
          <c:val>
            <c:numRef>
              <c:f>Sheet1!$C$2:$C$3</c:f>
              <c:numCache>
                <c:formatCode>General</c:formatCode>
                <c:ptCount val="2"/>
                <c:pt idx="0">
                  <c:v>10081.81</c:v>
                </c:pt>
                <c:pt idx="1">
                  <c:v>10081.81</c:v>
                </c:pt>
              </c:numCache>
            </c:numRef>
          </c:val>
        </c:ser>
        <c:ser>
          <c:idx val="2"/>
          <c:order val="2"/>
          <c:tx>
            <c:strRef>
              <c:f>Sheet1!$D$1</c:f>
              <c:strCache>
                <c:ptCount val="1"/>
                <c:pt idx="0">
                  <c:v>列1</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1" i="0" u="none" strike="noStrike" kern="1200" baseline="0">
                    <a:solidFill>
                      <a:schemeClr val="lt1"/>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a:solidFill>
                        <a:schemeClr val="dk1">
                          <a:lumMod val="50000"/>
                          <a:lumOff val="50000"/>
                        </a:schemeClr>
                      </a:solidFill>
                    </a:ln>
                    <a:effectLst/>
                  </c:spPr>
                </c15:leaderLines>
              </c:ext>
            </c:extLst>
          </c:dLbls>
          <c:cat>
            <c:strRef>
              <c:f>Sheet1!$A$2:$A$3</c:f>
              <c:strCache>
                <c:ptCount val="2"/>
                <c:pt idx="0">
                  <c:v>收入</c:v>
                </c:pt>
                <c:pt idx="1">
                  <c:v>支出</c:v>
                </c:pt>
              </c:strCache>
            </c:strRef>
          </c:cat>
          <c:val>
            <c:numRef>
              <c:f>Sheet1!$D$2:$D$3</c:f>
              <c:numCache>
                <c:formatCode>General</c:formatCode>
                <c:ptCount val="2"/>
              </c:numCache>
            </c:numRef>
          </c:val>
        </c:ser>
        <c:dLbls>
          <c:showLegendKey val="0"/>
          <c:showVal val="1"/>
          <c:showCatName val="0"/>
          <c:showSerName val="0"/>
          <c:showPercent val="0"/>
          <c:showBubbleSize val="0"/>
        </c:dLbls>
        <c:gapWidth val="65"/>
        <c:axId val="110485504"/>
        <c:axId val="110487040"/>
      </c:barChart>
      <c:catAx>
        <c:axId val="110485504"/>
        <c:scaling>
          <c:orientation val="minMax"/>
        </c:scaling>
        <c:delete val="0"/>
        <c:axPos val="b"/>
        <c:majorTickMark val="out"/>
        <c:minorTickMark val="none"/>
        <c:tickLblPos val="nextTo"/>
        <c:spPr>
          <a:noFill/>
          <a:ln w="19050" cap="flat" cmpd="sng" algn="ctr">
            <a:solidFill>
              <a:schemeClr val="dk1">
                <a:lumMod val="75000"/>
                <a:lumOff val="25000"/>
              </a:schemeClr>
            </a:solidFill>
            <a:round/>
          </a:ln>
          <a:effectLst/>
        </c:spPr>
        <c:txPr>
          <a:bodyPr rot="-60000000" spcFirstLastPara="0" vertOverflow="ellipsis" vert="horz" wrap="square" anchor="ctr" anchorCtr="1"/>
          <a:lstStyle/>
          <a:p>
            <a:pPr>
              <a:defRPr lang="zh-CN" sz="900" b="0" i="0" u="none" strike="noStrike" kern="1200" cap="all" baseline="0">
                <a:solidFill>
                  <a:schemeClr val="dk1">
                    <a:lumMod val="75000"/>
                    <a:lumOff val="25000"/>
                  </a:schemeClr>
                </a:solidFill>
                <a:latin typeface="+mn-lt"/>
                <a:ea typeface="+mn-ea"/>
                <a:cs typeface="+mn-cs"/>
              </a:defRPr>
            </a:pPr>
          </a:p>
        </c:txPr>
        <c:crossAx val="110487040"/>
        <c:crosses val="autoZero"/>
        <c:auto val="1"/>
        <c:lblAlgn val="ctr"/>
        <c:lblOffset val="100"/>
        <c:noMultiLvlLbl val="0"/>
      </c:catAx>
      <c:valAx>
        <c:axId val="110487040"/>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out"/>
        <c:minorTickMark val="none"/>
        <c:tickLblPos val="nextTo"/>
        <c:txPr>
          <a:bodyPr rot="-6000000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crossAx val="110485504"/>
        <c:crosses val="autoZero"/>
        <c:crossBetween val="between"/>
      </c:valAx>
      <c:spPr>
        <a:noFill/>
        <a:ln>
          <a:noFill/>
        </a:ln>
        <a:effectLst/>
      </c:spPr>
    </c:plotArea>
    <c:legend>
      <c:legendPos val="b"/>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资金总额（万元）</c:v>
                </c:pt>
              </c:strCache>
            </c:strRef>
          </c:tx>
          <c:spPr>
            <a:effectLst>
              <a:glow rad="139700">
                <a:srgbClr val="8064A2">
                  <a:satMod val="175000"/>
                  <a:alpha val="40000"/>
                </a:srgbClr>
              </a:glow>
              <a:innerShdw blurRad="63500" dist="50800" dir="13500000">
                <a:prstClr val="black">
                  <a:alpha val="50000"/>
                </a:prstClr>
              </a:innerShdw>
            </a:effectLst>
          </c:spPr>
          <c:explosion val="0"/>
          <c:dPt>
            <c:idx val="0"/>
            <c:bubble3D val="0"/>
            <c:spPr>
              <a:effectLst>
                <a:glow rad="139700">
                  <a:srgbClr val="8064A2">
                    <a:satMod val="175000"/>
                    <a:alpha val="40000"/>
                  </a:srgbClr>
                </a:glow>
                <a:innerShdw blurRad="63500" dist="50800" dir="13500000">
                  <a:prstClr val="black">
                    <a:alpha val="50000"/>
                  </a:prstClr>
                </a:innerShdw>
              </a:effectLst>
            </c:spPr>
          </c:dPt>
          <c:dPt>
            <c:idx val="1"/>
            <c:bubble3D val="0"/>
            <c:spPr>
              <a:effectLst>
                <a:glow rad="139700">
                  <a:srgbClr val="8064A2">
                    <a:satMod val="175000"/>
                    <a:alpha val="40000"/>
                  </a:srgbClr>
                </a:glow>
                <a:innerShdw blurRad="63500" dist="50800" dir="13500000">
                  <a:prstClr val="black">
                    <a:alpha val="50000"/>
                  </a:prstClr>
                </a:innerShdw>
              </a:effectLst>
            </c:spPr>
          </c:dPt>
          <c:dPt>
            <c:idx val="2"/>
            <c:bubble3D val="0"/>
            <c:spPr>
              <a:effectLst>
                <a:glow rad="139700">
                  <a:srgbClr val="8064A2">
                    <a:satMod val="175000"/>
                    <a:alpha val="40000"/>
                  </a:srgbClr>
                </a:glow>
                <a:innerShdw blurRad="63500" dist="50800" dir="13500000">
                  <a:prstClr val="black">
                    <a:alpha val="50000"/>
                  </a:prstClr>
                </a:innerShdw>
              </a:effectLst>
            </c:spPr>
          </c:dPt>
          <c:dLbls>
            <c:dLbl>
              <c:idx val="1"/>
              <c:layout>
                <c:manualLayout>
                  <c:x val="0.0274544261112223"/>
                  <c:y val="0.16141085705246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155038759689924"/>
                  <c:y val="0.04917043740573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一般公共预算财政拨款收入</c:v>
                </c:pt>
                <c:pt idx="1">
                  <c:v>政府性基金预算财政拨款收入</c:v>
                </c:pt>
              </c:strCache>
            </c:strRef>
          </c:cat>
          <c:val>
            <c:numRef>
              <c:f>Sheet1!$B$2:$B$4</c:f>
              <c:numCache>
                <c:formatCode>General</c:formatCode>
                <c:ptCount val="3"/>
                <c:pt idx="0">
                  <c:v>7295.59</c:v>
                </c:pt>
                <c:pt idx="1">
                  <c:v>2223.37</c:v>
                </c:pt>
              </c:numCache>
            </c:numRef>
          </c:val>
        </c:ser>
        <c:dLbls>
          <c:showLegendKey val="0"/>
          <c:showVal val="1"/>
          <c:showCatName val="0"/>
          <c:showSerName val="0"/>
          <c:showPercent val="0"/>
          <c:showBubbleSize val="0"/>
          <c:showLeaderLines val="1"/>
        </c:dLbls>
        <c:firstSliceAng val="0"/>
      </c:pieChart>
    </c:plotArea>
    <c:legend>
      <c:legendPos val="r"/>
      <c:legendEntry>
        <c:idx val="2"/>
        <c:delete val="1"/>
      </c:legendEntry>
      <c:layout>
        <c:manualLayout>
          <c:xMode val="edge"/>
          <c:yMode val="edge"/>
          <c:x val="0.656201550387597"/>
          <c:y val="0.31312217194570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资金总额（万元）</c:v>
                </c:pt>
              </c:strCache>
            </c:strRef>
          </c:tx>
          <c:explosion val="0"/>
          <c:dPt>
            <c:idx val="0"/>
            <c:bubble3D val="0"/>
          </c:dPt>
          <c:dPt>
            <c:idx val="1"/>
            <c:bubble3D val="0"/>
          </c:dPt>
          <c:dPt>
            <c:idx val="2"/>
            <c:bubble3D val="0"/>
          </c:dPt>
          <c:dPt>
            <c:idx val="3"/>
            <c:bubble3D val="0"/>
          </c:dPt>
          <c:dPt>
            <c:idx val="4"/>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5360.85</c:v>
                </c:pt>
                <c:pt idx="1">
                  <c:v>4704.58</c:v>
                </c:pt>
                <c:pt idx="2">
                  <c:v>0</c:v>
                </c:pt>
                <c:pt idx="3">
                  <c:v>0</c:v>
                </c:pt>
                <c:pt idx="4">
                  <c:v>0</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810700605462"/>
          <c:y val="0.0599891422366992"/>
          <c:w val="0.720499196836773"/>
          <c:h val="0.797774158523344"/>
        </c:manualLayout>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9518.96</a:t>
                    </a:r>
                    <a:endParaRPr lang="en-US" altLang="zh-CN"/>
                  </a:p>
                  <a:p>
                    <a:pPr defTabSz="914400">
                      <a:defRPr lang="zh-CN" sz="900" b="0" i="0" u="none" strike="noStrike" kern="1200" baseline="0">
                        <a:solidFill>
                          <a:schemeClr val="tx1">
                            <a:lumMod val="75000"/>
                            <a:lumOff val="25000"/>
                          </a:schemeClr>
                        </a:solidFill>
                        <a:latin typeface="+mn-lt"/>
                        <a:ea typeface="+mn-ea"/>
                        <a:cs typeface="+mn-cs"/>
                      </a:defRPr>
                    </a:pP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10065.43</a:t>
                    </a:r>
                    <a:endParaRPr lang="en-US" altLang="zh-CN"/>
                  </a:p>
                </c:rich>
              </c:tx>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Sheet1!$B$2:$B$3</c:f>
              <c:numCache>
                <c:formatCode>#,##0.00</c:formatCode>
                <c:ptCount val="2"/>
                <c:pt idx="0">
                  <c:v>9518.96</c:v>
                </c:pt>
                <c:pt idx="1">
                  <c:v>10065.43</c:v>
                </c:pt>
              </c:numCache>
            </c:numRef>
          </c:val>
        </c:ser>
        <c:ser>
          <c:idx val="1"/>
          <c:order val="1"/>
          <c:tx>
            <c:strRef>
              <c:f>Sheet1!$C$1</c:f>
              <c:strCache>
                <c:ptCount val="1"/>
                <c:pt idx="0">
                  <c:v>2020年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财政拨款收入</c:v>
                </c:pt>
                <c:pt idx="1">
                  <c:v>财政拨款支出</c:v>
                </c:pt>
              </c:strCache>
            </c:strRef>
          </c:cat>
          <c:val>
            <c:numRef>
              <c:f>Sheet1!$C$2:$C$3</c:f>
              <c:numCache>
                <c:formatCode>General</c:formatCode>
                <c:ptCount val="2"/>
                <c:pt idx="0">
                  <c:v>9492.61</c:v>
                </c:pt>
                <c:pt idx="1">
                  <c:v>9365.59</c:v>
                </c:pt>
              </c:numCache>
            </c:numRef>
          </c:val>
        </c:ser>
        <c:dLbls>
          <c:showLegendKey val="0"/>
          <c:showVal val="1"/>
          <c:showCatName val="0"/>
          <c:showSerName val="0"/>
          <c:showPercent val="0"/>
          <c:showBubbleSize val="0"/>
        </c:dLbls>
        <c:gapWidth val="219"/>
        <c:overlap val="-27"/>
        <c:axId val="111121536"/>
        <c:axId val="111123072"/>
      </c:barChart>
      <c:catAx>
        <c:axId val="111121536"/>
        <c:scaling>
          <c:orientation val="minMax"/>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123072"/>
        <c:crosses val="autoZero"/>
        <c:auto val="1"/>
        <c:lblAlgn val="ctr"/>
        <c:lblOffset val="100"/>
        <c:noMultiLvlLbl val="0"/>
      </c:catAx>
      <c:valAx>
        <c:axId val="111123072"/>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1112153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0928785158587672"/>
          <c:y val="0.0776801405975395"/>
          <c:w val="0.753321364452424"/>
          <c:h val="0.738137082601054"/>
        </c:manualLayout>
      </c:layout>
      <c:barChart>
        <c:barDir val="col"/>
        <c:grouping val="clustered"/>
        <c:varyColors val="0"/>
        <c:ser>
          <c:idx val="0"/>
          <c:order val="0"/>
          <c:tx>
            <c:strRef>
              <c:f>Sheet1!$B$1</c:f>
              <c:strCache>
                <c:ptCount val="1"/>
                <c:pt idx="0">
                  <c:v>2021年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7842.06</c:v>
                </c:pt>
              </c:numCache>
            </c:numRef>
          </c:val>
        </c:ser>
        <c:ser>
          <c:idx val="1"/>
          <c:order val="1"/>
          <c:tx>
            <c:strRef>
              <c:f>Sheet1!$C$1</c:f>
              <c:strCache>
                <c:ptCount val="1"/>
                <c:pt idx="0">
                  <c:v>2020年</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8576.84999999999</c:v>
                </c:pt>
              </c:numCache>
            </c:numRef>
          </c:val>
        </c:ser>
        <c:dLbls>
          <c:showLegendKey val="0"/>
          <c:showVal val="1"/>
          <c:showCatName val="0"/>
          <c:showSerName val="0"/>
          <c:showPercent val="0"/>
          <c:showBubbleSize val="0"/>
        </c:dLbls>
        <c:gapWidth val="150"/>
        <c:axId val="111566208"/>
        <c:axId val="111821952"/>
      </c:barChart>
      <c:catAx>
        <c:axId val="11156620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821952"/>
        <c:crosses val="autoZero"/>
        <c:auto val="1"/>
        <c:lblAlgn val="ctr"/>
        <c:lblOffset val="100"/>
        <c:noMultiLvlLbl val="0"/>
      </c:catAx>
      <c:valAx>
        <c:axId val="1118219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11566208"/>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221707677165354"/>
          <c:y val="0.255302806499261"/>
          <c:w val="0.323070866141732"/>
          <c:h val="0.646459871984244"/>
        </c:manualLayout>
      </c:layout>
      <c:pieChart>
        <c:varyColors val="1"/>
        <c:ser>
          <c:idx val="0"/>
          <c:order val="0"/>
          <c:tx>
            <c:strRef>
              <c:f>Sheet1!$B$1</c:f>
              <c:strCache>
                <c:ptCount val="1"/>
                <c:pt idx="0">
                  <c:v>资金总额（万元）</c:v>
                </c:pt>
              </c:strCache>
            </c:strRef>
          </c:tx>
          <c:explosion val="0"/>
          <c:dPt>
            <c:idx val="0"/>
            <c:bubble3D val="0"/>
          </c:dPt>
          <c:dPt>
            <c:idx val="1"/>
            <c:bubble3D val="0"/>
          </c:dPt>
          <c:dPt>
            <c:idx val="2"/>
            <c:bubble3D val="0"/>
          </c:dPt>
          <c:dPt>
            <c:idx val="3"/>
            <c:bubble3D val="0"/>
          </c:dPt>
          <c:dPt>
            <c:idx val="4"/>
            <c:bubble3D val="0"/>
          </c:dPt>
          <c:dLbls>
            <c:dLbl>
              <c:idx val="0"/>
              <c:layout>
                <c:manualLayout>
                  <c:x val="0.0726049816347814"/>
                  <c:y val="-0.021176011483664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525953289936794"/>
                  <c:y val="0.071217757001164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792120749077977"/>
                  <c:y val="0.0093841503250028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479587764078422"/>
                  <c:y val="-0.005388211549499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002060"/>
                      </a:solidFill>
                      <a:prstDash val="solid"/>
                      <a:round/>
                    </a:ln>
                  </c:spPr>
                </c15:leaderLines>
              </c:ext>
            </c:extLst>
          </c:dLbls>
          <c:cat>
            <c:strRef>
              <c:f>Sheet1!$A$2:$A$6</c:f>
              <c:strCache>
                <c:ptCount val="5"/>
                <c:pt idx="0">
                  <c:v>文化旅游体育与传媒支出</c:v>
                </c:pt>
                <c:pt idx="1">
                  <c:v>公共安全支出</c:v>
                </c:pt>
                <c:pt idx="2">
                  <c:v>社会保障和就业</c:v>
                </c:pt>
                <c:pt idx="3">
                  <c:v>卫生健康支出</c:v>
                </c:pt>
                <c:pt idx="4">
                  <c:v>住房保障支出</c:v>
                </c:pt>
              </c:strCache>
            </c:strRef>
          </c:cat>
          <c:val>
            <c:numRef>
              <c:f>Sheet1!$B$2:$B$6</c:f>
              <c:numCache>
                <c:formatCode>General</c:formatCode>
                <c:ptCount val="5"/>
                <c:pt idx="0">
                  <c:v>2.2</c:v>
                </c:pt>
                <c:pt idx="1">
                  <c:v>6715.42</c:v>
                </c:pt>
                <c:pt idx="2">
                  <c:v>417.12</c:v>
                </c:pt>
                <c:pt idx="3">
                  <c:v>460.62</c:v>
                </c:pt>
                <c:pt idx="4">
                  <c:v>410.08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资金总额(万元)</c:v>
                </c:pt>
              </c:strCache>
            </c:strRef>
          </c:tx>
          <c:explosion val="0"/>
          <c:dPt>
            <c:idx val="0"/>
            <c:bubble3D val="0"/>
          </c:dPt>
          <c:dPt>
            <c:idx val="1"/>
            <c:bubble3D val="0"/>
          </c:dPt>
          <c:dPt>
            <c:idx val="2"/>
            <c:bubble3D val="0"/>
          </c:dPt>
          <c:dLbls>
            <c:dLbl>
              <c:idx val="0"/>
              <c:layout>
                <c:manualLayout>
                  <c:x val="0.0566607907328129"/>
                  <c:y val="-0.0059582919563058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04683953738291"/>
                  <c:y val="0.02393420593481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226.23</c:v>
                </c:pt>
                <c:pt idx="2">
                  <c:v>1.58</c:v>
                </c:pt>
              </c:numCache>
            </c:numRef>
          </c:val>
        </c:ser>
        <c:dLbls>
          <c:showLegendKey val="0"/>
          <c:showVal val="1"/>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zero"/>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35</Pages>
  <Words>14002</Words>
  <Characters>3969</Characters>
  <Lines>33</Lines>
  <Paragraphs>35</Paragraphs>
  <TotalTime>40</TotalTime>
  <ScaleCrop>false</ScaleCrop>
  <LinksUpToDate>false</LinksUpToDate>
  <CharactersWithSpaces>17936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2020-08-04T01:49:00Z</dcterms:created>
  <dc:creator>曹颖</dc:creator>
  <cp:lastModifiedBy>Administrator</cp:lastModifiedBy>
  <cp:lastPrinted>2020-07-23T02:58:00Z</cp:lastPrinted>
  <dcterms:modified xsi:type="dcterms:W3CDTF">2023-10-26T05:37:42Z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5A9E4E3A217E4CA5B50969E6D64BD4B8_12</vt:lpwstr>
  </property>
</Properties>
</file>