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44"/>
          <w:szCs w:val="44"/>
        </w:rPr>
      </w:pPr>
      <w:r>
        <w:rPr>
          <w:rFonts w:hint="eastAsia" w:ascii="黑体" w:hAnsi="黑体" w:eastAsia="黑体"/>
          <w:sz w:val="44"/>
          <w:szCs w:val="44"/>
        </w:rPr>
        <w:t>2021年度</w:t>
      </w:r>
    </w:p>
    <w:p>
      <w:pPr>
        <w:jc w:val="center"/>
        <w:rPr>
          <w:rFonts w:ascii="黑体" w:hAnsi="黑体" w:eastAsia="黑体"/>
          <w:sz w:val="44"/>
          <w:szCs w:val="44"/>
        </w:rPr>
      </w:pPr>
      <w:r>
        <w:rPr>
          <w:rFonts w:hint="eastAsia" w:ascii="黑体" w:hAnsi="黑体" w:eastAsia="黑体"/>
          <w:sz w:val="44"/>
          <w:szCs w:val="44"/>
        </w:rPr>
        <w:t>米易县白坡彝族乡卫生院</w:t>
      </w:r>
      <w:r>
        <w:rPr>
          <w:rFonts w:hint="eastAsia" w:ascii="黑体" w:hAnsi="黑体" w:eastAsia="黑体"/>
          <w:sz w:val="44"/>
          <w:szCs w:val="44"/>
          <w:lang w:eastAsia="zh-CN"/>
        </w:rPr>
        <w:t>单位</w:t>
      </w:r>
      <w:r>
        <w:rPr>
          <w:rFonts w:hint="eastAsia" w:ascii="黑体" w:hAnsi="黑体" w:eastAsia="黑体"/>
          <w:sz w:val="44"/>
          <w:szCs w:val="44"/>
        </w:rPr>
        <w:t>决算</w:t>
      </w:r>
    </w:p>
    <w:p>
      <w:pPr>
        <w:jc w:val="center"/>
        <w:rPr>
          <w:rFonts w:ascii="黑体" w:hAnsi="黑体" w:eastAsia="黑体"/>
          <w:sz w:val="44"/>
          <w:szCs w:val="44"/>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widowControl/>
        <w:jc w:val="center"/>
        <w:rPr>
          <w:rFonts w:ascii="仿宋" w:hAnsi="仿宋" w:eastAsia="仿宋"/>
          <w:b/>
          <w:bCs/>
          <w:color w:val="000000"/>
          <w:sz w:val="44"/>
          <w:szCs w:val="44"/>
        </w:rPr>
      </w:pPr>
      <w:r>
        <w:rPr>
          <w:rFonts w:hint="eastAsia" w:ascii="仿宋" w:hAnsi="仿宋" w:eastAsia="仿宋"/>
          <w:b/>
          <w:bCs/>
          <w:color w:val="000000"/>
          <w:sz w:val="44"/>
          <w:szCs w:val="44"/>
        </w:rPr>
        <w:t>目录</w:t>
      </w:r>
    </w:p>
    <w:p>
      <w:pPr>
        <w:widowControl/>
        <w:jc w:val="center"/>
        <w:rPr>
          <w:rFonts w:ascii="仿宋" w:hAnsi="仿宋" w:eastAsia="仿宋"/>
          <w:b/>
          <w:bCs/>
          <w:color w:val="000000"/>
          <w:sz w:val="44"/>
          <w:szCs w:val="44"/>
        </w:rPr>
      </w:pPr>
    </w:p>
    <w:p>
      <w:pPr>
        <w:widowControl/>
        <w:jc w:val="center"/>
        <w:rPr>
          <w:rFonts w:ascii="仿宋" w:hAnsi="仿宋" w:eastAsia="仿宋"/>
          <w:b/>
          <w:bCs/>
          <w:color w:val="000000"/>
          <w:sz w:val="32"/>
          <w:szCs w:val="32"/>
        </w:rPr>
      </w:pPr>
      <w:r>
        <w:rPr>
          <w:rFonts w:hint="eastAsia" w:ascii="仿宋" w:hAnsi="仿宋" w:eastAsia="仿宋"/>
          <w:b/>
          <w:bCs/>
          <w:color w:val="000000"/>
          <w:sz w:val="32"/>
          <w:szCs w:val="32"/>
        </w:rPr>
        <w:t>公开时间：2022年10月27日</w:t>
      </w:r>
    </w:p>
    <w:p>
      <w:pPr>
        <w:widowControl/>
        <w:jc w:val="center"/>
        <w:rPr>
          <w:rFonts w:ascii="仿宋" w:hAnsi="仿宋" w:eastAsia="仿宋"/>
          <w:b/>
          <w:bCs/>
          <w:color w:val="000000"/>
          <w:sz w:val="32"/>
          <w:szCs w:val="32"/>
        </w:rPr>
      </w:pPr>
    </w:p>
    <w:p>
      <w:pPr>
        <w:widowControl/>
        <w:numPr>
          <w:ilvl w:val="0"/>
          <w:numId w:val="1"/>
        </w:numPr>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概况................................4</w:t>
      </w:r>
    </w:p>
    <w:p>
      <w:pPr>
        <w:widowControl/>
        <w:numPr>
          <w:ilvl w:val="0"/>
          <w:numId w:val="2"/>
        </w:numPr>
        <w:rPr>
          <w:rFonts w:ascii="仿宋" w:hAnsi="仿宋" w:eastAsia="仿宋"/>
          <w:color w:val="000000"/>
          <w:sz w:val="32"/>
          <w:szCs w:val="32"/>
        </w:rPr>
      </w:pPr>
      <w:r>
        <w:rPr>
          <w:rFonts w:hint="eastAsia" w:ascii="仿宋" w:hAnsi="仿宋" w:eastAsia="仿宋"/>
          <w:color w:val="000000"/>
          <w:sz w:val="32"/>
          <w:szCs w:val="32"/>
        </w:rPr>
        <w:t>基本职能及主要工作........................4</w:t>
      </w:r>
    </w:p>
    <w:p>
      <w:pPr>
        <w:widowControl/>
        <w:numPr>
          <w:ilvl w:val="0"/>
          <w:numId w:val="2"/>
        </w:numPr>
        <w:rPr>
          <w:rFonts w:ascii="仿宋" w:hAnsi="仿宋" w:eastAsia="仿宋"/>
          <w:color w:val="000000"/>
          <w:sz w:val="32"/>
          <w:szCs w:val="32"/>
        </w:rPr>
      </w:pPr>
      <w:r>
        <w:rPr>
          <w:rFonts w:hint="eastAsia" w:ascii="仿宋" w:hAnsi="仿宋" w:eastAsia="仿宋"/>
          <w:color w:val="000000"/>
          <w:sz w:val="32"/>
          <w:szCs w:val="32"/>
        </w:rPr>
        <w:t>机构设置.................................5</w:t>
      </w:r>
    </w:p>
    <w:p>
      <w:pPr>
        <w:widowControl/>
        <w:numPr>
          <w:ilvl w:val="0"/>
          <w:numId w:val="1"/>
        </w:numPr>
        <w:rPr>
          <w:rFonts w:ascii="仿宋" w:hAnsi="仿宋" w:eastAsia="仿宋"/>
          <w:color w:val="000000"/>
          <w:sz w:val="32"/>
          <w:szCs w:val="32"/>
        </w:rPr>
      </w:pPr>
      <w:r>
        <w:rPr>
          <w:rFonts w:hint="eastAsia" w:ascii="仿宋" w:hAnsi="仿宋" w:eastAsia="仿宋"/>
          <w:color w:val="000000"/>
          <w:sz w:val="32"/>
          <w:szCs w:val="32"/>
        </w:rPr>
        <w:t xml:space="preserve"> 2021年度</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决算情况说明...............6</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收入支出决算总体情况说明.................6</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收入决算情况说明.........................7</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支出决算情况说明..........................7</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财政拨款收入支出决算总体情况说明..........8</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一般公共预算财政拨款支出决算情况说明......9</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一般公共预算财政拨款基本支出决算情况说明.11</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“三公”经费财政拨款支出决算情况说明.....11</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政府性基金预算支出决算情况说明...........12</w:t>
      </w:r>
    </w:p>
    <w:p>
      <w:pPr>
        <w:widowControl/>
        <w:numPr>
          <w:ilvl w:val="0"/>
          <w:numId w:val="3"/>
        </w:numPr>
        <w:ind w:left="640"/>
        <w:rPr>
          <w:rFonts w:ascii="仿宋" w:hAnsi="仿宋" w:eastAsia="仿宋"/>
          <w:color w:val="000000"/>
          <w:sz w:val="32"/>
          <w:szCs w:val="32"/>
        </w:rPr>
      </w:pPr>
      <w:r>
        <w:rPr>
          <w:rFonts w:hint="eastAsia" w:ascii="仿宋" w:hAnsi="仿宋" w:eastAsia="仿宋"/>
          <w:color w:val="000000"/>
          <w:sz w:val="32"/>
          <w:szCs w:val="32"/>
        </w:rPr>
        <w:t>国有资本经营预算支出决算情况说明.........12</w:t>
      </w:r>
    </w:p>
    <w:p>
      <w:pPr>
        <w:widowControl/>
        <w:ind w:left="640"/>
        <w:rPr>
          <w:rFonts w:ascii="仿宋" w:hAnsi="仿宋" w:eastAsia="仿宋"/>
          <w:color w:val="000000"/>
          <w:sz w:val="32"/>
          <w:szCs w:val="32"/>
        </w:rPr>
      </w:pPr>
      <w:r>
        <w:rPr>
          <w:rFonts w:hint="eastAsia" w:ascii="仿宋" w:hAnsi="仿宋" w:eastAsia="仿宋"/>
          <w:color w:val="000000"/>
          <w:sz w:val="32"/>
          <w:szCs w:val="32"/>
        </w:rPr>
        <w:t>十、其他重要事项的情况说明...................12</w:t>
      </w:r>
    </w:p>
    <w:p>
      <w:pPr>
        <w:widowControl/>
        <w:numPr>
          <w:ilvl w:val="0"/>
          <w:numId w:val="1"/>
        </w:numPr>
        <w:rPr>
          <w:rFonts w:ascii="仿宋" w:hAnsi="仿宋" w:eastAsia="仿宋"/>
          <w:color w:val="000000"/>
          <w:sz w:val="32"/>
          <w:szCs w:val="32"/>
        </w:rPr>
      </w:pPr>
      <w:r>
        <w:rPr>
          <w:rFonts w:hint="eastAsia" w:ascii="仿宋" w:hAnsi="仿宋" w:eastAsia="仿宋"/>
          <w:color w:val="000000"/>
          <w:sz w:val="32"/>
          <w:szCs w:val="32"/>
        </w:rPr>
        <w:t xml:space="preserve"> 名词解释...............................14</w:t>
      </w:r>
    </w:p>
    <w:p>
      <w:pPr>
        <w:widowControl/>
        <w:numPr>
          <w:ilvl w:val="0"/>
          <w:numId w:val="1"/>
        </w:numPr>
        <w:rPr>
          <w:rFonts w:ascii="仿宋" w:hAnsi="仿宋" w:eastAsia="仿宋"/>
          <w:color w:val="000000"/>
          <w:sz w:val="32"/>
          <w:szCs w:val="32"/>
        </w:rPr>
      </w:pPr>
      <w:r>
        <w:rPr>
          <w:rFonts w:hint="eastAsia" w:ascii="仿宋" w:hAnsi="仿宋" w:eastAsia="仿宋"/>
          <w:color w:val="000000"/>
          <w:sz w:val="32"/>
          <w:szCs w:val="32"/>
        </w:rPr>
        <w:t xml:space="preserve"> 附件...................................16</w:t>
      </w:r>
    </w:p>
    <w:p>
      <w:pPr>
        <w:widowControl/>
        <w:rPr>
          <w:rFonts w:ascii="仿宋" w:hAnsi="仿宋" w:eastAsia="仿宋"/>
          <w:color w:val="000000"/>
          <w:sz w:val="32"/>
          <w:szCs w:val="32"/>
        </w:rPr>
      </w:pPr>
      <w:r>
        <w:rPr>
          <w:rFonts w:hint="eastAsia" w:ascii="仿宋" w:hAnsi="仿宋" w:eastAsia="仿宋"/>
          <w:color w:val="000000"/>
          <w:sz w:val="32"/>
          <w:szCs w:val="32"/>
        </w:rPr>
        <w:t xml:space="preserve">  </w:t>
      </w:r>
    </w:p>
    <w:p>
      <w:pPr>
        <w:widowControl/>
        <w:rPr>
          <w:rFonts w:ascii="仿宋" w:hAnsi="仿宋" w:eastAsia="仿宋"/>
          <w:color w:val="000000"/>
          <w:sz w:val="32"/>
          <w:szCs w:val="32"/>
        </w:rPr>
      </w:pPr>
      <w:r>
        <w:rPr>
          <w:rFonts w:hint="eastAsia" w:ascii="仿宋" w:hAnsi="仿宋" w:eastAsia="仿宋"/>
          <w:color w:val="000000"/>
          <w:sz w:val="32"/>
          <w:szCs w:val="32"/>
        </w:rPr>
        <w:t xml:space="preserve">  附件1</w:t>
      </w:r>
      <w:r>
        <w:rPr>
          <w:rFonts w:ascii="仿宋" w:hAnsi="仿宋" w:eastAsia="仿宋"/>
          <w:color w:val="000000"/>
          <w:sz w:val="32"/>
          <w:szCs w:val="32"/>
        </w:rPr>
        <w:t>米易县</w:t>
      </w:r>
      <w:r>
        <w:rPr>
          <w:rFonts w:hint="eastAsia" w:ascii="仿宋" w:hAnsi="仿宋" w:eastAsia="仿宋"/>
          <w:color w:val="000000"/>
          <w:sz w:val="32"/>
          <w:szCs w:val="32"/>
        </w:rPr>
        <w:t>白坡彝族乡</w:t>
      </w:r>
      <w:r>
        <w:rPr>
          <w:rFonts w:ascii="仿宋" w:hAnsi="仿宋" w:eastAsia="仿宋"/>
          <w:color w:val="000000"/>
          <w:sz w:val="32"/>
          <w:szCs w:val="32"/>
        </w:rPr>
        <w:t>卫生院</w:t>
      </w:r>
      <w:r>
        <w:rPr>
          <w:rFonts w:hint="eastAsia" w:ascii="仿宋" w:hAnsi="仿宋" w:eastAsia="仿宋"/>
          <w:color w:val="000000"/>
          <w:sz w:val="32"/>
          <w:szCs w:val="32"/>
        </w:rPr>
        <w:t>2021年</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 xml:space="preserve">整体支出绩效评价报告.......................................16 </w:t>
      </w:r>
    </w:p>
    <w:p>
      <w:pPr>
        <w:widowControl/>
        <w:numPr>
          <w:ilvl w:val="0"/>
          <w:numId w:val="1"/>
        </w:numPr>
        <w:rPr>
          <w:rFonts w:ascii="仿宋" w:hAnsi="仿宋" w:eastAsia="仿宋"/>
          <w:color w:val="000000"/>
          <w:sz w:val="32"/>
          <w:szCs w:val="32"/>
        </w:rPr>
      </w:pPr>
      <w:r>
        <w:rPr>
          <w:rFonts w:hint="eastAsia" w:ascii="仿宋" w:hAnsi="仿宋" w:eastAsia="仿宋"/>
          <w:color w:val="000000"/>
          <w:sz w:val="32"/>
          <w:szCs w:val="32"/>
        </w:rPr>
        <w:t>附表....................................21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收入支出决算总表.........................21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收入总表.................................21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支出总表.................................21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财政拨款收入支出决算总表.................21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财政拨款支出决算明细表（政府经济分类科目）.21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一般公共预算财政拨款支出决算表...........21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一般公共预算财政拨款支出决算明细表.......21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一般公共预算财政拨款基本支出决算表.......21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一般公共预算财政拨款项目支出决算表.......21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一般公共预算财政拨款“三公”经费支出决算表.21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政府性基金预算财政拨款收入支出决算表...21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政府性基金预算财政拨款“三公”经费支出决算表...........................................21</w:t>
      </w:r>
    </w:p>
    <w:p>
      <w:pPr>
        <w:widowControl/>
        <w:numPr>
          <w:ilvl w:val="0"/>
          <w:numId w:val="4"/>
        </w:numPr>
        <w:rPr>
          <w:rFonts w:ascii="仿宋" w:hAnsi="仿宋" w:eastAsia="仿宋"/>
          <w:color w:val="000000"/>
          <w:sz w:val="32"/>
          <w:szCs w:val="32"/>
        </w:rPr>
      </w:pPr>
      <w:r>
        <w:rPr>
          <w:rFonts w:hint="eastAsia" w:ascii="仿宋" w:hAnsi="仿宋" w:eastAsia="仿宋"/>
          <w:color w:val="000000"/>
          <w:sz w:val="32"/>
          <w:szCs w:val="32"/>
        </w:rPr>
        <w:t>国有资本经营预算财政拨款收入支出决算表...........................................21十四、国有资本经营预算财政拨款支出决算表......21</w:t>
      </w:r>
    </w:p>
    <w:p>
      <w:pPr>
        <w:widowControl/>
        <w:ind w:left="638" w:leftChars="304"/>
        <w:rPr>
          <w:rFonts w:ascii="仿宋" w:hAnsi="仿宋" w:eastAsia="仿宋" w:cs="仿宋"/>
          <w:sz w:val="32"/>
          <w:szCs w:val="32"/>
        </w:rPr>
      </w:pPr>
      <w:r>
        <w:rPr>
          <w:rFonts w:hint="eastAsia" w:ascii="仿宋" w:hAnsi="仿宋" w:eastAsia="仿宋" w:cs="仿宋"/>
          <w:sz w:val="32"/>
          <w:szCs w:val="32"/>
        </w:rPr>
        <w:t>十五、</w:t>
      </w:r>
      <w:r>
        <w:fldChar w:fldCharType="begin"/>
      </w:r>
      <w:r>
        <w:instrText xml:space="preserve"> HYPERLINK \l "_Toc15396631" </w:instrText>
      </w:r>
      <w:r>
        <w:fldChar w:fldCharType="separate"/>
      </w:r>
      <w:r>
        <w:rPr>
          <w:rFonts w:hint="eastAsia" w:ascii="仿宋" w:hAnsi="仿宋" w:eastAsia="仿宋" w:cs="仿宋"/>
          <w:color w:val="000000"/>
          <w:sz w:val="32"/>
          <w:szCs w:val="32"/>
        </w:rPr>
        <w:t>机关运行经费、资产占用情况及政府采购支出信息表</w:t>
      </w:r>
      <w:r>
        <w:rPr>
          <w:rFonts w:hint="eastAsia" w:ascii="仿宋" w:hAnsi="仿宋" w:eastAsia="仿宋" w:cs="仿宋"/>
          <w:color w:val="000000"/>
          <w:sz w:val="32"/>
          <w:szCs w:val="32"/>
        </w:rPr>
        <w:fldChar w:fldCharType="end"/>
      </w:r>
      <w:r>
        <w:rPr>
          <w:rFonts w:hint="eastAsia" w:ascii="仿宋" w:hAnsi="仿宋" w:eastAsia="仿宋" w:cs="仿宋"/>
          <w:sz w:val="32"/>
          <w:szCs w:val="32"/>
        </w:rPr>
        <w:t xml:space="preserve"> ........................................21</w:t>
      </w:r>
    </w:p>
    <w:p>
      <w:pPr>
        <w:widowControl/>
        <w:ind w:left="638" w:leftChars="304"/>
        <w:rPr>
          <w:rFonts w:ascii="仿宋" w:hAnsi="仿宋" w:eastAsia="仿宋" w:cs="仿宋"/>
          <w:sz w:val="32"/>
          <w:szCs w:val="32"/>
        </w:rPr>
      </w:pPr>
    </w:p>
    <w:p>
      <w:pPr>
        <w:ind w:firstLine="480" w:firstLineChars="150"/>
        <w:rPr>
          <w:rFonts w:ascii="仿宋" w:hAnsi="仿宋" w:eastAsia="仿宋"/>
          <w:color w:val="000000"/>
          <w:sz w:val="32"/>
          <w:szCs w:val="32"/>
        </w:rPr>
      </w:pPr>
    </w:p>
    <w:p>
      <w:pPr>
        <w:jc w:val="center"/>
        <w:rPr>
          <w:rFonts w:ascii="黑体" w:hAnsi="黑体" w:eastAsia="黑体"/>
          <w:sz w:val="44"/>
          <w:szCs w:val="44"/>
        </w:rPr>
      </w:pPr>
      <w:r>
        <w:rPr>
          <w:rFonts w:hint="eastAsia" w:ascii="黑体" w:hAnsi="黑体" w:eastAsia="黑体"/>
          <w:sz w:val="44"/>
          <w:szCs w:val="44"/>
        </w:rPr>
        <w:t xml:space="preserve">第一部分 </w:t>
      </w:r>
      <w:r>
        <w:rPr>
          <w:rFonts w:hint="eastAsia" w:ascii="黑体" w:hAnsi="黑体" w:eastAsia="黑体"/>
          <w:sz w:val="44"/>
          <w:szCs w:val="44"/>
          <w:lang w:eastAsia="zh-CN"/>
        </w:rPr>
        <w:t>单位</w:t>
      </w:r>
      <w:r>
        <w:rPr>
          <w:rFonts w:hint="eastAsia" w:ascii="黑体" w:hAnsi="黑体" w:eastAsia="黑体"/>
          <w:sz w:val="44"/>
          <w:szCs w:val="44"/>
        </w:rPr>
        <w:t>概况</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一、基本职能及主要工作</w:t>
      </w:r>
    </w:p>
    <w:p>
      <w:pPr>
        <w:ind w:firstLine="320" w:firstLineChars="100"/>
        <w:rPr>
          <w:rFonts w:ascii="仿宋" w:hAnsi="仿宋" w:eastAsia="仿宋"/>
          <w:sz w:val="32"/>
          <w:szCs w:val="32"/>
        </w:rPr>
      </w:pPr>
      <w:r>
        <w:rPr>
          <w:rFonts w:hint="eastAsia" w:ascii="仿宋" w:hAnsi="仿宋" w:eastAsia="仿宋"/>
          <w:sz w:val="32"/>
          <w:szCs w:val="32"/>
        </w:rPr>
        <w:t>（一）基本职能</w:t>
      </w:r>
    </w:p>
    <w:p>
      <w:pPr>
        <w:widowControl/>
        <w:shd w:val="clear" w:color="auto" w:fill="FFFFFF"/>
        <w:spacing w:line="580" w:lineRule="atLeast"/>
        <w:jc w:val="left"/>
        <w:rPr>
          <w:rFonts w:ascii="仿宋" w:hAnsi="仿宋" w:eastAsia="仿宋" w:cs="宋体"/>
          <w:color w:val="000000"/>
          <w:kern w:val="0"/>
          <w:sz w:val="32"/>
          <w:szCs w:val="32"/>
        </w:rPr>
      </w:pPr>
      <w:r>
        <w:rPr>
          <w:rFonts w:hint="eastAsia" w:ascii="仿宋" w:hAnsi="仿宋" w:eastAsia="仿宋"/>
          <w:bCs/>
          <w:sz w:val="32"/>
          <w:szCs w:val="32"/>
        </w:rPr>
        <w:t xml:space="preserve">   职能参照县政府批准的三定方案：</w:t>
      </w:r>
      <w:r>
        <w:rPr>
          <w:rFonts w:hint="eastAsia" w:ascii="仿宋" w:hAnsi="仿宋" w:eastAsia="仿宋" w:cs="宋体"/>
          <w:color w:val="333333"/>
          <w:kern w:val="0"/>
          <w:sz w:val="32"/>
          <w:szCs w:val="32"/>
        </w:rPr>
        <w:t>白坡卫生院是一所集医疗、预防保健、公共卫生服务、村级卫生组织监管为一体的综合性乡镇卫生院。</w:t>
      </w:r>
      <w:r>
        <w:rPr>
          <w:rFonts w:hint="eastAsia" w:ascii="仿宋" w:hAnsi="仿宋" w:eastAsia="仿宋" w:cs="宋体"/>
          <w:color w:val="000000"/>
          <w:kern w:val="0"/>
          <w:sz w:val="32"/>
          <w:szCs w:val="32"/>
        </w:rPr>
        <w:t>贯彻执行国家卫生工作方针、政策、法律、法规、标准和技术规范；为农村居民提供预防、医疗保健、康复、健康教育和计划生育技术服务等“六位一体”的服务。运用适宜的中医药、西医及中西医结合技术承担辖区居民常见病、多发病、慢性病的防治工作，承担重症患者急诊急救与转诊任务。定期开展健康教育及健康促进活动，举办讲座，发放健康教育宣传手册。开展妇幼保健工作。为辖区内居民建立健康档案，并对健康档案实行规范化、标准化的管理，对慢性非传染性疾病实行分类管理。做好辖区内学校卫生、食品卫生及医疗卫生市场的督导管理，做好村卫生室的监督和管理工作，完成居民医保相关工作，</w:t>
      </w:r>
      <w:r>
        <w:rPr>
          <w:rFonts w:hint="eastAsia" w:ascii="仿宋_GB2312" w:hAnsi="仿宋_GB2312" w:eastAsia="仿宋_GB2312" w:cs="仿宋_GB2312"/>
          <w:sz w:val="30"/>
          <w:szCs w:val="30"/>
        </w:rPr>
        <w:t>协助处理突发公共卫生事件等政府指令性任务</w:t>
      </w:r>
      <w:r>
        <w:rPr>
          <w:rFonts w:hint="eastAsia" w:ascii="仿宋" w:hAnsi="仿宋" w:eastAsia="仿宋" w:cs="宋体"/>
          <w:color w:val="000000"/>
          <w:kern w:val="0"/>
          <w:sz w:val="32"/>
          <w:szCs w:val="32"/>
        </w:rPr>
        <w:t>。</w:t>
      </w:r>
    </w:p>
    <w:p>
      <w:pPr>
        <w:widowControl/>
        <w:shd w:val="clear" w:color="auto" w:fill="FFFFFF"/>
        <w:spacing w:line="580" w:lineRule="atLeast"/>
        <w:jc w:val="left"/>
        <w:rPr>
          <w:rFonts w:ascii="仿宋_GB2312" w:hAnsi="宋体" w:eastAsia="仿宋_GB2312"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_GB2312" w:hAnsi="宋体" w:eastAsia="仿宋_GB2312" w:cs="宋体"/>
          <w:color w:val="333333"/>
          <w:kern w:val="0"/>
          <w:sz w:val="32"/>
          <w:szCs w:val="32"/>
        </w:rPr>
        <w:t>（二）完成的</w:t>
      </w:r>
      <w:r>
        <w:rPr>
          <w:rFonts w:hint="eastAsia" w:ascii="仿宋_GB2312" w:hAnsi="宋体" w:eastAsia="仿宋_GB2312" w:cs="宋体"/>
          <w:color w:val="000000"/>
          <w:kern w:val="0"/>
          <w:sz w:val="32"/>
          <w:szCs w:val="32"/>
        </w:rPr>
        <w:t>重点工作任务</w:t>
      </w:r>
    </w:p>
    <w:p>
      <w:pPr>
        <w:widowControl/>
        <w:shd w:val="clear" w:color="auto" w:fill="FFFFFF"/>
        <w:spacing w:line="580" w:lineRule="atLeast"/>
        <w:jc w:val="left"/>
        <w:rPr>
          <w:rFonts w:ascii="宋体" w:hAnsi="宋体" w:cs="宋体"/>
          <w:color w:val="333333"/>
          <w:kern w:val="0"/>
          <w:sz w:val="24"/>
        </w:rPr>
      </w:pPr>
      <w:r>
        <w:rPr>
          <w:rFonts w:hint="eastAsia" w:ascii="仿宋" w:hAnsi="仿宋" w:eastAsia="仿宋"/>
          <w:sz w:val="32"/>
          <w:szCs w:val="32"/>
        </w:rPr>
        <w:t xml:space="preserve">     </w:t>
      </w:r>
      <w:r>
        <w:rPr>
          <w:rFonts w:hint="eastAsia" w:ascii="仿宋_GB2312" w:hAnsi="宋体" w:eastAsia="仿宋_GB2312" w:cs="宋体"/>
          <w:color w:val="000000"/>
          <w:kern w:val="0"/>
          <w:sz w:val="32"/>
          <w:szCs w:val="32"/>
        </w:rPr>
        <w:t>1、积极做好卫生院十四项基本公共卫生服务工作。</w:t>
      </w:r>
    </w:p>
    <w:p>
      <w:pPr>
        <w:widowControl/>
        <w:shd w:val="clear" w:color="auto" w:fill="FFFFFF"/>
        <w:spacing w:line="580" w:lineRule="atLeast"/>
        <w:ind w:firstLine="640"/>
        <w:jc w:val="left"/>
        <w:rPr>
          <w:rFonts w:ascii="宋体" w:hAnsi="宋体" w:eastAsia="仿宋_GB2312" w:cs="宋体"/>
          <w:color w:val="333333"/>
          <w:kern w:val="0"/>
          <w:sz w:val="24"/>
        </w:rPr>
      </w:pPr>
      <w:r>
        <w:rPr>
          <w:rFonts w:hint="eastAsia" w:ascii="仿宋_GB2312" w:hAnsi="宋体" w:eastAsia="仿宋_GB2312" w:cs="宋体"/>
          <w:color w:val="000000"/>
          <w:kern w:val="0"/>
          <w:sz w:val="32"/>
          <w:szCs w:val="32"/>
        </w:rPr>
        <w:t xml:space="preserve"> 2、卫生体制改革有序推进，加强了行业作风建设，巩固完善了基本药物制度，提高了医疗质量管理工作，提升医疗服务水平，加强了医疗安全工作。</w:t>
      </w:r>
    </w:p>
    <w:p>
      <w:pPr>
        <w:widowControl/>
        <w:shd w:val="clear" w:color="auto" w:fill="FFFFFF"/>
        <w:spacing w:line="58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3、完成居民医保相关工作。</w:t>
      </w:r>
    </w:p>
    <w:p>
      <w:pPr>
        <w:widowControl/>
        <w:shd w:val="clear" w:color="auto" w:fill="FFFFFF"/>
        <w:spacing w:line="58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4、大力推进了中医药管理工作。</w:t>
      </w:r>
    </w:p>
    <w:p>
      <w:pPr>
        <w:widowControl/>
        <w:shd w:val="clear" w:color="auto" w:fill="FFFFFF"/>
        <w:spacing w:line="58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5、加强村卫生室的医疗及基本公共卫生工作的指导和监督管理。</w:t>
      </w:r>
    </w:p>
    <w:p>
      <w:pPr>
        <w:widowControl/>
        <w:shd w:val="clear" w:color="auto" w:fill="FFFFFF"/>
        <w:spacing w:line="580" w:lineRule="atLeas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6、认真完成上级下达的目标任务。 </w:t>
      </w:r>
    </w:p>
    <w:p>
      <w:pPr>
        <w:widowControl/>
        <w:shd w:val="clear" w:color="auto" w:fill="FFFFFF"/>
        <w:spacing w:line="580" w:lineRule="atLeast"/>
        <w:ind w:firstLine="640"/>
        <w:jc w:val="left"/>
        <w:rPr>
          <w:rFonts w:ascii="仿宋" w:hAnsi="仿宋" w:eastAsia="仿宋"/>
          <w:spacing w:val="-8"/>
          <w:sz w:val="32"/>
          <w:szCs w:val="32"/>
        </w:rPr>
      </w:pPr>
      <w:r>
        <w:rPr>
          <w:rFonts w:hint="eastAsia" w:ascii="仿宋_GB2312" w:hAnsi="宋体" w:eastAsia="仿宋_GB2312" w:cs="宋体"/>
          <w:color w:val="000000"/>
          <w:kern w:val="0"/>
          <w:sz w:val="32"/>
          <w:szCs w:val="32"/>
        </w:rPr>
        <w:t xml:space="preserve"> 7、</w:t>
      </w:r>
      <w:r>
        <w:rPr>
          <w:rFonts w:hint="eastAsia" w:ascii="仿宋" w:hAnsi="仿宋" w:eastAsia="仿宋"/>
          <w:spacing w:val="-8"/>
          <w:sz w:val="32"/>
          <w:szCs w:val="32"/>
        </w:rPr>
        <w:t>积极做好疫情防控工作。</w:t>
      </w:r>
    </w:p>
    <w:p>
      <w:pPr>
        <w:widowControl/>
        <w:shd w:val="clear" w:color="auto" w:fill="FFFFFF"/>
        <w:spacing w:line="580" w:lineRule="atLeast"/>
        <w:ind w:firstLine="640"/>
        <w:jc w:val="left"/>
        <w:rPr>
          <w:rFonts w:ascii="仿宋_GB2312" w:hAnsi="宋体" w:eastAsia="仿宋_GB2312" w:cs="宋体"/>
          <w:color w:val="000000"/>
          <w:kern w:val="0"/>
          <w:sz w:val="32"/>
          <w:szCs w:val="32"/>
        </w:rPr>
      </w:pPr>
    </w:p>
    <w:p>
      <w:pPr>
        <w:widowControl/>
        <w:shd w:val="clear" w:color="auto" w:fill="FFFFFF"/>
        <w:spacing w:line="580" w:lineRule="atLeast"/>
        <w:jc w:val="left"/>
        <w:rPr>
          <w:rFonts w:ascii="仿宋_GB2312" w:hAnsi="宋体" w:eastAsia="仿宋_GB2312" w:cs="宋体"/>
          <w:color w:val="000000"/>
          <w:kern w:val="0"/>
          <w:sz w:val="32"/>
          <w:szCs w:val="32"/>
        </w:rPr>
      </w:pPr>
      <w:r>
        <w:rPr>
          <w:rFonts w:hint="eastAsia" w:ascii="黑体" w:hAnsi="黑体" w:eastAsia="黑体"/>
          <w:sz w:val="32"/>
          <w:szCs w:val="32"/>
        </w:rPr>
        <w:t>二、机构设置</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米易县白坡彝族乡卫生院设 8 个内设机构：</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1、党支部</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2、工会</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3、办公室</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4、公共卫生科</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5、临床组</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6、药房组</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7、护理组</w:t>
      </w:r>
    </w:p>
    <w:p>
      <w:pPr>
        <w:widowControl/>
        <w:shd w:val="clear" w:color="auto" w:fill="FFFFFF"/>
        <w:spacing w:line="580"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8、医技组</w:t>
      </w:r>
    </w:p>
    <w:p>
      <w:pPr>
        <w:ind w:firstLine="640" w:firstLineChars="200"/>
        <w:rPr>
          <w:rFonts w:ascii="仿宋" w:hAnsi="仿宋" w:eastAsia="仿宋"/>
          <w:color w:val="FF0000"/>
          <w:sz w:val="32"/>
          <w:szCs w:val="32"/>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第二部分 2021年度</w:t>
      </w:r>
      <w:r>
        <w:rPr>
          <w:rFonts w:hint="eastAsia" w:ascii="黑体" w:hAnsi="黑体" w:eastAsia="黑体"/>
          <w:sz w:val="44"/>
          <w:szCs w:val="44"/>
          <w:lang w:eastAsia="zh-CN"/>
        </w:rPr>
        <w:t>单位</w:t>
      </w:r>
      <w:r>
        <w:rPr>
          <w:rFonts w:hint="eastAsia" w:ascii="黑体" w:hAnsi="黑体" w:eastAsia="黑体"/>
          <w:sz w:val="44"/>
          <w:szCs w:val="44"/>
        </w:rPr>
        <w:t>决算情况说明</w:t>
      </w:r>
    </w:p>
    <w:p>
      <w:pPr>
        <w:rPr>
          <w:rFonts w:ascii="黑体" w:hAnsi="黑体" w:eastAsia="黑体"/>
          <w:sz w:val="44"/>
          <w:szCs w:val="44"/>
        </w:rPr>
      </w:pPr>
    </w:p>
    <w:p>
      <w:pPr>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ascii="仿宋" w:hAnsi="仿宋" w:eastAsia="仿宋"/>
          <w:sz w:val="32"/>
          <w:szCs w:val="32"/>
        </w:rPr>
      </w:pPr>
      <w:r>
        <w:rPr>
          <w:rFonts w:hint="eastAsia" w:ascii="仿宋" w:hAnsi="仿宋" w:eastAsia="仿宋"/>
          <w:sz w:val="32"/>
          <w:szCs w:val="32"/>
        </w:rPr>
        <w:t>2021年米易县白坡彝族乡卫生院收入决算总额为508.54万元，含上年结余76.63万元。支出决算总额为508.54万元，含年末结转和结余0.18万元。</w:t>
      </w:r>
    </w:p>
    <w:p>
      <w:pPr>
        <w:ind w:firstLine="640" w:firstLineChars="200"/>
        <w:rPr>
          <w:rFonts w:ascii="仿宋" w:hAnsi="仿宋" w:eastAsia="仿宋"/>
          <w:sz w:val="32"/>
          <w:szCs w:val="32"/>
        </w:rPr>
      </w:pPr>
      <w:r>
        <w:rPr>
          <w:rFonts w:hint="eastAsia" w:ascii="仿宋" w:hAnsi="仿宋" w:eastAsia="仿宋"/>
          <w:sz w:val="32"/>
          <w:szCs w:val="32"/>
        </w:rPr>
        <w:t>2020年米易县白坡彝族乡卫生院收入决算总额为</w:t>
      </w:r>
      <w:r>
        <w:rPr>
          <w:rFonts w:ascii="仿宋" w:hAnsi="仿宋" w:eastAsia="仿宋"/>
          <w:sz w:val="32"/>
          <w:szCs w:val="32"/>
        </w:rPr>
        <w:t>562.64</w:t>
      </w:r>
      <w:r>
        <w:rPr>
          <w:rFonts w:hint="eastAsia" w:ascii="仿宋" w:hAnsi="仿宋" w:eastAsia="仿宋"/>
          <w:sz w:val="32"/>
          <w:szCs w:val="32"/>
        </w:rPr>
        <w:t>万元，含上年结余</w:t>
      </w:r>
      <w:r>
        <w:rPr>
          <w:rFonts w:ascii="仿宋" w:hAnsi="仿宋" w:eastAsia="仿宋"/>
          <w:sz w:val="32"/>
          <w:szCs w:val="32"/>
        </w:rPr>
        <w:t>37.84</w:t>
      </w:r>
      <w:r>
        <w:rPr>
          <w:rFonts w:hint="eastAsia" w:ascii="仿宋" w:hAnsi="仿宋" w:eastAsia="仿宋"/>
          <w:sz w:val="32"/>
          <w:szCs w:val="32"/>
        </w:rPr>
        <w:t>万元。支出决算总额为562.64万元，含年末结转和结余</w:t>
      </w:r>
      <w:r>
        <w:rPr>
          <w:rFonts w:ascii="仿宋" w:hAnsi="仿宋" w:eastAsia="仿宋"/>
          <w:sz w:val="32"/>
          <w:szCs w:val="32"/>
        </w:rPr>
        <w:t>47.83</w:t>
      </w:r>
      <w:r>
        <w:rPr>
          <w:rFonts w:hint="eastAsia" w:ascii="仿宋" w:hAnsi="仿宋" w:eastAsia="仿宋"/>
          <w:sz w:val="32"/>
          <w:szCs w:val="32"/>
        </w:rPr>
        <w:t>万元。</w:t>
      </w:r>
    </w:p>
    <w:p>
      <w:pPr>
        <w:ind w:firstLine="640" w:firstLineChars="200"/>
        <w:rPr>
          <w:rFonts w:ascii="仿宋" w:hAnsi="仿宋" w:eastAsia="仿宋" w:cs="仿宋"/>
          <w:sz w:val="32"/>
          <w:szCs w:val="32"/>
        </w:rPr>
      </w:pPr>
      <w:r>
        <w:rPr>
          <w:rFonts w:hint="eastAsia" w:ascii="仿宋" w:hAnsi="仿宋" w:eastAsia="仿宋"/>
          <w:sz w:val="32"/>
          <w:szCs w:val="32"/>
        </w:rPr>
        <w:t>2021年与2020年相比总收入减少54.1万元,下降9.62%。总支出减少54.1万元，下降9.62%。</w:t>
      </w:r>
      <w:r>
        <w:rPr>
          <w:rFonts w:hint="eastAsia" w:ascii="仿宋" w:hAnsi="仿宋" w:eastAsia="仿宋" w:cs="仿宋"/>
          <w:sz w:val="32"/>
          <w:szCs w:val="32"/>
        </w:rPr>
        <w:t>减少的原因为2021年事业收入、项目补助较上年有所减少，同时了大幅度减少了抗疫特别国债安排的基金的收支。</w:t>
      </w:r>
    </w:p>
    <w:p>
      <w:pPr>
        <w:ind w:firstLine="640" w:firstLineChars="200"/>
        <w:jc w:val="center"/>
        <w:rPr>
          <w:rFonts w:ascii="仿宋" w:hAnsi="仿宋" w:eastAsia="仿宋"/>
          <w:sz w:val="32"/>
          <w:szCs w:val="32"/>
        </w:rPr>
      </w:pPr>
      <w:r>
        <w:rPr>
          <w:rFonts w:ascii="仿宋" w:hAnsi="仿宋" w:eastAsia="仿宋" w:cs="仿宋"/>
          <w:sz w:val="32"/>
          <w:szCs w:val="32"/>
        </w:rPr>
        <w:drawing>
          <wp:inline distT="0" distB="0" distL="0" distR="0">
            <wp:extent cx="4780280" cy="3148330"/>
            <wp:effectExtent l="19050" t="0" r="20209"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ascii="仿宋" w:hAnsi="仿宋" w:eastAsia="仿宋"/>
          <w:sz w:val="32"/>
          <w:szCs w:val="32"/>
        </w:rPr>
        <w:t>（收、支决算总计变动情况图）</w:t>
      </w:r>
    </w:p>
    <w:p>
      <w:pPr>
        <w:rPr>
          <w:rFonts w:ascii="黑体" w:hAnsi="黑体" w:eastAsia="黑体"/>
          <w:sz w:val="32"/>
          <w:szCs w:val="32"/>
        </w:rPr>
      </w:pPr>
      <w:r>
        <w:rPr>
          <w:rFonts w:hint="eastAsia" w:ascii="仿宋" w:hAnsi="仿宋" w:eastAsia="仿宋"/>
          <w:color w:val="FF0000"/>
          <w:sz w:val="32"/>
          <w:szCs w:val="32"/>
        </w:rPr>
        <w:t xml:space="preserve"> </w:t>
      </w:r>
      <w:r>
        <w:rPr>
          <w:rFonts w:hint="eastAsia" w:ascii="黑体" w:hAnsi="黑体" w:eastAsia="黑体"/>
          <w:sz w:val="32"/>
          <w:szCs w:val="32"/>
        </w:rPr>
        <w:t>二、收入决算情况说明</w:t>
      </w:r>
    </w:p>
    <w:p>
      <w:pPr>
        <w:ind w:firstLine="640" w:firstLineChars="200"/>
        <w:jc w:val="left"/>
        <w:rPr>
          <w:rFonts w:ascii="仿宋" w:hAnsi="仿宋" w:eastAsia="仿宋"/>
          <w:sz w:val="32"/>
          <w:szCs w:val="32"/>
        </w:rPr>
      </w:pPr>
      <w:r>
        <w:rPr>
          <w:rFonts w:hint="eastAsia" w:ascii="仿宋" w:hAnsi="仿宋" w:eastAsia="仿宋"/>
          <w:sz w:val="32"/>
          <w:szCs w:val="32"/>
        </w:rPr>
        <w:t>2021年本年收入合计431.91万元，其中：一般公共预算财政拨款收入381.62万元，占88.36%；政府性基金预算财政拨款收入0万元，占0%；国有资本经营预算财政拨款收入0万元，占0%；事业收入39.81万元，占9.22%；经营收入0万元，占0%；附属单位上缴收入0万元，占0%；其他收入10.47万元，占2.42%。</w:t>
      </w:r>
    </w:p>
    <w:p>
      <w:pPr>
        <w:ind w:firstLine="640" w:firstLineChars="200"/>
        <w:jc w:val="left"/>
        <w:rPr>
          <w:rFonts w:ascii="仿宋" w:hAnsi="仿宋" w:eastAsia="仿宋"/>
          <w:sz w:val="32"/>
          <w:szCs w:val="32"/>
        </w:rPr>
      </w:pPr>
      <w:r>
        <w:rPr>
          <w:rFonts w:ascii="仿宋" w:hAnsi="仿宋" w:eastAsia="仿宋"/>
          <w:sz w:val="32"/>
          <w:szCs w:val="32"/>
        </w:rPr>
        <w:drawing>
          <wp:inline distT="0" distB="0" distL="0" distR="0">
            <wp:extent cx="5274310" cy="3043555"/>
            <wp:effectExtent l="19050" t="0" r="21590" b="4284"/>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
      <w:pPr>
        <w:rPr>
          <w:rFonts w:ascii="仿宋" w:hAnsi="仿宋" w:eastAsia="仿宋"/>
          <w:sz w:val="32"/>
          <w:szCs w:val="32"/>
        </w:rPr>
      </w:pPr>
      <w:r>
        <w:rPr>
          <w:rFonts w:hint="eastAsia" w:ascii="仿宋" w:hAnsi="仿宋" w:eastAsia="仿宋"/>
          <w:color w:val="FF0000"/>
          <w:sz w:val="32"/>
          <w:szCs w:val="32"/>
        </w:rPr>
        <w:t xml:space="preserve">                  </w:t>
      </w:r>
      <w:r>
        <w:rPr>
          <w:rFonts w:hint="eastAsia" w:ascii="仿宋" w:hAnsi="仿宋" w:eastAsia="仿宋"/>
          <w:sz w:val="32"/>
          <w:szCs w:val="32"/>
        </w:rPr>
        <w:t xml:space="preserve">   （收入决算结构图）</w:t>
      </w:r>
    </w:p>
    <w:p>
      <w:pPr>
        <w:rPr>
          <w:rFonts w:ascii="仿宋" w:hAnsi="仿宋" w:eastAsia="仿宋"/>
          <w:sz w:val="32"/>
          <w:szCs w:val="32"/>
        </w:rPr>
      </w:pPr>
      <w:r>
        <w:rPr>
          <w:rFonts w:hint="eastAsia" w:ascii="黑体" w:hAnsi="黑体" w:eastAsia="黑体"/>
          <w:sz w:val="32"/>
          <w:szCs w:val="32"/>
        </w:rPr>
        <w:t>三、支出决算情况说明</w:t>
      </w:r>
    </w:p>
    <w:p>
      <w:pPr>
        <w:ind w:firstLine="640" w:firstLineChars="200"/>
        <w:jc w:val="left"/>
        <w:rPr>
          <w:rFonts w:ascii="仿宋" w:hAnsi="仿宋" w:eastAsia="仿宋"/>
          <w:sz w:val="32"/>
          <w:szCs w:val="32"/>
        </w:rPr>
      </w:pPr>
      <w:r>
        <w:rPr>
          <w:rFonts w:hint="eastAsia" w:ascii="仿宋" w:hAnsi="仿宋" w:eastAsia="仿宋"/>
          <w:sz w:val="32"/>
          <w:szCs w:val="32"/>
        </w:rPr>
        <w:t>2021年本年支出合计</w:t>
      </w:r>
      <w:r>
        <w:rPr>
          <w:rFonts w:ascii="仿宋" w:hAnsi="仿宋" w:eastAsia="仿宋"/>
          <w:sz w:val="32"/>
          <w:szCs w:val="32"/>
        </w:rPr>
        <w:t>50</w:t>
      </w:r>
      <w:r>
        <w:rPr>
          <w:rFonts w:hint="eastAsia" w:ascii="仿宋" w:hAnsi="仿宋" w:eastAsia="仿宋"/>
          <w:sz w:val="32"/>
          <w:szCs w:val="32"/>
        </w:rPr>
        <w:t>8.36万元，其中：基本支出232.44万元，占45.72%；项目支出275.91万元，占54.28%；上缴上级支出0万元，占0%；经营支出0万元，占0%；对附属单位补助支出0万元，占0%。</w:t>
      </w:r>
    </w:p>
    <w:p>
      <w:pPr>
        <w:ind w:firstLine="640" w:firstLineChars="200"/>
        <w:jc w:val="left"/>
        <w:rPr>
          <w:rFonts w:ascii="仿宋" w:hAnsi="仿宋" w:eastAsia="仿宋"/>
          <w:sz w:val="32"/>
          <w:szCs w:val="32"/>
        </w:rPr>
      </w:pPr>
      <w:r>
        <w:rPr>
          <w:rFonts w:ascii="仿宋" w:hAnsi="仿宋" w:eastAsia="仿宋"/>
          <w:sz w:val="32"/>
          <w:szCs w:val="32"/>
        </w:rPr>
        <w:drawing>
          <wp:inline distT="0" distB="0" distL="0" distR="0">
            <wp:extent cx="3987800" cy="2106930"/>
            <wp:effectExtent l="19050" t="0" r="12093" b="7454"/>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ascii="仿宋" w:hAnsi="仿宋" w:eastAsia="仿宋"/>
          <w:sz w:val="32"/>
          <w:szCs w:val="32"/>
        </w:rPr>
      </w:pPr>
      <w:r>
        <w:rPr>
          <w:rFonts w:hint="eastAsia" w:ascii="仿宋" w:hAnsi="仿宋" w:eastAsia="仿宋"/>
          <w:color w:val="FF0000"/>
          <w:sz w:val="32"/>
          <w:szCs w:val="32"/>
        </w:rPr>
        <w:t xml:space="preserve">          </w:t>
      </w:r>
      <w:r>
        <w:rPr>
          <w:rFonts w:hint="eastAsia" w:ascii="仿宋" w:hAnsi="仿宋" w:eastAsia="仿宋"/>
          <w:sz w:val="32"/>
          <w:szCs w:val="32"/>
        </w:rPr>
        <w:t>（支出决算结构图）</w:t>
      </w:r>
    </w:p>
    <w:p>
      <w:pPr>
        <w:rPr>
          <w:rFonts w:ascii="仿宋" w:hAnsi="仿宋" w:eastAsia="仿宋"/>
          <w:sz w:val="32"/>
          <w:szCs w:val="32"/>
        </w:rPr>
      </w:pPr>
      <w:r>
        <w:rPr>
          <w:rFonts w:hint="eastAsia" w:ascii="黑体" w:hAnsi="黑体" w:eastAsia="黑体"/>
          <w:sz w:val="32"/>
          <w:szCs w:val="32"/>
        </w:rPr>
        <w:t>四、财政拨款收入支出决算总体情况说明</w:t>
      </w:r>
    </w:p>
    <w:p>
      <w:pPr>
        <w:ind w:firstLine="640" w:firstLineChars="200"/>
        <w:rPr>
          <w:rFonts w:ascii="仿宋" w:hAnsi="仿宋" w:eastAsia="仿宋"/>
          <w:sz w:val="32"/>
          <w:szCs w:val="32"/>
        </w:rPr>
      </w:pPr>
      <w:r>
        <w:rPr>
          <w:rFonts w:hint="eastAsia" w:ascii="仿宋" w:hAnsi="仿宋" w:eastAsia="仿宋"/>
          <w:sz w:val="32"/>
          <w:szCs w:val="32"/>
        </w:rPr>
        <w:t>2021年米易县白坡彝族乡卫生院当年财政拨款收入381.63万元，支出455.91万元。</w:t>
      </w:r>
    </w:p>
    <w:p>
      <w:pPr>
        <w:ind w:firstLine="640" w:firstLineChars="200"/>
        <w:rPr>
          <w:rFonts w:ascii="仿宋" w:hAnsi="仿宋" w:eastAsia="仿宋"/>
          <w:sz w:val="32"/>
          <w:szCs w:val="32"/>
        </w:rPr>
      </w:pPr>
      <w:r>
        <w:rPr>
          <w:rFonts w:hint="eastAsia" w:ascii="仿宋" w:hAnsi="仿宋" w:eastAsia="仿宋"/>
          <w:sz w:val="32"/>
          <w:szCs w:val="32"/>
        </w:rPr>
        <w:t>2020年米易县白坡彝族乡卫生院当年财政拨款收入</w:t>
      </w:r>
      <w:r>
        <w:rPr>
          <w:rFonts w:ascii="仿宋" w:hAnsi="仿宋" w:eastAsia="仿宋"/>
          <w:sz w:val="32"/>
          <w:szCs w:val="32"/>
        </w:rPr>
        <w:t>465.91</w:t>
      </w:r>
      <w:r>
        <w:rPr>
          <w:rFonts w:hint="eastAsia" w:ascii="仿宋" w:hAnsi="仿宋" w:eastAsia="仿宋"/>
          <w:sz w:val="32"/>
          <w:szCs w:val="32"/>
        </w:rPr>
        <w:t>万元，支出</w:t>
      </w:r>
      <w:r>
        <w:rPr>
          <w:rFonts w:ascii="仿宋" w:hAnsi="仿宋" w:eastAsia="仿宋"/>
          <w:sz w:val="32"/>
          <w:szCs w:val="32"/>
        </w:rPr>
        <w:t>455.89</w:t>
      </w:r>
      <w:r>
        <w:rPr>
          <w:rFonts w:hint="eastAsia" w:ascii="仿宋" w:hAnsi="仿宋" w:eastAsia="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sz w:val="32"/>
          <w:szCs w:val="32"/>
        </w:rPr>
        <w:t>2021年与2020年相比财政拨款收入减少84.28万元,下降18.09%。支出增加0.02万元，上升0%。</w:t>
      </w:r>
      <w:r>
        <w:rPr>
          <w:rFonts w:hint="eastAsia" w:ascii="仿宋_GB2312" w:hAnsi="仿宋_GB2312" w:eastAsia="仿宋_GB2312" w:cs="仿宋_GB2312"/>
          <w:sz w:val="32"/>
          <w:szCs w:val="32"/>
        </w:rPr>
        <w:t>收入减少的原因</w:t>
      </w:r>
      <w:r>
        <w:rPr>
          <w:rFonts w:hint="eastAsia" w:ascii="仿宋_GB2312" w:hAnsi="仿宋_GB2312" w:eastAsia="仿宋_GB2312" w:cs="仿宋_GB2312"/>
          <w:kern w:val="0"/>
          <w:sz w:val="32"/>
          <w:szCs w:val="32"/>
        </w:rPr>
        <w:t>主要</w:t>
      </w:r>
      <w:r>
        <w:rPr>
          <w:rFonts w:hint="eastAsia" w:ascii="仿宋" w:hAnsi="仿宋" w:eastAsia="仿宋" w:cs="仿宋"/>
          <w:sz w:val="32"/>
          <w:szCs w:val="32"/>
        </w:rPr>
        <w:t>为2021年项目补助减少，同时大幅度减少了抗疫特别国债安排的基金的收支。</w:t>
      </w:r>
    </w:p>
    <w:p>
      <w:pPr>
        <w:ind w:firstLine="640" w:firstLineChars="200"/>
        <w:jc w:val="left"/>
        <w:rPr>
          <w:rFonts w:ascii="仿宋" w:hAnsi="仿宋" w:eastAsia="仿宋" w:cs="仿宋"/>
          <w:sz w:val="32"/>
          <w:szCs w:val="32"/>
        </w:rPr>
      </w:pPr>
      <w:r>
        <w:rPr>
          <w:rFonts w:ascii="仿宋" w:hAnsi="仿宋" w:eastAsia="仿宋" w:cs="仿宋"/>
          <w:sz w:val="32"/>
          <w:szCs w:val="32"/>
        </w:rPr>
        <w:drawing>
          <wp:inline distT="0" distB="0" distL="0" distR="0">
            <wp:extent cx="4083685" cy="2130425"/>
            <wp:effectExtent l="19050" t="0" r="11927" b="265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ascii="仿宋" w:hAnsi="仿宋" w:eastAsia="仿宋"/>
          <w:sz w:val="32"/>
          <w:szCs w:val="32"/>
        </w:rPr>
      </w:pPr>
      <w:r>
        <w:rPr>
          <w:rFonts w:hint="eastAsia" w:ascii="仿宋" w:hAnsi="仿宋" w:eastAsia="仿宋"/>
          <w:sz w:val="32"/>
          <w:szCs w:val="32"/>
        </w:rPr>
        <w:t>（财政拨款收、支决算总计变动情况）</w:t>
      </w:r>
    </w:p>
    <w:p>
      <w:pPr>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仿宋" w:hAnsi="仿宋" w:eastAsia="仿宋"/>
          <w:sz w:val="32"/>
          <w:szCs w:val="32"/>
        </w:rPr>
      </w:pPr>
      <w:r>
        <w:rPr>
          <w:rFonts w:hint="eastAsia" w:ascii="仿宋" w:hAnsi="仿宋" w:eastAsia="仿宋"/>
          <w:sz w:val="32"/>
          <w:szCs w:val="32"/>
        </w:rPr>
        <w:t>（一）一般公共预算财政拨款支出决算总体情况</w:t>
      </w:r>
    </w:p>
    <w:p>
      <w:pPr>
        <w:ind w:firstLine="640" w:firstLineChars="200"/>
        <w:jc w:val="left"/>
        <w:rPr>
          <w:rFonts w:ascii="仿宋" w:hAnsi="仿宋" w:eastAsia="仿宋" w:cs="仿宋"/>
          <w:sz w:val="32"/>
          <w:szCs w:val="32"/>
        </w:rPr>
      </w:pPr>
      <w:r>
        <w:rPr>
          <w:rFonts w:hint="eastAsia" w:ascii="仿宋" w:hAnsi="仿宋" w:eastAsia="仿宋"/>
          <w:sz w:val="32"/>
          <w:szCs w:val="32"/>
        </w:rPr>
        <w:t>2021年一般公共预算财政拨款支出411.37万元，占本年财政拨款支出合计的90.21%。与2020年相比，一般公共预算财政拨款支出增加14.02万元，上升3.53%。主要变动原因是</w:t>
      </w:r>
      <w:r>
        <w:rPr>
          <w:rFonts w:hint="eastAsia" w:ascii="仿宋" w:hAnsi="仿宋" w:eastAsia="仿宋" w:cs="仿宋"/>
          <w:sz w:val="32"/>
          <w:szCs w:val="32"/>
        </w:rPr>
        <w:t>2021年人员经费较上年有所增加。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drawing>
          <wp:inline distT="0" distB="0" distL="0" distR="0">
            <wp:extent cx="4572000" cy="2743200"/>
            <wp:effectExtent l="19050" t="0" r="19050" b="0"/>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rPr>
      </w:pPr>
      <w:r>
        <w:rPr>
          <w:rFonts w:hint="eastAsia" w:ascii="仿宋" w:hAnsi="仿宋" w:eastAsia="仿宋"/>
          <w:sz w:val="32"/>
          <w:szCs w:val="32"/>
        </w:rPr>
        <w:t>（一般公共预算财政拨款支出决算变动情况）</w:t>
      </w:r>
    </w:p>
    <w:p>
      <w:pPr>
        <w:ind w:firstLine="320" w:firstLineChars="100"/>
        <w:rPr>
          <w:rFonts w:ascii="仿宋" w:hAnsi="仿宋" w:eastAsia="仿宋"/>
          <w:sz w:val="32"/>
          <w:szCs w:val="32"/>
        </w:rPr>
      </w:pPr>
      <w:r>
        <w:rPr>
          <w:rFonts w:hint="eastAsia" w:ascii="仿宋" w:hAnsi="仿宋" w:eastAsia="仿宋"/>
          <w:sz w:val="32"/>
          <w:szCs w:val="32"/>
        </w:rPr>
        <w:t>（二）一般公共预算财政拨款支出决算结构情况</w:t>
      </w:r>
    </w:p>
    <w:p>
      <w:pPr>
        <w:ind w:firstLine="640" w:firstLineChars="200"/>
        <w:jc w:val="left"/>
        <w:rPr>
          <w:rFonts w:ascii="仿宋" w:hAnsi="仿宋" w:eastAsia="仿宋"/>
          <w:sz w:val="32"/>
          <w:szCs w:val="32"/>
        </w:rPr>
      </w:pPr>
      <w:r>
        <w:rPr>
          <w:rFonts w:hint="eastAsia" w:ascii="仿宋" w:hAnsi="仿宋" w:eastAsia="仿宋"/>
          <w:sz w:val="32"/>
          <w:szCs w:val="32"/>
        </w:rPr>
        <w:t>2021年一般公共预算财政拨款支出411.37万元，主要用于以下方面:一般公共服务（类）支出0万元，占0%；教育支出（类）0万元，占0%；科学技术（类）支出0万元，占0%；社会保障和就业（类）支出23.29万元，占5.66%；卫生健康支出388.08万元，占94.34%；住房保障支出0万元，占0%。</w:t>
      </w:r>
    </w:p>
    <w:p>
      <w:pPr>
        <w:ind w:firstLine="640" w:firstLineChars="200"/>
        <w:jc w:val="left"/>
        <w:rPr>
          <w:rFonts w:ascii="仿宋" w:hAnsi="仿宋" w:eastAsia="仿宋"/>
          <w:sz w:val="32"/>
          <w:szCs w:val="32"/>
        </w:rPr>
      </w:pPr>
      <w:r>
        <w:rPr>
          <w:rFonts w:ascii="仿宋" w:hAnsi="仿宋" w:eastAsia="仿宋"/>
          <w:sz w:val="32"/>
          <w:szCs w:val="32"/>
        </w:rPr>
        <w:drawing>
          <wp:inline distT="0" distB="0" distL="0" distR="0">
            <wp:extent cx="4870450" cy="2527935"/>
            <wp:effectExtent l="19050" t="0" r="24847" b="5135"/>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1120" w:firstLineChars="350"/>
        <w:rPr>
          <w:rFonts w:ascii="仿宋" w:hAnsi="仿宋" w:eastAsia="仿宋"/>
          <w:sz w:val="32"/>
          <w:szCs w:val="32"/>
        </w:rPr>
      </w:pPr>
      <w:r>
        <w:rPr>
          <w:rFonts w:hint="eastAsia" w:ascii="仿宋" w:hAnsi="仿宋" w:eastAsia="仿宋"/>
          <w:sz w:val="32"/>
          <w:szCs w:val="32"/>
        </w:rPr>
        <w:t>（一般公共预算财政拨款支出决算结构）</w:t>
      </w:r>
    </w:p>
    <w:p>
      <w:pPr>
        <w:rPr>
          <w:rFonts w:ascii="仿宋" w:hAnsi="仿宋" w:eastAsia="仿宋"/>
          <w:sz w:val="32"/>
          <w:szCs w:val="32"/>
        </w:rPr>
      </w:pPr>
      <w:r>
        <w:rPr>
          <w:rFonts w:hint="eastAsia" w:ascii="仿宋" w:hAnsi="仿宋" w:eastAsia="仿宋"/>
          <w:sz w:val="32"/>
          <w:szCs w:val="32"/>
        </w:rPr>
        <w:t xml:space="preserve">  （三）一般公共预算财政拨款支出决算具体情况</w:t>
      </w:r>
    </w:p>
    <w:p>
      <w:pPr>
        <w:ind w:firstLine="640" w:firstLineChars="200"/>
        <w:rPr>
          <w:rFonts w:ascii="仿宋" w:hAnsi="仿宋" w:eastAsia="仿宋"/>
          <w:sz w:val="32"/>
          <w:szCs w:val="32"/>
        </w:rPr>
      </w:pPr>
      <w:r>
        <w:rPr>
          <w:rFonts w:hint="eastAsia" w:ascii="仿宋" w:hAnsi="仿宋" w:eastAsia="仿宋"/>
          <w:sz w:val="32"/>
          <w:szCs w:val="32"/>
        </w:rPr>
        <w:t>2021年一般公共预算支出决算数为411.37万元，完成预算100%。其中：</w:t>
      </w:r>
    </w:p>
    <w:p>
      <w:pPr>
        <w:ind w:firstLine="640" w:firstLineChars="200"/>
        <w:rPr>
          <w:rFonts w:ascii="仿宋" w:hAnsi="仿宋" w:eastAsia="仿宋"/>
          <w:sz w:val="32"/>
          <w:szCs w:val="32"/>
        </w:rPr>
      </w:pPr>
      <w:r>
        <w:rPr>
          <w:rFonts w:hint="eastAsia" w:ascii="仿宋" w:hAnsi="仿宋" w:eastAsia="仿宋"/>
          <w:sz w:val="32"/>
          <w:szCs w:val="32"/>
        </w:rPr>
        <w:t>1.一般公共服务:支出决算为0万元，完成预算0%。</w:t>
      </w:r>
    </w:p>
    <w:p>
      <w:pPr>
        <w:ind w:firstLine="640" w:firstLineChars="200"/>
        <w:rPr>
          <w:rFonts w:ascii="仿宋" w:hAnsi="仿宋" w:eastAsia="仿宋"/>
          <w:sz w:val="32"/>
          <w:szCs w:val="32"/>
        </w:rPr>
      </w:pPr>
      <w:r>
        <w:rPr>
          <w:rFonts w:hint="eastAsia" w:ascii="仿宋" w:hAnsi="仿宋" w:eastAsia="仿宋"/>
          <w:sz w:val="32"/>
          <w:szCs w:val="32"/>
        </w:rPr>
        <w:t>2.教育: 支出决算为0万元，完成预算0%。</w:t>
      </w:r>
    </w:p>
    <w:p>
      <w:pPr>
        <w:ind w:firstLine="640" w:firstLineChars="200"/>
        <w:rPr>
          <w:rFonts w:ascii="仿宋" w:hAnsi="仿宋" w:eastAsia="仿宋"/>
          <w:sz w:val="32"/>
          <w:szCs w:val="32"/>
        </w:rPr>
      </w:pPr>
      <w:r>
        <w:rPr>
          <w:rFonts w:hint="eastAsia" w:ascii="仿宋" w:hAnsi="仿宋" w:eastAsia="仿宋"/>
          <w:sz w:val="32"/>
          <w:szCs w:val="32"/>
        </w:rPr>
        <w:t>3.科学技术: 支出决算为0万元，完成预算0%。</w:t>
      </w:r>
    </w:p>
    <w:p>
      <w:pPr>
        <w:ind w:firstLine="640" w:firstLineChars="200"/>
        <w:rPr>
          <w:rFonts w:ascii="仿宋" w:hAnsi="仿宋" w:eastAsia="仿宋"/>
          <w:sz w:val="32"/>
          <w:szCs w:val="32"/>
        </w:rPr>
      </w:pPr>
      <w:r>
        <w:rPr>
          <w:rFonts w:hint="eastAsia" w:ascii="仿宋" w:hAnsi="仿宋" w:eastAsia="仿宋"/>
          <w:sz w:val="32"/>
          <w:szCs w:val="32"/>
        </w:rPr>
        <w:t>4.文化旅游体育与传媒: 支出决算为0万元，完成预算0%。</w:t>
      </w:r>
    </w:p>
    <w:p>
      <w:pPr>
        <w:ind w:firstLine="640" w:firstLineChars="200"/>
        <w:rPr>
          <w:rFonts w:ascii="仿宋" w:hAnsi="仿宋" w:eastAsia="仿宋"/>
          <w:sz w:val="32"/>
          <w:szCs w:val="32"/>
        </w:rPr>
      </w:pPr>
      <w:r>
        <w:rPr>
          <w:rFonts w:hint="eastAsia" w:ascii="仿宋" w:hAnsi="仿宋" w:eastAsia="仿宋"/>
          <w:sz w:val="32"/>
          <w:szCs w:val="32"/>
        </w:rPr>
        <w:t>5.社会保障和就业: 支出决算为23.29万元，完成预算100%，其中：机关事业单位基本养老保险缴费支出15.78万元，事业单位离退休7.51万元。决算数等于预算数，主要原因是费用支出严格按预算执行。</w:t>
      </w:r>
    </w:p>
    <w:p>
      <w:pPr>
        <w:ind w:firstLine="640" w:firstLineChars="200"/>
        <w:rPr>
          <w:rFonts w:ascii="仿宋" w:hAnsi="仿宋" w:eastAsia="仿宋"/>
          <w:sz w:val="32"/>
          <w:szCs w:val="32"/>
        </w:rPr>
      </w:pPr>
      <w:r>
        <w:rPr>
          <w:rFonts w:hint="eastAsia" w:ascii="仿宋" w:hAnsi="仿宋" w:eastAsia="仿宋"/>
          <w:sz w:val="32"/>
          <w:szCs w:val="32"/>
        </w:rPr>
        <w:t>6.卫生健康:支出决算为388.08万元，完成预算100%，其中：乡镇卫生院152.77万元，其他基层医疗卫生机构支出24.44万元，基本公共卫生服务73.94万元，重大公共卫生专项2.04万元，其他公共卫生支出0.45万元，事业单位医疗支出9.05万元，公务员医疗补助支出</w:t>
      </w:r>
      <w:r>
        <w:rPr>
          <w:rFonts w:ascii="仿宋" w:hAnsi="仿宋" w:eastAsia="仿宋"/>
          <w:sz w:val="32"/>
          <w:szCs w:val="32"/>
        </w:rPr>
        <w:t>1.2</w:t>
      </w:r>
      <w:r>
        <w:rPr>
          <w:rFonts w:hint="eastAsia" w:ascii="仿宋" w:hAnsi="仿宋" w:eastAsia="仿宋"/>
          <w:sz w:val="32"/>
          <w:szCs w:val="32"/>
        </w:rPr>
        <w:t>0万元，其他卫生健康支出124.19万元。</w:t>
      </w:r>
    </w:p>
    <w:p>
      <w:pPr>
        <w:rPr>
          <w:rFonts w:ascii="黑体" w:hAnsi="黑体" w:eastAsia="黑体"/>
          <w:sz w:val="32"/>
          <w:szCs w:val="32"/>
        </w:rPr>
      </w:pPr>
      <w:r>
        <w:rPr>
          <w:rFonts w:hint="eastAsia" w:ascii="黑体" w:hAnsi="黑体" w:eastAsia="黑体"/>
          <w:sz w:val="32"/>
          <w:szCs w:val="32"/>
        </w:rPr>
        <w:t>六、一般公共预算财政拨款基本支出决算情况说明</w:t>
      </w:r>
      <w:r>
        <w:rPr>
          <w:rFonts w:hint="eastAsia" w:ascii="黑体" w:hAnsi="黑体" w:eastAsia="黑体"/>
          <w:sz w:val="32"/>
          <w:szCs w:val="32"/>
        </w:rPr>
        <w:tab/>
      </w:r>
    </w:p>
    <w:p>
      <w:pPr>
        <w:ind w:firstLine="640" w:firstLineChars="200"/>
        <w:rPr>
          <w:rFonts w:ascii="仿宋" w:hAnsi="仿宋" w:eastAsia="仿宋"/>
          <w:sz w:val="32"/>
          <w:szCs w:val="32"/>
        </w:rPr>
      </w:pPr>
      <w:r>
        <w:rPr>
          <w:rFonts w:hint="eastAsia" w:ascii="仿宋" w:hAnsi="仿宋" w:eastAsia="仿宋"/>
          <w:sz w:val="32"/>
          <w:szCs w:val="32"/>
        </w:rPr>
        <w:t>2021年一般公共预算财政拨款基本支出186.32万元，其中：</w:t>
      </w:r>
    </w:p>
    <w:p>
      <w:pPr>
        <w:ind w:firstLine="640" w:firstLineChars="200"/>
        <w:rPr>
          <w:rFonts w:ascii="仿宋" w:hAnsi="仿宋" w:eastAsia="仿宋"/>
          <w:sz w:val="32"/>
          <w:szCs w:val="32"/>
        </w:rPr>
      </w:pPr>
      <w:r>
        <w:rPr>
          <w:rFonts w:hint="eastAsia" w:ascii="仿宋" w:hAnsi="仿宋" w:eastAsia="仿宋"/>
          <w:sz w:val="32"/>
          <w:szCs w:val="32"/>
        </w:rPr>
        <w:t>人员经费184.3万元，主要包括：基本工资45.98万元，津贴补贴42.64万元，奖金</w:t>
      </w:r>
      <w:r>
        <w:rPr>
          <w:rFonts w:ascii="仿宋" w:hAnsi="仿宋" w:eastAsia="仿宋"/>
          <w:sz w:val="32"/>
          <w:szCs w:val="32"/>
        </w:rPr>
        <w:t>0.</w:t>
      </w:r>
      <w:r>
        <w:rPr>
          <w:rFonts w:hint="eastAsia" w:ascii="仿宋" w:hAnsi="仿宋" w:eastAsia="仿宋"/>
          <w:sz w:val="32"/>
          <w:szCs w:val="32"/>
        </w:rPr>
        <w:t>45万元,绩效工资50.88万元，机关事业单位基本养老保险费15.78万元，职工基本医疗保险缴费9.05万元，公务员医疗补助缴费</w:t>
      </w:r>
      <w:r>
        <w:rPr>
          <w:rFonts w:ascii="仿宋" w:hAnsi="仿宋" w:eastAsia="仿宋"/>
          <w:sz w:val="32"/>
          <w:szCs w:val="32"/>
        </w:rPr>
        <w:t>1.2</w:t>
      </w:r>
      <w:r>
        <w:rPr>
          <w:rFonts w:hint="eastAsia" w:ascii="仿宋" w:hAnsi="仿宋" w:eastAsia="仿宋"/>
          <w:sz w:val="32"/>
          <w:szCs w:val="32"/>
        </w:rPr>
        <w:t>0万元，其他社会保障缴费</w:t>
      </w:r>
      <w:r>
        <w:rPr>
          <w:rFonts w:ascii="仿宋" w:hAnsi="仿宋" w:eastAsia="仿宋"/>
          <w:sz w:val="32"/>
          <w:szCs w:val="32"/>
        </w:rPr>
        <w:t>2.0</w:t>
      </w:r>
      <w:r>
        <w:rPr>
          <w:rFonts w:hint="eastAsia" w:ascii="仿宋" w:hAnsi="仿宋" w:eastAsia="仿宋"/>
          <w:sz w:val="32"/>
          <w:szCs w:val="32"/>
        </w:rPr>
        <w:t>5万元，其他工资福利支出7.87万元，生活补助8.25万元，医疗费补助</w:t>
      </w:r>
      <w:r>
        <w:rPr>
          <w:rFonts w:ascii="仿宋" w:hAnsi="仿宋" w:eastAsia="仿宋"/>
          <w:sz w:val="32"/>
          <w:szCs w:val="32"/>
        </w:rPr>
        <w:t>0.16</w:t>
      </w:r>
      <w:r>
        <w:rPr>
          <w:rFonts w:hint="eastAsia" w:ascii="仿宋" w:hAnsi="仿宋" w:eastAsia="仿宋"/>
          <w:sz w:val="32"/>
          <w:szCs w:val="32"/>
        </w:rPr>
        <w:t>万元。</w:t>
      </w:r>
    </w:p>
    <w:p>
      <w:pPr>
        <w:ind w:firstLine="640" w:firstLineChars="200"/>
        <w:rPr>
          <w:rFonts w:ascii="仿宋" w:hAnsi="仿宋" w:eastAsia="仿宋"/>
          <w:sz w:val="32"/>
          <w:szCs w:val="32"/>
        </w:rPr>
      </w:pPr>
      <w:r>
        <w:rPr>
          <w:rFonts w:hint="eastAsia" w:ascii="仿宋" w:hAnsi="仿宋" w:eastAsia="仿宋"/>
          <w:sz w:val="32"/>
          <w:szCs w:val="32"/>
        </w:rPr>
        <w:t>公用经费2.01万元,主要包括:</w:t>
      </w:r>
      <w:r>
        <w:rPr>
          <w:rFonts w:hint="eastAsia"/>
        </w:rPr>
        <w:t xml:space="preserve"> </w:t>
      </w:r>
      <w:r>
        <w:rPr>
          <w:rFonts w:hint="eastAsia" w:ascii="仿宋" w:hAnsi="仿宋" w:eastAsia="仿宋"/>
          <w:sz w:val="32"/>
          <w:szCs w:val="32"/>
        </w:rPr>
        <w:t>办公费</w:t>
      </w:r>
      <w:r>
        <w:rPr>
          <w:rFonts w:ascii="仿宋" w:hAnsi="仿宋" w:eastAsia="仿宋"/>
          <w:sz w:val="32"/>
          <w:szCs w:val="32"/>
        </w:rPr>
        <w:t>0.</w:t>
      </w:r>
      <w:r>
        <w:rPr>
          <w:rFonts w:hint="eastAsia" w:ascii="仿宋" w:hAnsi="仿宋" w:eastAsia="仿宋"/>
          <w:sz w:val="32"/>
          <w:szCs w:val="32"/>
        </w:rPr>
        <w:t>17万元，差旅费</w:t>
      </w:r>
      <w:r>
        <w:rPr>
          <w:rFonts w:ascii="仿宋" w:hAnsi="仿宋" w:eastAsia="仿宋"/>
          <w:sz w:val="32"/>
          <w:szCs w:val="32"/>
        </w:rPr>
        <w:t>0.</w:t>
      </w:r>
      <w:r>
        <w:rPr>
          <w:rFonts w:hint="eastAsia" w:ascii="仿宋" w:hAnsi="仿宋" w:eastAsia="仿宋"/>
          <w:sz w:val="32"/>
          <w:szCs w:val="32"/>
        </w:rPr>
        <w:t>06万元，专用材料费</w:t>
      </w:r>
      <w:r>
        <w:rPr>
          <w:rFonts w:ascii="仿宋" w:hAnsi="仿宋" w:eastAsia="仿宋"/>
          <w:sz w:val="32"/>
          <w:szCs w:val="32"/>
        </w:rPr>
        <w:t>0.</w:t>
      </w:r>
      <w:r>
        <w:rPr>
          <w:rFonts w:hint="eastAsia" w:ascii="仿宋" w:hAnsi="仿宋" w:eastAsia="仿宋"/>
          <w:sz w:val="32"/>
          <w:szCs w:val="32"/>
        </w:rPr>
        <w:t>11万元，福利费</w:t>
      </w:r>
      <w:r>
        <w:rPr>
          <w:rFonts w:ascii="仿宋" w:hAnsi="仿宋" w:eastAsia="仿宋"/>
          <w:sz w:val="32"/>
          <w:szCs w:val="32"/>
        </w:rPr>
        <w:t>1.</w:t>
      </w:r>
      <w:r>
        <w:rPr>
          <w:rFonts w:hint="eastAsia" w:ascii="仿宋" w:hAnsi="仿宋" w:eastAsia="仿宋"/>
          <w:sz w:val="32"/>
          <w:szCs w:val="32"/>
        </w:rPr>
        <w:t>57万元。</w:t>
      </w:r>
    </w:p>
    <w:p>
      <w:pPr>
        <w:rPr>
          <w:rFonts w:ascii="黑体" w:hAnsi="黑体" w:eastAsia="黑体"/>
          <w:sz w:val="32"/>
          <w:szCs w:val="32"/>
        </w:rPr>
      </w:pPr>
      <w:r>
        <w:rPr>
          <w:rFonts w:hint="eastAsia" w:ascii="黑体" w:hAnsi="黑体" w:eastAsia="黑体"/>
          <w:sz w:val="32"/>
          <w:szCs w:val="32"/>
        </w:rPr>
        <w:t>七、“三公”经费财政拨款支出决算情况说明</w:t>
      </w:r>
    </w:p>
    <w:p>
      <w:pPr>
        <w:ind w:firstLine="320" w:firstLineChars="100"/>
        <w:rPr>
          <w:rFonts w:ascii="仿宋" w:hAnsi="仿宋" w:eastAsia="仿宋"/>
          <w:sz w:val="32"/>
          <w:szCs w:val="32"/>
        </w:rPr>
      </w:pPr>
      <w:r>
        <w:rPr>
          <w:rFonts w:hint="eastAsia" w:ascii="仿宋" w:hAnsi="仿宋" w:eastAsia="仿宋"/>
          <w:sz w:val="32"/>
          <w:szCs w:val="32"/>
        </w:rPr>
        <w:t>（一）“三公”经费财政拨款支出决算总体情况说明</w:t>
      </w:r>
    </w:p>
    <w:p>
      <w:pPr>
        <w:ind w:firstLine="640" w:firstLineChars="200"/>
        <w:rPr>
          <w:rFonts w:ascii="仿宋" w:hAnsi="仿宋" w:eastAsia="仿宋"/>
          <w:sz w:val="32"/>
          <w:szCs w:val="32"/>
        </w:rPr>
      </w:pPr>
      <w:r>
        <w:rPr>
          <w:rFonts w:hint="eastAsia" w:ascii="仿宋" w:hAnsi="仿宋" w:eastAsia="仿宋"/>
          <w:sz w:val="32"/>
          <w:szCs w:val="32"/>
        </w:rPr>
        <w:t>2021年“三公”经费财政拨款支出决算为0万元，完成预算0%，决算数与预算数一致，主要原因是乡镇卫生院年初无“三公”经费预算，在严格控制“三公”经费支出的前提下，按决算数核定预算数。</w:t>
      </w:r>
    </w:p>
    <w:p>
      <w:pPr>
        <w:ind w:firstLine="320" w:firstLineChars="100"/>
        <w:rPr>
          <w:rFonts w:ascii="仿宋" w:hAnsi="仿宋" w:eastAsia="仿宋"/>
          <w:sz w:val="32"/>
          <w:szCs w:val="32"/>
        </w:rPr>
      </w:pPr>
      <w:r>
        <w:rPr>
          <w:rFonts w:hint="eastAsia" w:ascii="仿宋" w:hAnsi="仿宋" w:eastAsia="仿宋"/>
          <w:sz w:val="32"/>
          <w:szCs w:val="32"/>
        </w:rPr>
        <w:t>（二）“三公”经费财政拨款支出决算具体情况说明</w:t>
      </w:r>
    </w:p>
    <w:p>
      <w:pPr>
        <w:ind w:firstLine="640" w:firstLineChars="200"/>
        <w:rPr>
          <w:rFonts w:ascii="仿宋" w:hAnsi="仿宋" w:eastAsia="仿宋"/>
          <w:sz w:val="32"/>
          <w:szCs w:val="32"/>
        </w:rPr>
      </w:pPr>
      <w:r>
        <w:rPr>
          <w:rFonts w:hint="eastAsia" w:ascii="仿宋" w:hAnsi="仿宋" w:eastAsia="仿宋"/>
          <w:sz w:val="32"/>
          <w:szCs w:val="32"/>
        </w:rPr>
        <w:t>2021年“三公”经费财政拨款支出决算中，因公出国（境）费支出决算0万元，占0%；公务用车购置及运行维护费支出决算0万元，占0%；公务接待费支出0万元，占0%。</w:t>
      </w:r>
    </w:p>
    <w:p>
      <w:pPr>
        <w:ind w:firstLine="640" w:firstLineChars="200"/>
        <w:rPr>
          <w:rFonts w:ascii="仿宋" w:hAnsi="仿宋" w:eastAsia="仿宋"/>
          <w:sz w:val="32"/>
          <w:szCs w:val="32"/>
        </w:rPr>
      </w:pPr>
      <w:r>
        <w:rPr>
          <w:rFonts w:hint="eastAsia" w:ascii="仿宋" w:hAnsi="仿宋" w:eastAsia="仿宋"/>
          <w:sz w:val="32"/>
          <w:szCs w:val="32"/>
        </w:rPr>
        <w:t>具体情况如下：</w:t>
      </w:r>
    </w:p>
    <w:p>
      <w:pPr>
        <w:ind w:firstLine="640" w:firstLineChars="200"/>
        <w:rPr>
          <w:rFonts w:ascii="仿宋" w:hAnsi="仿宋" w:eastAsia="仿宋"/>
          <w:sz w:val="32"/>
          <w:szCs w:val="32"/>
        </w:rPr>
      </w:pPr>
      <w:r>
        <w:rPr>
          <w:rFonts w:hint="eastAsia" w:ascii="仿宋" w:hAnsi="仿宋" w:eastAsia="仿宋"/>
          <w:sz w:val="32"/>
          <w:szCs w:val="32"/>
        </w:rPr>
        <w:t>1.因公出国（境）经费支出0万元，完成预算0%。全年安排因公出国（境）团组0次，出国（境）0人。2021年、2020年均无因公出国（境）经费支出。</w:t>
      </w:r>
    </w:p>
    <w:p>
      <w:pPr>
        <w:ind w:firstLine="640" w:firstLineChars="200"/>
        <w:rPr>
          <w:rFonts w:hint="eastAsia" w:ascii="仿宋_GB2312" w:hAnsi="新宋体" w:eastAsia="仿宋_GB2312"/>
          <w:sz w:val="32"/>
          <w:szCs w:val="32"/>
        </w:rPr>
      </w:pPr>
      <w:r>
        <w:rPr>
          <w:rFonts w:hint="eastAsia" w:ascii="仿宋" w:hAnsi="仿宋" w:eastAsia="仿宋"/>
          <w:sz w:val="32"/>
          <w:szCs w:val="32"/>
        </w:rPr>
        <w:t>2.公务用车购置及运行维护费支出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hint="eastAsia" w:ascii="仿宋" w:hAnsi="仿宋" w:eastAsia="仿宋"/>
          <w:sz w:val="32"/>
          <w:szCs w:val="32"/>
        </w:rPr>
        <w:t>%。比2020年公务用车购置及运行维护费支出</w:t>
      </w:r>
      <w:r>
        <w:rPr>
          <w:rFonts w:hint="eastAsia" w:ascii="仿宋" w:hAnsi="仿宋" w:eastAsia="仿宋"/>
          <w:sz w:val="32"/>
          <w:szCs w:val="32"/>
          <w:lang w:val="en-US" w:eastAsia="zh-CN"/>
        </w:rPr>
        <w:t>1.91</w:t>
      </w:r>
      <w:r>
        <w:rPr>
          <w:rFonts w:hint="eastAsia" w:ascii="仿宋" w:hAnsi="仿宋" w:eastAsia="仿宋"/>
          <w:sz w:val="32"/>
          <w:szCs w:val="32"/>
        </w:rPr>
        <w:t>万元，</w:t>
      </w:r>
      <w:r>
        <w:rPr>
          <w:rFonts w:hint="eastAsia" w:ascii="仿宋" w:hAnsi="仿宋" w:eastAsia="仿宋"/>
          <w:sz w:val="32"/>
          <w:szCs w:val="32"/>
          <w:lang w:val="en-US" w:eastAsia="zh-CN"/>
        </w:rPr>
        <w:t>减少1.91</w:t>
      </w:r>
      <w:r>
        <w:rPr>
          <w:rFonts w:hint="eastAsia" w:ascii="仿宋" w:hAnsi="仿宋" w:eastAsia="仿宋"/>
          <w:sz w:val="32"/>
          <w:szCs w:val="32"/>
        </w:rPr>
        <w:t>万元，</w:t>
      </w:r>
      <w:r>
        <w:rPr>
          <w:rFonts w:hint="eastAsia" w:ascii="仿宋_GB2312" w:hAnsi="新宋体" w:eastAsia="仿宋_GB2312"/>
          <w:sz w:val="32"/>
          <w:szCs w:val="32"/>
        </w:rPr>
        <w:t>减少100%</w:t>
      </w:r>
      <w:r>
        <w:rPr>
          <w:rFonts w:hint="eastAsia" w:ascii="仿宋_GB2312" w:hAnsi="新宋体" w:eastAsia="仿宋_GB2312" w:cs="Times New Roman"/>
          <w:sz w:val="32"/>
          <w:szCs w:val="32"/>
          <w:lang w:eastAsia="zh-CN"/>
        </w:rPr>
        <w:t>。</w:t>
      </w:r>
      <w:r>
        <w:rPr>
          <w:rFonts w:hint="eastAsia" w:ascii="仿宋_GB2312" w:hAnsi="新宋体" w:eastAsia="仿宋_GB2312" w:cs="Times New Roman"/>
          <w:sz w:val="32"/>
          <w:szCs w:val="32"/>
          <w:lang w:val="en-US" w:eastAsia="zh-CN"/>
        </w:rPr>
        <w:t>主要原因是</w:t>
      </w:r>
      <w:r>
        <w:rPr>
          <w:rFonts w:hint="eastAsia" w:ascii="仿宋_GB2312" w:hAnsi="新宋体" w:eastAsia="仿宋_GB2312" w:cs="Times New Roman"/>
          <w:sz w:val="32"/>
          <w:szCs w:val="32"/>
        </w:rPr>
        <w:t>本年未使用财政资金列支公务用车运行维护费</w:t>
      </w:r>
      <w:r>
        <w:rPr>
          <w:rFonts w:hint="eastAsia" w:ascii="仿宋_GB2312" w:hAnsi="新宋体" w:eastAsia="仿宋_GB2312" w:cs="Times New Roman"/>
          <w:sz w:val="32"/>
          <w:szCs w:val="32"/>
          <w:lang w:eastAsia="zh-CN"/>
        </w:rPr>
        <w:t>，</w:t>
      </w:r>
      <w:r>
        <w:rPr>
          <w:rFonts w:hint="eastAsia" w:ascii="仿宋_GB2312" w:hAnsi="新宋体" w:eastAsia="仿宋_GB2312" w:cs="Times New Roman"/>
          <w:sz w:val="32"/>
          <w:szCs w:val="32"/>
        </w:rPr>
        <w:t>202</w:t>
      </w:r>
      <w:bookmarkStart w:id="0" w:name="_GoBack"/>
      <w:bookmarkEnd w:id="0"/>
      <w:r>
        <w:rPr>
          <w:rFonts w:hint="eastAsia" w:ascii="仿宋_GB2312" w:hAnsi="新宋体" w:eastAsia="仿宋_GB2312" w:cs="Times New Roman"/>
          <w:sz w:val="32"/>
          <w:szCs w:val="32"/>
        </w:rPr>
        <w:t>0年9月泥石流灾害</w:t>
      </w:r>
      <w:r>
        <w:rPr>
          <w:rFonts w:hint="eastAsia" w:ascii="仿宋_GB2312" w:hAnsi="新宋体" w:eastAsia="仿宋_GB2312" w:cs="Times New Roman"/>
          <w:sz w:val="32"/>
          <w:szCs w:val="32"/>
          <w:lang w:val="en-US" w:eastAsia="zh-CN"/>
        </w:rPr>
        <w:t>车辆</w:t>
      </w:r>
      <w:r>
        <w:rPr>
          <w:rFonts w:hint="eastAsia" w:ascii="仿宋_GB2312" w:hAnsi="新宋体" w:eastAsia="仿宋_GB2312" w:cs="Times New Roman"/>
          <w:sz w:val="32"/>
          <w:szCs w:val="32"/>
        </w:rPr>
        <w:t>报废。</w:t>
      </w:r>
    </w:p>
    <w:p>
      <w:pPr>
        <w:rPr>
          <w:rFonts w:hint="eastAsia" w:ascii="仿宋" w:hAnsi="仿宋" w:eastAsia="仿宋"/>
          <w:sz w:val="32"/>
          <w:szCs w:val="32"/>
        </w:rPr>
      </w:pPr>
      <w:r>
        <w:rPr>
          <w:rFonts w:hint="eastAsia" w:ascii="仿宋" w:hAnsi="仿宋" w:eastAsia="仿宋"/>
          <w:sz w:val="32"/>
          <w:szCs w:val="32"/>
        </w:rPr>
        <w:t>其中：公务用车购置费支出0万元。截至2021年12月底，单位共有车辆</w:t>
      </w:r>
      <w:r>
        <w:rPr>
          <w:rFonts w:hint="eastAsia" w:ascii="仿宋" w:hAnsi="仿宋" w:eastAsia="仿宋"/>
          <w:sz w:val="32"/>
          <w:szCs w:val="32"/>
          <w:lang w:val="en-US" w:eastAsia="zh-CN"/>
        </w:rPr>
        <w:t>0</w:t>
      </w:r>
      <w:r>
        <w:rPr>
          <w:rFonts w:hint="eastAsia" w:ascii="仿宋" w:hAnsi="仿宋" w:eastAsia="仿宋"/>
          <w:sz w:val="32"/>
          <w:szCs w:val="32"/>
        </w:rPr>
        <w:t>辆，其中：公务用车0辆，特种专业技术用车</w:t>
      </w:r>
      <w:r>
        <w:rPr>
          <w:rFonts w:hint="eastAsia" w:ascii="仿宋" w:hAnsi="仿宋" w:eastAsia="仿宋"/>
          <w:sz w:val="32"/>
          <w:szCs w:val="32"/>
          <w:lang w:val="en-US" w:eastAsia="zh-CN"/>
        </w:rPr>
        <w:t>0</w:t>
      </w:r>
      <w:r>
        <w:rPr>
          <w:rFonts w:hint="eastAsia" w:ascii="仿宋" w:hAnsi="仿宋" w:eastAsia="仿宋"/>
          <w:sz w:val="32"/>
          <w:szCs w:val="32"/>
        </w:rPr>
        <w:t>辆。</w:t>
      </w:r>
    </w:p>
    <w:p>
      <w:pPr>
        <w:rPr>
          <w:rFonts w:hint="eastAsia" w:ascii="仿宋" w:hAnsi="仿宋" w:eastAsia="仿宋"/>
          <w:sz w:val="32"/>
          <w:szCs w:val="32"/>
        </w:rPr>
      </w:pPr>
      <w:r>
        <w:rPr>
          <w:rFonts w:hint="eastAsia" w:ascii="仿宋" w:hAnsi="仿宋" w:eastAsia="仿宋"/>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万元。主要用于转运病人、下村体检等所需的特种专业技术用车燃料费、维修费、过路过桥费、保险费等支出。</w:t>
      </w:r>
    </w:p>
    <w:p>
      <w:pPr>
        <w:ind w:firstLine="640" w:firstLineChars="200"/>
        <w:rPr>
          <w:rFonts w:ascii="仿宋" w:hAnsi="仿宋" w:eastAsia="仿宋"/>
          <w:sz w:val="32"/>
          <w:szCs w:val="32"/>
        </w:rPr>
      </w:pPr>
      <w:r>
        <w:rPr>
          <w:rFonts w:hint="eastAsia" w:ascii="仿宋" w:hAnsi="仿宋" w:eastAsia="仿宋"/>
          <w:sz w:val="32"/>
          <w:szCs w:val="32"/>
        </w:rPr>
        <w:t>3.公务接待费支出0万元，完成预算0%。单位2020年公务接待费支出0万元，减少0万元，下降0%。</w:t>
      </w:r>
    </w:p>
    <w:p>
      <w:pPr>
        <w:rPr>
          <w:rFonts w:ascii="仿宋" w:hAnsi="仿宋" w:eastAsia="仿宋"/>
          <w:sz w:val="32"/>
          <w:szCs w:val="32"/>
        </w:rPr>
      </w:pPr>
      <w:r>
        <w:rPr>
          <w:rFonts w:hint="eastAsia" w:ascii="仿宋" w:hAnsi="仿宋" w:eastAsia="仿宋"/>
          <w:sz w:val="32"/>
          <w:szCs w:val="32"/>
        </w:rPr>
        <w:t xml:space="preserve">    其中：外事接待支出0万元，外事接待0批次，0人，共计支出0万元。</w:t>
      </w:r>
    </w:p>
    <w:p>
      <w:pPr>
        <w:rPr>
          <w:rFonts w:ascii="黑体" w:hAnsi="黑体" w:eastAsia="黑体"/>
          <w:sz w:val="32"/>
          <w:szCs w:val="32"/>
        </w:rPr>
      </w:pPr>
      <w:r>
        <w:rPr>
          <w:rFonts w:hint="eastAsia" w:ascii="黑体" w:hAnsi="黑体" w:eastAsia="黑体"/>
          <w:sz w:val="32"/>
          <w:szCs w:val="32"/>
        </w:rPr>
        <w:t>八、政府性基金预算支出决算情况说明</w:t>
      </w:r>
    </w:p>
    <w:p>
      <w:pPr>
        <w:ind w:firstLine="640" w:firstLineChars="200"/>
        <w:rPr>
          <w:rFonts w:ascii="仿宋" w:hAnsi="仿宋" w:eastAsia="仿宋"/>
          <w:sz w:val="32"/>
          <w:szCs w:val="32"/>
        </w:rPr>
      </w:pPr>
      <w:r>
        <w:rPr>
          <w:rFonts w:hint="eastAsia" w:ascii="仿宋" w:hAnsi="仿宋" w:eastAsia="仿宋"/>
          <w:sz w:val="32"/>
          <w:szCs w:val="32"/>
        </w:rPr>
        <w:t>2021年政府性基金预算拨款支出44.54万元，占本年财政拨款支出合计的9.77%。</w:t>
      </w:r>
    </w:p>
    <w:p>
      <w:pPr>
        <w:rPr>
          <w:rFonts w:ascii="黑体" w:hAnsi="黑体" w:eastAsia="黑体"/>
          <w:sz w:val="32"/>
          <w:szCs w:val="32"/>
        </w:rPr>
      </w:pPr>
      <w:r>
        <w:rPr>
          <w:rFonts w:hint="eastAsia" w:ascii="黑体" w:hAnsi="黑体" w:eastAsia="黑体"/>
          <w:sz w:val="32"/>
          <w:szCs w:val="32"/>
        </w:rPr>
        <w:t>九、国有资本经营预算支出决算情况说明</w:t>
      </w:r>
    </w:p>
    <w:p>
      <w:pPr>
        <w:ind w:firstLine="640" w:firstLineChars="200"/>
        <w:rPr>
          <w:rFonts w:ascii="仿宋" w:hAnsi="仿宋" w:eastAsia="仿宋"/>
          <w:sz w:val="32"/>
          <w:szCs w:val="32"/>
        </w:rPr>
      </w:pPr>
      <w:r>
        <w:rPr>
          <w:rFonts w:hint="eastAsia" w:ascii="仿宋" w:hAnsi="仿宋" w:eastAsia="仿宋"/>
          <w:sz w:val="32"/>
          <w:szCs w:val="32"/>
        </w:rPr>
        <w:t>2021年国有资本经营预算拨款支出0万元。</w:t>
      </w:r>
    </w:p>
    <w:p>
      <w:pPr>
        <w:rPr>
          <w:rFonts w:ascii="仿宋" w:hAnsi="仿宋" w:eastAsia="仿宋"/>
          <w:sz w:val="32"/>
          <w:szCs w:val="32"/>
        </w:rPr>
      </w:pPr>
      <w:r>
        <w:rPr>
          <w:rFonts w:hint="eastAsia" w:ascii="黑体" w:hAnsi="黑体" w:eastAsia="黑体"/>
          <w:sz w:val="32"/>
          <w:szCs w:val="32"/>
        </w:rPr>
        <w:t>十、其他重要事项的情况说明</w:t>
      </w:r>
    </w:p>
    <w:p>
      <w:pPr>
        <w:ind w:firstLine="640" w:firstLineChars="200"/>
        <w:rPr>
          <w:rFonts w:ascii="仿宋" w:hAnsi="仿宋" w:eastAsia="仿宋"/>
          <w:sz w:val="32"/>
          <w:szCs w:val="32"/>
        </w:rPr>
      </w:pPr>
      <w:r>
        <w:rPr>
          <w:rFonts w:hint="eastAsia" w:ascii="仿宋" w:hAnsi="仿宋" w:eastAsia="仿宋"/>
          <w:sz w:val="32"/>
          <w:szCs w:val="32"/>
        </w:rPr>
        <w:t>（一）机关运行经费支出情况</w:t>
      </w:r>
    </w:p>
    <w:p>
      <w:pPr>
        <w:ind w:firstLine="640" w:firstLineChars="200"/>
        <w:rPr>
          <w:rFonts w:ascii="仿宋_GB2312" w:hAnsi="宋体" w:eastAsia="仿宋_GB2312" w:cs="宋体"/>
          <w:color w:val="333333"/>
          <w:kern w:val="0"/>
          <w:sz w:val="32"/>
          <w:szCs w:val="32"/>
        </w:rPr>
      </w:pPr>
      <w:r>
        <w:rPr>
          <w:rFonts w:hint="eastAsia" w:ascii="仿宋" w:hAnsi="仿宋" w:eastAsia="仿宋"/>
          <w:sz w:val="32"/>
          <w:szCs w:val="32"/>
        </w:rPr>
        <w:t>2021年，机关运行经费支出</w:t>
      </w:r>
      <w:r>
        <w:rPr>
          <w:rFonts w:hint="eastAsia" w:ascii="仿宋" w:hAnsi="仿宋" w:eastAsia="仿宋"/>
          <w:sz w:val="32"/>
          <w:szCs w:val="32"/>
        </w:rPr>
        <w:tab/>
      </w:r>
      <w:r>
        <w:rPr>
          <w:rFonts w:hint="eastAsia" w:ascii="仿宋" w:hAnsi="仿宋" w:eastAsia="仿宋"/>
          <w:sz w:val="32"/>
          <w:szCs w:val="32"/>
        </w:rPr>
        <w:t>2.01万元，比2020年减少0.4万元，下降16.6%。主要是2021年减少劳务费支出。</w:t>
      </w:r>
    </w:p>
    <w:p>
      <w:pPr>
        <w:ind w:firstLine="640" w:firstLineChars="200"/>
        <w:rPr>
          <w:rFonts w:ascii="仿宋" w:hAnsi="仿宋" w:eastAsia="仿宋"/>
          <w:sz w:val="32"/>
          <w:szCs w:val="32"/>
        </w:rPr>
      </w:pPr>
      <w:r>
        <w:rPr>
          <w:rFonts w:hint="eastAsia" w:ascii="仿宋" w:hAnsi="仿宋" w:eastAsia="仿宋"/>
          <w:sz w:val="32"/>
          <w:szCs w:val="32"/>
        </w:rPr>
        <w:t>（二）政府采购支出情况</w:t>
      </w:r>
    </w:p>
    <w:p>
      <w:pPr>
        <w:ind w:firstLine="640" w:firstLineChars="200"/>
        <w:rPr>
          <w:rFonts w:ascii="仿宋" w:hAnsi="仿宋" w:eastAsia="仿宋"/>
          <w:sz w:val="32"/>
          <w:szCs w:val="32"/>
        </w:rPr>
      </w:pPr>
      <w:r>
        <w:rPr>
          <w:rFonts w:hint="eastAsia" w:ascii="仿宋" w:hAnsi="仿宋" w:eastAsia="仿宋"/>
          <w:sz w:val="32"/>
          <w:szCs w:val="32"/>
        </w:rPr>
        <w:t>2021年政府采购支出总额102.37万元，其中：政府采购货物支出102.37万元、政府采购工程支出0万元、政府采购服务支出0万元。</w:t>
      </w:r>
    </w:p>
    <w:p>
      <w:pPr>
        <w:ind w:firstLine="640" w:firstLineChars="200"/>
        <w:rPr>
          <w:rFonts w:ascii="仿宋" w:hAnsi="仿宋" w:eastAsia="仿宋"/>
          <w:sz w:val="32"/>
          <w:szCs w:val="32"/>
        </w:rPr>
      </w:pPr>
      <w:r>
        <w:rPr>
          <w:rFonts w:hint="eastAsia" w:ascii="仿宋" w:hAnsi="仿宋" w:eastAsia="仿宋"/>
          <w:sz w:val="32"/>
          <w:szCs w:val="32"/>
        </w:rPr>
        <w:t>（三）国有资产占有使用情况</w:t>
      </w:r>
    </w:p>
    <w:p>
      <w:pPr>
        <w:autoSpaceDE w:val="0"/>
        <w:autoSpaceDN w:val="0"/>
        <w:adjustRightInd w:val="0"/>
        <w:spacing w:line="600" w:lineRule="exact"/>
        <w:ind w:firstLine="640" w:firstLineChars="200"/>
        <w:jc w:val="left"/>
        <w:outlineLvl w:val="2"/>
        <w:rPr>
          <w:rFonts w:ascii="仿宋" w:hAnsi="仿宋" w:eastAsia="仿宋"/>
          <w:sz w:val="32"/>
          <w:szCs w:val="32"/>
        </w:rPr>
      </w:pPr>
      <w:r>
        <w:rPr>
          <w:rFonts w:hint="eastAsia" w:ascii="仿宋" w:hAnsi="仿宋" w:eastAsia="仿宋"/>
          <w:sz w:val="32"/>
          <w:szCs w:val="32"/>
        </w:rPr>
        <w:t>截至2021年12月31日，单位车辆0辆为特种专业技术用车，单价50万元以上通用设备0台，单价100万元以上专用设备0台。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（四）</w:t>
      </w:r>
      <w:r>
        <w:rPr>
          <w:rFonts w:hint="eastAsia" w:ascii="仿宋" w:hAnsi="仿宋" w:eastAsia="仿宋"/>
          <w:sz w:val="32"/>
          <w:szCs w:val="32"/>
        </w:rPr>
        <w:t>预算绩效管理工作开展情况。</w:t>
      </w:r>
    </w:p>
    <w:p>
      <w:pPr>
        <w:ind w:firstLine="640" w:firstLineChars="200"/>
        <w:rPr>
          <w:rFonts w:ascii="仿宋" w:hAnsi="仿宋" w:eastAsia="仿宋"/>
          <w:sz w:val="32"/>
          <w:szCs w:val="32"/>
        </w:rPr>
      </w:pPr>
      <w:r>
        <w:rPr>
          <w:rFonts w:hint="eastAsia" w:ascii="仿宋" w:hAnsi="仿宋" w:eastAsia="仿宋"/>
          <w:sz w:val="32"/>
          <w:szCs w:val="32"/>
        </w:rPr>
        <w:t>根据预算绩效管理要求，单位在年初预算编制阶段，组织了</w:t>
      </w:r>
      <w:r>
        <w:rPr>
          <w:rFonts w:hint="eastAsia" w:ascii="仿宋" w:hAnsi="仿宋" w:eastAsia="仿宋"/>
          <w:sz w:val="32"/>
          <w:szCs w:val="32"/>
          <w:lang w:eastAsia="zh-CN"/>
        </w:rPr>
        <w:t>单位</w:t>
      </w:r>
      <w:r>
        <w:rPr>
          <w:rFonts w:hint="eastAsia" w:ascii="仿宋" w:hAnsi="仿宋" w:eastAsia="仿宋"/>
          <w:sz w:val="32"/>
          <w:szCs w:val="32"/>
        </w:rPr>
        <w:t>整体支出绩效评估。编制了</w:t>
      </w:r>
      <w:r>
        <w:rPr>
          <w:rFonts w:hint="eastAsia" w:ascii="仿宋" w:hAnsi="仿宋" w:eastAsia="仿宋"/>
          <w:sz w:val="32"/>
          <w:szCs w:val="32"/>
          <w:lang w:eastAsia="zh-CN"/>
        </w:rPr>
        <w:t>单位</w:t>
      </w:r>
      <w:r>
        <w:rPr>
          <w:rFonts w:hint="eastAsia" w:ascii="仿宋" w:hAnsi="仿宋" w:eastAsia="仿宋"/>
          <w:sz w:val="32"/>
          <w:szCs w:val="32"/>
        </w:rPr>
        <w:t>整体支出绩效目标。预算执行中，按时足额发放工资，严格按项目完成情况及时支付相关费用。以节约为本，压缩公用经费支出，特别是严格执行中央八项规定，加强公务出境和公务用车管理，控制接待费用，同时，完善单位内部控制，严格执行季度和半年支出分析评价，确保全年目标任务的完成。</w:t>
      </w:r>
    </w:p>
    <w:p>
      <w:pPr>
        <w:ind w:firstLine="640" w:firstLineChars="200"/>
        <w:rPr>
          <w:rFonts w:ascii="仿宋" w:hAnsi="仿宋" w:eastAsia="仿宋"/>
          <w:sz w:val="32"/>
          <w:szCs w:val="32"/>
        </w:rPr>
      </w:pPr>
      <w:r>
        <w:rPr>
          <w:rFonts w:hint="eastAsia" w:ascii="仿宋" w:hAnsi="仿宋" w:eastAsia="仿宋"/>
          <w:sz w:val="32"/>
          <w:szCs w:val="32"/>
        </w:rPr>
        <w:t>按要求对2021年</w:t>
      </w:r>
      <w:r>
        <w:rPr>
          <w:rFonts w:hint="eastAsia" w:ascii="仿宋" w:hAnsi="仿宋" w:eastAsia="仿宋"/>
          <w:sz w:val="32"/>
          <w:szCs w:val="32"/>
          <w:lang w:eastAsia="zh-CN"/>
        </w:rPr>
        <w:t>单位</w:t>
      </w:r>
      <w:r>
        <w:rPr>
          <w:rFonts w:hint="eastAsia" w:ascii="仿宋" w:hAnsi="仿宋" w:eastAsia="仿宋"/>
          <w:sz w:val="32"/>
          <w:szCs w:val="32"/>
        </w:rPr>
        <w:t>整体支出开展绩效自评，从评价情况来看，白坡卫生院2021年</w:t>
      </w:r>
      <w:r>
        <w:rPr>
          <w:rFonts w:hint="eastAsia" w:ascii="仿宋" w:hAnsi="仿宋" w:eastAsia="仿宋"/>
          <w:sz w:val="32"/>
          <w:szCs w:val="32"/>
          <w:lang w:eastAsia="zh-CN"/>
        </w:rPr>
        <w:t>单位</w:t>
      </w:r>
      <w:r>
        <w:rPr>
          <w:rFonts w:hint="eastAsia" w:ascii="仿宋" w:hAnsi="仿宋" w:eastAsia="仿宋"/>
          <w:sz w:val="32"/>
          <w:szCs w:val="32"/>
        </w:rPr>
        <w:t>整体支出情况良好，从预算到执行以及收入、支出、资产管理、信息公开，都严格按相关制度要求执行，全年收支平衡。有效保证了机构运转，圆满完成了上级下达的目标任务，取得了较好的社会效益，总体上得到了人民群众的认可。</w:t>
      </w:r>
    </w:p>
    <w:p>
      <w:pPr>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单位</w:t>
      </w:r>
      <w:r>
        <w:rPr>
          <w:rFonts w:hint="eastAsia" w:ascii="仿宋" w:hAnsi="仿宋" w:eastAsia="仿宋"/>
          <w:sz w:val="32"/>
          <w:szCs w:val="32"/>
        </w:rPr>
        <w:t>开展绩效评价结果。</w:t>
      </w:r>
    </w:p>
    <w:p>
      <w:pPr>
        <w:ind w:firstLine="640" w:firstLineChars="200"/>
        <w:rPr>
          <w:rFonts w:ascii="仿宋" w:hAnsi="仿宋" w:eastAsia="仿宋"/>
          <w:sz w:val="32"/>
          <w:szCs w:val="32"/>
        </w:rPr>
      </w:pPr>
      <w:r>
        <w:rPr>
          <w:rFonts w:hint="eastAsia" w:ascii="仿宋" w:hAnsi="仿宋" w:eastAsia="仿宋"/>
          <w:sz w:val="32"/>
          <w:szCs w:val="32"/>
        </w:rPr>
        <w:t>按要求对2021年</w:t>
      </w:r>
      <w:r>
        <w:rPr>
          <w:rFonts w:hint="eastAsia" w:ascii="仿宋" w:hAnsi="仿宋" w:eastAsia="仿宋"/>
          <w:sz w:val="32"/>
          <w:szCs w:val="32"/>
          <w:lang w:eastAsia="zh-CN"/>
        </w:rPr>
        <w:t>单位</w:t>
      </w:r>
      <w:r>
        <w:rPr>
          <w:rFonts w:hint="eastAsia" w:ascii="仿宋" w:hAnsi="仿宋" w:eastAsia="仿宋"/>
          <w:sz w:val="32"/>
          <w:szCs w:val="32"/>
        </w:rPr>
        <w:t>整体支出绩效评价情况开展自评，《米易县白坡彝族乡卫生院2021年</w:t>
      </w:r>
      <w:r>
        <w:rPr>
          <w:rFonts w:hint="eastAsia" w:ascii="仿宋" w:hAnsi="仿宋" w:eastAsia="仿宋"/>
          <w:sz w:val="32"/>
          <w:szCs w:val="32"/>
          <w:lang w:eastAsia="zh-CN"/>
        </w:rPr>
        <w:t>单位</w:t>
      </w:r>
      <w:r>
        <w:rPr>
          <w:rFonts w:hint="eastAsia" w:ascii="仿宋" w:hAnsi="仿宋" w:eastAsia="仿宋"/>
          <w:sz w:val="32"/>
          <w:szCs w:val="32"/>
        </w:rPr>
        <w:t>整体支出绩效评价报告》见附件1。</w:t>
      </w:r>
    </w:p>
    <w:p>
      <w:pPr>
        <w:ind w:firstLine="320" w:firstLineChars="100"/>
        <w:rPr>
          <w:rFonts w:ascii="仿宋" w:hAnsi="仿宋" w:eastAsia="仿宋"/>
          <w:sz w:val="32"/>
          <w:szCs w:val="32"/>
        </w:rPr>
      </w:pPr>
    </w:p>
    <w:p>
      <w:pPr>
        <w:jc w:val="center"/>
        <w:rPr>
          <w:rFonts w:ascii="黑体" w:hAnsi="黑体" w:eastAsia="黑体"/>
          <w:sz w:val="44"/>
          <w:szCs w:val="44"/>
        </w:rPr>
      </w:pPr>
      <w:r>
        <w:rPr>
          <w:rFonts w:hint="eastAsia" w:ascii="黑体" w:hAnsi="黑体" w:eastAsia="黑体"/>
          <w:sz w:val="44"/>
          <w:szCs w:val="44"/>
        </w:rPr>
        <w:t>第三部分 名词解释</w:t>
      </w:r>
    </w:p>
    <w:p>
      <w:pPr>
        <w:jc w:val="center"/>
        <w:rPr>
          <w:rFonts w:ascii="黑体" w:hAnsi="黑体" w:eastAsia="黑体"/>
          <w:sz w:val="44"/>
          <w:szCs w:val="44"/>
        </w:rPr>
      </w:pPr>
    </w:p>
    <w:p>
      <w:pPr>
        <w:ind w:firstLine="640" w:firstLineChars="200"/>
        <w:rPr>
          <w:rFonts w:ascii="仿宋" w:hAnsi="仿宋" w:eastAsia="仿宋"/>
          <w:sz w:val="32"/>
          <w:szCs w:val="32"/>
        </w:rPr>
      </w:pPr>
      <w:r>
        <w:rPr>
          <w:rFonts w:hint="eastAsia" w:ascii="仿宋" w:hAnsi="仿宋" w:eastAsia="仿宋"/>
          <w:sz w:val="32"/>
          <w:szCs w:val="32"/>
        </w:rPr>
        <w:t>1.财政拨款收入：指单位从同级财政</w:t>
      </w:r>
      <w:r>
        <w:rPr>
          <w:rFonts w:hint="eastAsia" w:ascii="仿宋" w:hAnsi="仿宋" w:eastAsia="仿宋"/>
          <w:sz w:val="32"/>
          <w:szCs w:val="32"/>
          <w:lang w:eastAsia="zh-CN"/>
        </w:rPr>
        <w:t>单位</w:t>
      </w:r>
      <w:r>
        <w:rPr>
          <w:rFonts w:hint="eastAsia" w:ascii="仿宋" w:hAnsi="仿宋" w:eastAsia="仿宋"/>
          <w:sz w:val="32"/>
          <w:szCs w:val="32"/>
        </w:rPr>
        <w:t>取得的财政预算资金。</w:t>
      </w:r>
    </w:p>
    <w:p>
      <w:pPr>
        <w:ind w:firstLine="640" w:firstLineChars="200"/>
        <w:rPr>
          <w:rFonts w:ascii="仿宋" w:hAnsi="仿宋" w:eastAsia="仿宋"/>
          <w:sz w:val="32"/>
          <w:szCs w:val="32"/>
        </w:rPr>
      </w:pPr>
      <w:r>
        <w:rPr>
          <w:rFonts w:hint="eastAsia" w:ascii="仿宋" w:hAnsi="仿宋" w:eastAsia="仿宋"/>
          <w:sz w:val="32"/>
          <w:szCs w:val="32"/>
        </w:rPr>
        <w:t xml:space="preserve">2.年初结转和结余：指以前年度尚未完成、结转到本年按有关规定继续使用的资金。 </w:t>
      </w:r>
    </w:p>
    <w:p>
      <w:pPr>
        <w:ind w:firstLine="640" w:firstLineChars="200"/>
        <w:rPr>
          <w:rFonts w:ascii="仿宋" w:hAnsi="仿宋" w:eastAsia="仿宋"/>
          <w:sz w:val="32"/>
          <w:szCs w:val="32"/>
        </w:rPr>
      </w:pPr>
      <w:r>
        <w:rPr>
          <w:rFonts w:hint="eastAsia" w:ascii="仿宋" w:hAnsi="仿宋" w:eastAsia="仿宋"/>
          <w:sz w:val="32"/>
          <w:szCs w:val="32"/>
        </w:rPr>
        <w:t>3.年末结转和结余：指单位按有关规定结转到下年或以后年度继续使用的资金。</w:t>
      </w:r>
    </w:p>
    <w:p>
      <w:pPr>
        <w:ind w:firstLine="640" w:firstLineChars="200"/>
        <w:rPr>
          <w:rFonts w:ascii="仿宋" w:hAnsi="仿宋" w:eastAsia="仿宋"/>
          <w:sz w:val="32"/>
          <w:szCs w:val="32"/>
        </w:rPr>
      </w:pPr>
      <w:r>
        <w:rPr>
          <w:rFonts w:hint="eastAsia" w:ascii="仿宋" w:hAnsi="仿宋" w:eastAsia="仿宋"/>
          <w:sz w:val="32"/>
          <w:szCs w:val="32"/>
        </w:rPr>
        <w:t>4.社会保障和就业:指政府在社会保障与就业方面的支出。</w:t>
      </w:r>
    </w:p>
    <w:p>
      <w:pPr>
        <w:ind w:firstLine="640" w:firstLineChars="200"/>
        <w:rPr>
          <w:rFonts w:ascii="仿宋" w:hAnsi="仿宋" w:eastAsia="仿宋"/>
          <w:sz w:val="32"/>
          <w:szCs w:val="32"/>
        </w:rPr>
      </w:pPr>
      <w:r>
        <w:rPr>
          <w:rFonts w:hint="eastAsia" w:ascii="仿宋" w:hAnsi="仿宋" w:eastAsia="仿宋"/>
          <w:sz w:val="32"/>
          <w:szCs w:val="32"/>
        </w:rPr>
        <w:t>5.医疗卫生与计划生育:指政府在医疗卫生与计划生育管理方面的支出。</w:t>
      </w:r>
    </w:p>
    <w:p>
      <w:pPr>
        <w:ind w:firstLine="640" w:firstLineChars="200"/>
        <w:rPr>
          <w:rFonts w:ascii="仿宋" w:hAnsi="仿宋" w:eastAsia="仿宋"/>
          <w:sz w:val="32"/>
          <w:szCs w:val="32"/>
        </w:rPr>
      </w:pPr>
      <w:r>
        <w:rPr>
          <w:rFonts w:hint="eastAsia" w:ascii="仿宋" w:hAnsi="仿宋" w:eastAsia="仿宋"/>
          <w:sz w:val="32"/>
          <w:szCs w:val="32"/>
        </w:rPr>
        <w:t>6.住房保障:指政府用于住房方面的支出。</w:t>
      </w:r>
    </w:p>
    <w:p>
      <w:pPr>
        <w:ind w:firstLine="640" w:firstLineChars="200"/>
        <w:rPr>
          <w:rFonts w:ascii="仿宋" w:hAnsi="仿宋" w:eastAsia="仿宋"/>
          <w:sz w:val="32"/>
          <w:szCs w:val="32"/>
        </w:rPr>
      </w:pPr>
      <w:r>
        <w:rPr>
          <w:rFonts w:hint="eastAsia" w:ascii="仿宋" w:hAnsi="仿宋" w:eastAsia="仿宋"/>
          <w:sz w:val="32"/>
          <w:szCs w:val="32"/>
        </w:rPr>
        <w:t>7.基本支出：指为保障机构正常运转、完成日常工作任务而发生的人员支出和公用支出。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 xml:space="preserve">8.项目支出：指在基本支出之外为完成特定行政任务和事业发展目标所发生的支出。 </w:t>
      </w:r>
    </w:p>
    <w:p>
      <w:pPr>
        <w:ind w:firstLine="640" w:firstLineChars="200"/>
        <w:rPr>
          <w:rFonts w:ascii="仿宋" w:hAnsi="仿宋" w:eastAsia="仿宋"/>
          <w:sz w:val="32"/>
          <w:szCs w:val="32"/>
        </w:rPr>
      </w:pPr>
      <w:r>
        <w:rPr>
          <w:rFonts w:hint="eastAsia" w:ascii="仿宋" w:hAnsi="仿宋" w:eastAsia="仿宋"/>
          <w:sz w:val="32"/>
          <w:szCs w:val="32"/>
        </w:rPr>
        <w:t>9.“三公”经费：指</w:t>
      </w:r>
      <w:r>
        <w:rPr>
          <w:rFonts w:hint="eastAsia" w:ascii="仿宋" w:hAnsi="仿宋" w:eastAsia="仿宋"/>
          <w:sz w:val="32"/>
          <w:szCs w:val="32"/>
          <w:lang w:eastAsia="zh-CN"/>
        </w:rPr>
        <w:t>单位</w:t>
      </w:r>
      <w:r>
        <w:rPr>
          <w:rFonts w:hint="eastAsia" w:ascii="仿宋" w:hAnsi="仿宋" w:eastAsia="仿宋"/>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sz w:val="32"/>
          <w:szCs w:val="32"/>
        </w:rPr>
      </w:pPr>
      <w:r>
        <w:rPr>
          <w:rFonts w:hint="eastAsia" w:ascii="仿宋" w:hAnsi="仿宋" w:eastAsia="仿宋"/>
          <w:sz w:val="32"/>
          <w:szCs w:val="32"/>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第四部分 附件</w:t>
      </w:r>
    </w:p>
    <w:p>
      <w:pPr>
        <w:jc w:val="center"/>
        <w:rPr>
          <w:rFonts w:ascii="黑体" w:hAnsi="黑体" w:eastAsia="黑体"/>
          <w:sz w:val="44"/>
          <w:szCs w:val="44"/>
        </w:rPr>
      </w:pPr>
    </w:p>
    <w:p>
      <w:pPr>
        <w:adjustRightInd w:val="0"/>
        <w:snapToGrid w:val="0"/>
        <w:spacing w:line="560" w:lineRule="exact"/>
        <w:ind w:firstLine="960" w:firstLineChars="300"/>
        <w:rPr>
          <w:rFonts w:ascii="仿宋" w:hAnsi="仿宋" w:eastAsia="仿宋" w:cs="仿宋"/>
          <w:sz w:val="32"/>
          <w:szCs w:val="32"/>
        </w:rPr>
      </w:pPr>
      <w:r>
        <w:rPr>
          <w:rFonts w:hint="eastAsia" w:ascii="仿宋" w:hAnsi="仿宋" w:eastAsia="仿宋" w:cs="仿宋"/>
          <w:sz w:val="32"/>
          <w:szCs w:val="32"/>
        </w:rPr>
        <w:t>附件1：米易县白坡彝族乡卫生院2021年</w:t>
      </w:r>
      <w:r>
        <w:rPr>
          <w:rFonts w:hint="eastAsia" w:ascii="仿宋" w:hAnsi="仿宋" w:eastAsia="仿宋" w:cs="仿宋"/>
          <w:sz w:val="32"/>
          <w:szCs w:val="32"/>
          <w:lang w:eastAsia="zh-CN"/>
        </w:rPr>
        <w:t>单位</w:t>
      </w:r>
      <w:r>
        <w:rPr>
          <w:rFonts w:hint="eastAsia" w:ascii="仿宋" w:hAnsi="仿宋" w:eastAsia="仿宋" w:cs="仿宋"/>
          <w:sz w:val="32"/>
          <w:szCs w:val="32"/>
        </w:rPr>
        <w:t>整体支出绩效自评报告</w:t>
      </w:r>
    </w:p>
    <w:p>
      <w:pPr>
        <w:adjustRightInd w:val="0"/>
        <w:snapToGrid w:val="0"/>
        <w:spacing w:line="560" w:lineRule="exact"/>
        <w:ind w:firstLine="960" w:firstLineChars="300"/>
        <w:rPr>
          <w:rFonts w:ascii="仿宋" w:hAnsi="仿宋" w:eastAsia="仿宋" w:cs="仿宋_GB2312"/>
          <w:sz w:val="32"/>
          <w:szCs w:val="32"/>
        </w:rPr>
      </w:pPr>
      <w:r>
        <w:rPr>
          <w:rFonts w:hint="eastAsia" w:ascii="仿宋" w:hAnsi="仿宋" w:eastAsia="仿宋" w:cs="仿宋"/>
          <w:sz w:val="32"/>
          <w:szCs w:val="32"/>
        </w:rPr>
        <w:t>根</w:t>
      </w:r>
      <w:r>
        <w:rPr>
          <w:rFonts w:hint="eastAsia" w:ascii="仿宋" w:hAnsi="仿宋" w:eastAsia="仿宋" w:cs="仿宋_GB2312"/>
          <w:sz w:val="32"/>
          <w:szCs w:val="32"/>
        </w:rPr>
        <w:t>据米易县财政局关于开展2022年财政绩效评价工作的通知（</w:t>
      </w:r>
      <w:r>
        <w:rPr>
          <w:rFonts w:hint="eastAsia" w:ascii="仿宋" w:hAnsi="仿宋" w:eastAsia="仿宋"/>
          <w:sz w:val="32"/>
          <w:szCs w:val="32"/>
        </w:rPr>
        <w:t>米财绩【2022】84号）</w:t>
      </w:r>
      <w:r>
        <w:rPr>
          <w:rFonts w:hint="eastAsia" w:ascii="仿宋" w:hAnsi="仿宋" w:eastAsia="仿宋" w:cs="仿宋_GB2312"/>
          <w:sz w:val="32"/>
          <w:szCs w:val="32"/>
        </w:rPr>
        <w:t>的要求，我院即对2021年度</w:t>
      </w:r>
      <w:r>
        <w:rPr>
          <w:rFonts w:hint="eastAsia" w:ascii="仿宋" w:hAnsi="仿宋" w:eastAsia="仿宋" w:cs="仿宋_GB2312"/>
          <w:sz w:val="32"/>
          <w:szCs w:val="32"/>
          <w:lang w:eastAsia="zh-CN"/>
        </w:rPr>
        <w:t>单位</w:t>
      </w:r>
      <w:r>
        <w:rPr>
          <w:rFonts w:hint="eastAsia" w:ascii="仿宋" w:hAnsi="仿宋" w:eastAsia="仿宋" w:cs="仿宋_GB2312"/>
          <w:sz w:val="32"/>
          <w:szCs w:val="32"/>
        </w:rPr>
        <w:t>整体支出绩效进行了全面综合评价，整体支出的评价重点是厉行节约保运转，降低行政成本，经全面综合评价，我院2021年度</w:t>
      </w:r>
      <w:r>
        <w:rPr>
          <w:rFonts w:hint="eastAsia" w:ascii="仿宋" w:hAnsi="仿宋" w:eastAsia="仿宋" w:cs="仿宋_GB2312"/>
          <w:sz w:val="32"/>
          <w:szCs w:val="32"/>
          <w:lang w:eastAsia="zh-CN"/>
        </w:rPr>
        <w:t>单位</w:t>
      </w:r>
      <w:r>
        <w:rPr>
          <w:rFonts w:hint="eastAsia" w:ascii="仿宋" w:hAnsi="仿宋" w:eastAsia="仿宋" w:cs="仿宋_GB2312"/>
          <w:sz w:val="32"/>
          <w:szCs w:val="32"/>
        </w:rPr>
        <w:t>整体支出绩效自评得分93分。现将有关情况报告如下：</w:t>
      </w:r>
    </w:p>
    <w:p>
      <w:pPr>
        <w:widowControl/>
        <w:adjustRightInd w:val="0"/>
        <w:snapToGrid w:val="0"/>
        <w:spacing w:line="540" w:lineRule="exact"/>
        <w:ind w:firstLine="720"/>
        <w:jc w:val="left"/>
        <w:rPr>
          <w:rFonts w:ascii="仿宋" w:hAnsi="仿宋" w:eastAsia="仿宋" w:cs="仿宋_GB2312"/>
          <w:kern w:val="0"/>
          <w:sz w:val="32"/>
          <w:szCs w:val="32"/>
          <w:lang w:val="zh-CN"/>
        </w:rPr>
      </w:pPr>
      <w:r>
        <w:rPr>
          <w:rFonts w:hint="eastAsia" w:ascii="仿宋" w:hAnsi="仿宋" w:eastAsia="仿宋" w:cs="仿宋_GB2312"/>
          <w:kern w:val="0"/>
          <w:sz w:val="32"/>
          <w:szCs w:val="32"/>
        </w:rPr>
        <w:t>一、</w:t>
      </w:r>
      <w:r>
        <w:rPr>
          <w:rFonts w:hint="eastAsia" w:ascii="仿宋" w:hAnsi="仿宋" w:eastAsia="仿宋" w:cs="仿宋_GB2312"/>
          <w:kern w:val="0"/>
          <w:sz w:val="32"/>
          <w:szCs w:val="32"/>
          <w:lang w:val="zh-CN"/>
        </w:rPr>
        <w:t>单位（单位）概况</w:t>
      </w:r>
    </w:p>
    <w:p>
      <w:pPr>
        <w:widowControl/>
        <w:adjustRightInd w:val="0"/>
        <w:snapToGrid w:val="0"/>
        <w:spacing w:line="540" w:lineRule="exact"/>
        <w:ind w:firstLine="480" w:firstLineChars="150"/>
        <w:jc w:val="left"/>
        <w:rPr>
          <w:rFonts w:ascii="仿宋" w:hAnsi="仿宋" w:eastAsia="仿宋" w:cs="仿宋_GB2312"/>
          <w:kern w:val="0"/>
          <w:sz w:val="32"/>
          <w:szCs w:val="32"/>
          <w:lang w:val="zh-CN"/>
        </w:rPr>
      </w:pPr>
      <w:r>
        <w:rPr>
          <w:rFonts w:hint="eastAsia" w:ascii="仿宋" w:hAnsi="仿宋" w:eastAsia="仿宋" w:cs="仿宋_GB2312"/>
          <w:kern w:val="0"/>
          <w:sz w:val="32"/>
          <w:szCs w:val="32"/>
          <w:lang w:val="zh-CN"/>
        </w:rPr>
        <w:t>（一）机构组成</w:t>
      </w:r>
    </w:p>
    <w:p>
      <w:pPr>
        <w:spacing w:line="520" w:lineRule="exact"/>
        <w:rPr>
          <w:rFonts w:ascii="仿宋" w:hAnsi="仿宋" w:eastAsia="仿宋" w:cs="仿宋_GB2312"/>
          <w:sz w:val="32"/>
          <w:szCs w:val="32"/>
        </w:rPr>
      </w:pPr>
      <w:r>
        <w:rPr>
          <w:rFonts w:hint="eastAsia" w:ascii="仿宋" w:hAnsi="仿宋" w:eastAsia="仿宋" w:cs="仿宋_GB2312"/>
          <w:sz w:val="32"/>
          <w:szCs w:val="32"/>
        </w:rPr>
        <w:t xml:space="preserve">       米易县白坡彝族乡卫生院位于米易县西北部，是米易县区域面积最大的边远少数民族乡，也是我县最大的移民乡，总人口10177人，与攀枝花市盐边县、凉山州的盐源县、德昌县四县交界，下辖10个村卫生室，无分院及门诊部，占地面积2.83亩，建筑面积2192㎡，编制床位15张，开放床位9张。卫生院能够提供内科、外科、儿科、妇产科、中医科、针灸理疗的诊疗服务。</w:t>
      </w:r>
    </w:p>
    <w:p>
      <w:pPr>
        <w:widowControl/>
        <w:numPr>
          <w:ilvl w:val="0"/>
          <w:numId w:val="5"/>
        </w:numPr>
        <w:adjustRightInd w:val="0"/>
        <w:snapToGrid w:val="0"/>
        <w:spacing w:line="540" w:lineRule="exact"/>
        <w:ind w:firstLine="480" w:firstLineChars="150"/>
        <w:jc w:val="left"/>
        <w:rPr>
          <w:rFonts w:ascii="仿宋" w:hAnsi="仿宋" w:eastAsia="仿宋" w:cs="仿宋_GB2312"/>
          <w:sz w:val="32"/>
          <w:szCs w:val="32"/>
        </w:rPr>
      </w:pPr>
      <w:r>
        <w:rPr>
          <w:rFonts w:hint="eastAsia" w:ascii="仿宋" w:hAnsi="仿宋" w:eastAsia="仿宋" w:cs="仿宋_GB2312"/>
          <w:sz w:val="32"/>
          <w:szCs w:val="32"/>
        </w:rPr>
        <w:t>人员概况：我院有编制内医务人员13人，临时聘用5人，共有医务人员18人。其中执业医师7人，助理医师0人，护理人员7人，中级职称4人，其余均为初级职称。</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资产情况：2021年末资产总额482.33万元,其中流动资产74.77万元，固定资产净值392.91万元，无形资产净值1.03万元;待处理财产损益10.88万元，负债17.78万元，净资产464.55万元，累计盈余461.11万元，专用基金3.44万元，年末财政补助结转资金0.18万元。</w:t>
      </w:r>
    </w:p>
    <w:p>
      <w:pPr>
        <w:rPr>
          <w:rFonts w:ascii="仿宋" w:hAnsi="仿宋" w:eastAsia="仿宋" w:cs="仿宋"/>
          <w:bCs/>
          <w:sz w:val="32"/>
          <w:szCs w:val="32"/>
        </w:rPr>
      </w:pPr>
      <w:r>
        <w:rPr>
          <w:rFonts w:hint="eastAsia" w:ascii="仿宋" w:hAnsi="仿宋" w:eastAsia="仿宋" w:cs="仿宋"/>
          <w:bCs/>
          <w:sz w:val="32"/>
          <w:szCs w:val="32"/>
        </w:rPr>
        <w:t xml:space="preserve">      二、</w:t>
      </w:r>
      <w:r>
        <w:rPr>
          <w:rFonts w:hint="eastAsia" w:ascii="仿宋" w:hAnsi="仿宋" w:eastAsia="仿宋" w:cs="仿宋"/>
          <w:bCs/>
          <w:sz w:val="32"/>
          <w:szCs w:val="32"/>
          <w:lang w:eastAsia="zh-CN"/>
        </w:rPr>
        <w:t>单位</w:t>
      </w:r>
      <w:r>
        <w:rPr>
          <w:rFonts w:hint="eastAsia" w:ascii="仿宋" w:hAnsi="仿宋" w:eastAsia="仿宋" w:cs="仿宋"/>
          <w:bCs/>
          <w:sz w:val="32"/>
          <w:szCs w:val="32"/>
        </w:rPr>
        <w:t>财政资金收支情况</w:t>
      </w:r>
    </w:p>
    <w:p>
      <w:pPr>
        <w:widowControl/>
        <w:adjustRightInd w:val="0"/>
        <w:snapToGrid w:val="0"/>
        <w:spacing w:line="540" w:lineRule="exact"/>
        <w:ind w:firstLine="720"/>
        <w:jc w:val="left"/>
        <w:rPr>
          <w:rFonts w:ascii="仿宋" w:hAnsi="仿宋" w:eastAsia="仿宋" w:cs="仿宋_GB2312"/>
          <w:sz w:val="32"/>
          <w:szCs w:val="32"/>
        </w:rPr>
      </w:pPr>
      <w:r>
        <w:rPr>
          <w:rFonts w:hint="eastAsia" w:ascii="仿宋" w:hAnsi="仿宋" w:eastAsia="仿宋" w:cs="仿宋_GB2312"/>
          <w:sz w:val="32"/>
          <w:szCs w:val="32"/>
          <w:lang w:val="zh-CN"/>
        </w:rPr>
        <w:t>（一）单位财政资金收入情况。</w:t>
      </w:r>
      <w:r>
        <w:rPr>
          <w:rFonts w:hint="eastAsia" w:ascii="仿宋" w:hAnsi="仿宋" w:eastAsia="仿宋" w:cs="仿宋_GB2312"/>
          <w:sz w:val="32"/>
          <w:szCs w:val="32"/>
        </w:rPr>
        <w:t xml:space="preserve"> </w:t>
      </w:r>
    </w:p>
    <w:p>
      <w:pPr>
        <w:widowControl/>
        <w:adjustRightInd w:val="0"/>
        <w:snapToGrid w:val="0"/>
        <w:spacing w:line="540" w:lineRule="exact"/>
        <w:ind w:firstLine="720"/>
        <w:jc w:val="left"/>
        <w:rPr>
          <w:rFonts w:ascii="仿宋" w:hAnsi="仿宋" w:eastAsia="仿宋" w:cs="仿宋_GB2312"/>
          <w:kern w:val="0"/>
          <w:sz w:val="32"/>
          <w:szCs w:val="32"/>
        </w:rPr>
      </w:pPr>
      <w:r>
        <w:rPr>
          <w:rFonts w:hint="eastAsia" w:ascii="仿宋" w:hAnsi="仿宋" w:eastAsia="仿宋" w:cs="仿宋_GB2312"/>
          <w:kern w:val="0"/>
          <w:sz w:val="32"/>
          <w:szCs w:val="32"/>
          <w:lang w:val="zh-CN"/>
        </w:rPr>
        <w:t>20</w:t>
      </w:r>
      <w:r>
        <w:rPr>
          <w:rFonts w:hint="eastAsia" w:ascii="仿宋" w:hAnsi="仿宋" w:eastAsia="仿宋" w:cs="仿宋_GB2312"/>
          <w:kern w:val="0"/>
          <w:sz w:val="32"/>
          <w:szCs w:val="32"/>
        </w:rPr>
        <w:t>21</w:t>
      </w:r>
      <w:r>
        <w:rPr>
          <w:rFonts w:hint="eastAsia" w:ascii="仿宋" w:hAnsi="仿宋" w:eastAsia="仿宋" w:cs="仿宋_GB2312"/>
          <w:kern w:val="0"/>
          <w:sz w:val="32"/>
          <w:szCs w:val="32"/>
          <w:lang w:val="zh-CN"/>
        </w:rPr>
        <w:t>年我院年初预算</w:t>
      </w:r>
      <w:r>
        <w:rPr>
          <w:rFonts w:hint="eastAsia" w:ascii="仿宋" w:hAnsi="仿宋" w:eastAsia="仿宋" w:cs="仿宋_GB2312"/>
          <w:kern w:val="0"/>
          <w:sz w:val="32"/>
          <w:szCs w:val="32"/>
        </w:rPr>
        <w:t xml:space="preserve">199.11 </w:t>
      </w:r>
      <w:r>
        <w:rPr>
          <w:rFonts w:hint="eastAsia" w:ascii="仿宋" w:hAnsi="仿宋" w:eastAsia="仿宋" w:cs="仿宋_GB2312"/>
          <w:kern w:val="0"/>
          <w:sz w:val="32"/>
          <w:szCs w:val="32"/>
          <w:lang w:val="zh-CN"/>
        </w:rPr>
        <w:t>万元，年中追加预算</w:t>
      </w:r>
      <w:r>
        <w:rPr>
          <w:rFonts w:hint="eastAsia" w:ascii="仿宋" w:hAnsi="仿宋" w:eastAsia="仿宋" w:cs="仿宋_GB2312"/>
          <w:kern w:val="0"/>
          <w:sz w:val="32"/>
          <w:szCs w:val="32"/>
        </w:rPr>
        <w:t>182.52</w:t>
      </w:r>
      <w:r>
        <w:rPr>
          <w:rFonts w:hint="eastAsia" w:ascii="仿宋" w:hAnsi="仿宋" w:eastAsia="仿宋" w:cs="仿宋_GB2312"/>
          <w:kern w:val="0"/>
          <w:sz w:val="32"/>
          <w:szCs w:val="32"/>
          <w:lang w:val="zh-CN"/>
        </w:rPr>
        <w:t>万元，上年结转</w:t>
      </w:r>
      <w:r>
        <w:rPr>
          <w:rFonts w:hint="eastAsia" w:ascii="仿宋" w:hAnsi="仿宋" w:eastAsia="仿宋" w:cs="仿宋_GB2312"/>
          <w:kern w:val="0"/>
          <w:sz w:val="32"/>
          <w:szCs w:val="32"/>
        </w:rPr>
        <w:t>74.28</w:t>
      </w:r>
      <w:r>
        <w:rPr>
          <w:rFonts w:hint="eastAsia" w:ascii="仿宋" w:hAnsi="仿宋" w:eastAsia="仿宋" w:cs="仿宋_GB2312"/>
          <w:kern w:val="0"/>
          <w:sz w:val="32"/>
          <w:szCs w:val="32"/>
          <w:lang w:val="zh-CN"/>
        </w:rPr>
        <w:t>万元，追加经费为政府政策性投入专项，包含卫生院基本公共卫生补助，基本药物补助（作基本补助支出核算），村卫生站基本药物补助等。全年收入</w:t>
      </w:r>
      <w:r>
        <w:rPr>
          <w:rFonts w:hint="eastAsia" w:ascii="仿宋" w:hAnsi="仿宋" w:eastAsia="仿宋" w:cs="仿宋_GB2312"/>
          <w:kern w:val="0"/>
          <w:sz w:val="32"/>
          <w:szCs w:val="32"/>
        </w:rPr>
        <w:t>455.91万元。</w:t>
      </w:r>
    </w:p>
    <w:p>
      <w:pPr>
        <w:widowControl/>
        <w:adjustRightInd w:val="0"/>
        <w:snapToGrid w:val="0"/>
        <w:spacing w:line="540" w:lineRule="exact"/>
        <w:ind w:firstLine="640" w:firstLineChars="200"/>
        <w:jc w:val="left"/>
        <w:rPr>
          <w:rFonts w:ascii="仿宋" w:hAnsi="仿宋" w:eastAsia="仿宋" w:cs="仿宋_GB2312"/>
          <w:sz w:val="32"/>
          <w:szCs w:val="32"/>
          <w:lang w:val="zh-CN"/>
        </w:rPr>
      </w:pPr>
      <w:r>
        <w:rPr>
          <w:rFonts w:hint="eastAsia" w:ascii="仿宋" w:hAnsi="仿宋" w:eastAsia="仿宋" w:cs="仿宋_GB2312"/>
          <w:sz w:val="32"/>
          <w:szCs w:val="32"/>
          <w:lang w:val="zh-CN"/>
        </w:rPr>
        <w:t>（二）单位财政资金支出情况。</w:t>
      </w:r>
    </w:p>
    <w:p>
      <w:pPr>
        <w:widowControl/>
        <w:adjustRightInd w:val="0"/>
        <w:snapToGrid w:val="0"/>
        <w:spacing w:line="540" w:lineRule="exact"/>
        <w:ind w:firstLine="640" w:firstLineChars="200"/>
        <w:jc w:val="left"/>
        <w:rPr>
          <w:rFonts w:ascii="仿宋" w:hAnsi="仿宋" w:eastAsia="仿宋" w:cs="仿宋_GB2312"/>
          <w:kern w:val="0"/>
          <w:sz w:val="32"/>
          <w:szCs w:val="32"/>
          <w:lang w:val="zh-CN"/>
        </w:rPr>
      </w:pPr>
      <w:r>
        <w:rPr>
          <w:rFonts w:hint="eastAsia" w:ascii="仿宋" w:hAnsi="仿宋" w:eastAsia="仿宋" w:cs="仿宋_GB2312"/>
          <w:kern w:val="0"/>
          <w:sz w:val="32"/>
          <w:szCs w:val="32"/>
          <w:lang w:val="zh-CN"/>
        </w:rPr>
        <w:t>20</w:t>
      </w:r>
      <w:r>
        <w:rPr>
          <w:rFonts w:hint="eastAsia" w:ascii="仿宋" w:hAnsi="仿宋" w:eastAsia="仿宋" w:cs="仿宋_GB2312"/>
          <w:kern w:val="0"/>
          <w:sz w:val="32"/>
          <w:szCs w:val="32"/>
        </w:rPr>
        <w:t>21</w:t>
      </w:r>
      <w:r>
        <w:rPr>
          <w:rFonts w:hint="eastAsia" w:ascii="仿宋" w:hAnsi="仿宋" w:eastAsia="仿宋" w:cs="仿宋_GB2312"/>
          <w:kern w:val="0"/>
          <w:sz w:val="32"/>
          <w:szCs w:val="32"/>
          <w:lang w:val="zh-CN"/>
        </w:rPr>
        <w:t>年我院财政资金支出</w:t>
      </w:r>
      <w:r>
        <w:rPr>
          <w:rFonts w:hint="eastAsia" w:ascii="仿宋" w:hAnsi="仿宋" w:eastAsia="仿宋" w:cs="仿宋_GB2312"/>
          <w:kern w:val="0"/>
          <w:sz w:val="32"/>
          <w:szCs w:val="32"/>
        </w:rPr>
        <w:t>455.91</w:t>
      </w:r>
      <w:r>
        <w:rPr>
          <w:rFonts w:hint="eastAsia" w:ascii="仿宋" w:hAnsi="仿宋" w:eastAsia="仿宋" w:cs="仿宋_GB2312"/>
          <w:kern w:val="0"/>
          <w:sz w:val="32"/>
          <w:szCs w:val="32"/>
          <w:lang w:val="zh-CN"/>
        </w:rPr>
        <w:t>万元，其中</w:t>
      </w:r>
      <w:r>
        <w:rPr>
          <w:rFonts w:hint="eastAsia" w:ascii="仿宋" w:hAnsi="仿宋" w:eastAsia="仿宋" w:cs="仿宋_GB2312"/>
          <w:kern w:val="0"/>
          <w:sz w:val="32"/>
          <w:szCs w:val="32"/>
        </w:rPr>
        <w:t>:</w:t>
      </w:r>
      <w:r>
        <w:rPr>
          <w:rFonts w:hint="eastAsia" w:ascii="仿宋" w:hAnsi="仿宋" w:eastAsia="仿宋" w:cs="仿宋_GB2312"/>
          <w:kern w:val="0"/>
          <w:sz w:val="32"/>
          <w:szCs w:val="32"/>
          <w:lang w:val="zh-CN"/>
        </w:rPr>
        <w:t>一般公共预算财政拨款支出</w:t>
      </w:r>
      <w:r>
        <w:rPr>
          <w:rFonts w:hint="eastAsia" w:ascii="仿宋" w:hAnsi="仿宋" w:eastAsia="仿宋" w:cs="仿宋_GB2312"/>
          <w:kern w:val="0"/>
          <w:sz w:val="32"/>
          <w:szCs w:val="32"/>
        </w:rPr>
        <w:t xml:space="preserve"> 411.37</w:t>
      </w:r>
      <w:r>
        <w:rPr>
          <w:rFonts w:hint="eastAsia" w:ascii="仿宋" w:hAnsi="仿宋" w:eastAsia="仿宋" w:cs="仿宋_GB2312"/>
          <w:kern w:val="0"/>
          <w:sz w:val="32"/>
          <w:szCs w:val="32"/>
          <w:lang w:val="zh-CN"/>
        </w:rPr>
        <w:t xml:space="preserve">万元，政府性基金预算财政拨款支出44.54万元。按功能分类，主要用于社会保障和就业支出23.29万元，卫生健康支出388.07万元，抗疫特别国债安排的支出44.54万元，结余0万元，无超预算支出的现象。 </w:t>
      </w:r>
    </w:p>
    <w:p>
      <w:pPr>
        <w:adjustRightInd w:val="0"/>
        <w:snapToGrid w:val="0"/>
        <w:spacing w:line="560" w:lineRule="exact"/>
        <w:rPr>
          <w:rFonts w:ascii="仿宋" w:hAnsi="仿宋" w:eastAsia="仿宋" w:cs="仿宋_GB2312"/>
          <w:sz w:val="32"/>
          <w:szCs w:val="32"/>
        </w:rPr>
      </w:pPr>
      <w:r>
        <w:rPr>
          <w:rFonts w:hint="eastAsia" w:ascii="仿宋" w:hAnsi="仿宋" w:eastAsia="仿宋" w:cs="仿宋_GB2312"/>
          <w:sz w:val="32"/>
          <w:szCs w:val="32"/>
        </w:rPr>
        <w:t xml:space="preserve">    三、</w:t>
      </w:r>
      <w:r>
        <w:rPr>
          <w:rFonts w:hint="eastAsia" w:ascii="仿宋" w:hAnsi="仿宋" w:eastAsia="仿宋" w:cs="仿宋_GB2312"/>
          <w:sz w:val="32"/>
          <w:szCs w:val="32"/>
          <w:lang w:eastAsia="zh-CN"/>
        </w:rPr>
        <w:t>单位</w:t>
      </w:r>
      <w:r>
        <w:rPr>
          <w:rFonts w:hint="eastAsia" w:ascii="仿宋" w:hAnsi="仿宋" w:eastAsia="仿宋" w:cs="仿宋_GB2312"/>
          <w:sz w:val="32"/>
          <w:szCs w:val="32"/>
        </w:rPr>
        <w:t>财政支出管理情况</w:t>
      </w:r>
    </w:p>
    <w:p>
      <w:pPr>
        <w:spacing w:line="580" w:lineRule="exact"/>
        <w:rPr>
          <w:rFonts w:ascii="仿宋" w:hAnsi="仿宋" w:eastAsia="仿宋" w:cs="仿宋_GB2312"/>
          <w:sz w:val="32"/>
          <w:szCs w:val="32"/>
          <w:lang w:val="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zh-CN"/>
        </w:rPr>
        <w:t>（一）预算编制情况。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2021年我院预算收入主要用于保障本单位在编人员基本工资以完成日常工作任务以及本单位承担的医疗卫生服务工作。</w:t>
      </w:r>
    </w:p>
    <w:p>
      <w:pPr>
        <w:ind w:firstLine="640"/>
        <w:rPr>
          <w:rFonts w:ascii="仿宋" w:hAnsi="仿宋" w:eastAsia="仿宋" w:cs="仿宋_GB2312"/>
          <w:sz w:val="32"/>
          <w:szCs w:val="32"/>
        </w:rPr>
      </w:pPr>
      <w:r>
        <w:rPr>
          <w:rFonts w:hint="eastAsia" w:ascii="仿宋" w:hAnsi="仿宋" w:eastAsia="仿宋" w:cs="仿宋_GB2312"/>
          <w:sz w:val="32"/>
          <w:szCs w:val="32"/>
        </w:rPr>
        <w:t>其中：基本支出预算199.11万元，用于保障本单位在编人员的基本工资福利支出，包括基本工资、津贴补贴、离退休费、住房公积金等。</w:t>
      </w:r>
    </w:p>
    <w:p>
      <w:pPr>
        <w:ind w:firstLine="640"/>
        <w:rPr>
          <w:rFonts w:ascii="仿宋" w:hAnsi="仿宋" w:eastAsia="仿宋" w:cs="仿宋_GB2312"/>
          <w:sz w:val="32"/>
          <w:szCs w:val="32"/>
        </w:rPr>
      </w:pPr>
      <w:r>
        <w:rPr>
          <w:rFonts w:hint="eastAsia" w:ascii="仿宋" w:hAnsi="仿宋" w:eastAsia="仿宋" w:cs="仿宋_GB2312"/>
          <w:sz w:val="32"/>
          <w:szCs w:val="32"/>
        </w:rPr>
        <w:t>预算编制质量良好，各种资金转移支付下达及时。</w:t>
      </w:r>
    </w:p>
    <w:p>
      <w:pPr>
        <w:adjustRightInd w:val="0"/>
        <w:snapToGrid w:val="0"/>
        <w:spacing w:line="560" w:lineRule="exact"/>
        <w:rPr>
          <w:rFonts w:ascii="仿宋" w:hAnsi="仿宋" w:eastAsia="仿宋" w:cs="仿宋_GB2312"/>
          <w:sz w:val="32"/>
          <w:szCs w:val="32"/>
          <w:lang w:val="zh-CN"/>
        </w:rPr>
      </w:pPr>
      <w:r>
        <w:rPr>
          <w:rFonts w:hint="eastAsia" w:ascii="仿宋" w:hAnsi="仿宋" w:eastAsia="仿宋" w:cs="仿宋_GB2312"/>
          <w:sz w:val="32"/>
          <w:szCs w:val="32"/>
          <w:lang w:val="zh-CN"/>
        </w:rPr>
        <w:t xml:space="preserve">   （二）执行管理情况。</w:t>
      </w:r>
    </w:p>
    <w:p>
      <w:pPr>
        <w:widowControl/>
        <w:adjustRightInd w:val="0"/>
        <w:snapToGrid w:val="0"/>
        <w:spacing w:line="540" w:lineRule="exact"/>
        <w:ind w:firstLine="720"/>
        <w:jc w:val="left"/>
        <w:rPr>
          <w:rFonts w:ascii="仿宋" w:hAnsi="仿宋" w:eastAsia="仿宋" w:cs="仿宋_GB2312"/>
          <w:kern w:val="0"/>
          <w:sz w:val="32"/>
          <w:szCs w:val="32"/>
          <w:lang w:val="zh-CN"/>
        </w:rPr>
      </w:pPr>
      <w:r>
        <w:rPr>
          <w:rFonts w:hint="eastAsia" w:ascii="仿宋" w:hAnsi="仿宋" w:eastAsia="仿宋" w:cs="仿宋_GB2312"/>
          <w:kern w:val="0"/>
          <w:sz w:val="32"/>
          <w:szCs w:val="32"/>
          <w:lang w:val="zh-CN"/>
        </w:rPr>
        <w:t>我院严格按工作进度执行预算，按时足额发放工资，项目资金，严格按项目完成情况及时支付相关费用。严格执行中央八项规定，三公”经费预算执行符合规定。</w:t>
      </w:r>
    </w:p>
    <w:p>
      <w:pPr>
        <w:adjustRightInd w:val="0"/>
        <w:snapToGrid w:val="0"/>
        <w:spacing w:line="560" w:lineRule="exact"/>
        <w:rPr>
          <w:rFonts w:ascii="仿宋" w:hAnsi="仿宋" w:eastAsia="仿宋" w:cs="仿宋_GB2312"/>
          <w:sz w:val="32"/>
          <w:szCs w:val="32"/>
          <w:lang w:val="zh-CN"/>
        </w:rPr>
      </w:pPr>
      <w:r>
        <w:rPr>
          <w:rFonts w:hint="eastAsia" w:ascii="仿宋" w:hAnsi="仿宋" w:eastAsia="仿宋" w:cs="仿宋_GB2312"/>
          <w:sz w:val="32"/>
          <w:szCs w:val="32"/>
          <w:lang w:val="zh-CN"/>
        </w:rPr>
        <w:t xml:space="preserve">   （三）决算编制情况。</w:t>
      </w:r>
    </w:p>
    <w:p>
      <w:pPr>
        <w:adjustRightInd w:val="0"/>
        <w:snapToGrid w:val="0"/>
        <w:spacing w:line="56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w:t>
      </w:r>
      <w:r>
        <w:rPr>
          <w:rFonts w:hint="eastAsia" w:ascii="仿宋" w:hAnsi="仿宋" w:eastAsia="仿宋" w:cs="仿宋_GB2312"/>
          <w:sz w:val="32"/>
          <w:szCs w:val="32"/>
        </w:rPr>
        <w:t>21</w:t>
      </w:r>
      <w:r>
        <w:rPr>
          <w:rFonts w:hint="eastAsia" w:ascii="仿宋" w:hAnsi="仿宋" w:eastAsia="仿宋" w:cs="仿宋_GB2312"/>
          <w:sz w:val="32"/>
          <w:szCs w:val="32"/>
          <w:lang w:val="zh-CN"/>
        </w:rPr>
        <w:t>年决算编制合乎规定，数据准确，与财政单位拨款核对相符，与财政专户管理资金核对相符，上年结转和结余核对相符，指标变动在单位决算编报说明中祥述；报表审核中关于退休人员、车辆管理运行等指标均在单位决算编报中作说明；资产、负债中的往来款项也作了相应说明。根据单位决算改革需要，撰写了20</w:t>
      </w:r>
      <w:r>
        <w:rPr>
          <w:rFonts w:hint="eastAsia" w:ascii="仿宋" w:hAnsi="仿宋" w:eastAsia="仿宋" w:cs="仿宋_GB2312"/>
          <w:sz w:val="32"/>
          <w:szCs w:val="32"/>
        </w:rPr>
        <w:t>21</w:t>
      </w:r>
      <w:r>
        <w:rPr>
          <w:rFonts w:hint="eastAsia" w:ascii="仿宋" w:hAnsi="仿宋" w:eastAsia="仿宋" w:cs="仿宋_GB2312"/>
          <w:sz w:val="32"/>
          <w:szCs w:val="32"/>
          <w:lang w:val="zh-CN"/>
        </w:rPr>
        <w:t>年单位决算分析报告，对主要职能、主要事业成效、收入支出预算执行（含对比分析）、年末结转结余、预算执行存在的问题等作了一一阐述。</w:t>
      </w:r>
    </w:p>
    <w:p>
      <w:pPr>
        <w:widowControl/>
        <w:jc w:val="left"/>
        <w:rPr>
          <w:rFonts w:ascii="仿宋" w:hAnsi="仿宋" w:eastAsia="仿宋" w:cs="仿宋_GB2312"/>
          <w:sz w:val="32"/>
          <w:szCs w:val="32"/>
          <w:lang w:val="zh-CN"/>
        </w:rPr>
      </w:pPr>
      <w:r>
        <w:rPr>
          <w:rFonts w:hint="eastAsia" w:ascii="仿宋" w:hAnsi="仿宋" w:eastAsia="仿宋" w:cs="仿宋_GB2312"/>
          <w:sz w:val="32"/>
          <w:szCs w:val="32"/>
          <w:lang w:val="zh-CN"/>
        </w:rPr>
        <w:t xml:space="preserve">   （四）支出绩效情况。</w:t>
      </w:r>
    </w:p>
    <w:p>
      <w:pPr>
        <w:widowControl/>
        <w:ind w:firstLine="640" w:firstLineChars="200"/>
        <w:jc w:val="left"/>
        <w:rPr>
          <w:rFonts w:ascii="仿宋" w:hAnsi="仿宋" w:eastAsia="仿宋" w:cs="仿宋_GB2312"/>
          <w:sz w:val="32"/>
          <w:szCs w:val="32"/>
          <w:lang w:val="zh-CN"/>
        </w:rPr>
      </w:pPr>
      <w:r>
        <w:rPr>
          <w:rFonts w:hint="eastAsia" w:ascii="仿宋" w:hAnsi="仿宋" w:eastAsia="仿宋" w:cs="仿宋_GB2312"/>
          <w:kern w:val="0"/>
          <w:sz w:val="32"/>
          <w:szCs w:val="32"/>
        </w:rPr>
        <w:t>财务管理规范,财务规章制度建立健全,制度执行严格合规,</w:t>
      </w:r>
      <w:r>
        <w:rPr>
          <w:rFonts w:hint="eastAsia" w:ascii="宋体" w:hAnsi="宋体" w:eastAsia="仿宋" w:cs="宋体"/>
          <w:kern w:val="0"/>
          <w:sz w:val="32"/>
          <w:szCs w:val="32"/>
        </w:rPr>
        <w:t> </w:t>
      </w:r>
      <w:r>
        <w:rPr>
          <w:rFonts w:hint="eastAsia" w:ascii="仿宋" w:hAnsi="仿宋" w:eastAsia="仿宋" w:cs="仿宋_GB2312"/>
          <w:kern w:val="0"/>
          <w:sz w:val="32"/>
          <w:szCs w:val="32"/>
        </w:rPr>
        <w:t>严格按照《事业单位会计制度》和相关规定进行会计核算,按照专项资金管理办法管理各类公共卫生专项资金,做到了专项专用,资金支付依据充分材料完整,开支范围、开支标准合法合规,无虚报冒领、挤占挪用项目补助资金、改变资金用途，扩大支出范围等违法违规问题。</w:t>
      </w:r>
    </w:p>
    <w:p>
      <w:pPr>
        <w:adjustRightInd w:val="0"/>
        <w:snapToGrid w:val="0"/>
        <w:spacing w:line="560" w:lineRule="exact"/>
        <w:ind w:firstLine="320" w:firstLineChars="100"/>
        <w:rPr>
          <w:rFonts w:ascii="仿宋" w:hAnsi="仿宋" w:eastAsia="仿宋" w:cs="仿宋_GB2312"/>
          <w:sz w:val="32"/>
          <w:szCs w:val="32"/>
        </w:rPr>
      </w:pPr>
      <w:r>
        <w:rPr>
          <w:rFonts w:hint="eastAsia" w:ascii="仿宋" w:hAnsi="仿宋" w:eastAsia="仿宋" w:cs="仿宋_GB2312"/>
          <w:sz w:val="32"/>
          <w:szCs w:val="32"/>
        </w:rPr>
        <w:t xml:space="preserve">   四、评价结论及建议</w:t>
      </w:r>
    </w:p>
    <w:p>
      <w:pPr>
        <w:adjustRightInd w:val="0"/>
        <w:snapToGrid w:val="0"/>
        <w:spacing w:line="560" w:lineRule="exact"/>
        <w:rPr>
          <w:rFonts w:ascii="仿宋" w:hAnsi="仿宋" w:eastAsia="仿宋" w:cs="仿宋_GB2312"/>
          <w:sz w:val="32"/>
          <w:szCs w:val="32"/>
          <w:lang w:val="zh-CN"/>
        </w:rPr>
      </w:pPr>
      <w:r>
        <w:rPr>
          <w:rFonts w:hint="eastAsia" w:ascii="仿宋" w:hAnsi="仿宋" w:eastAsia="仿宋" w:cs="仿宋_GB2312"/>
          <w:sz w:val="32"/>
          <w:szCs w:val="32"/>
          <w:lang w:val="zh-CN"/>
        </w:rPr>
        <w:t xml:space="preserve">    （一）评价结论。</w:t>
      </w:r>
    </w:p>
    <w:p>
      <w:pPr>
        <w:widowControl/>
        <w:adjustRightInd w:val="0"/>
        <w:snapToGrid w:val="0"/>
        <w:spacing w:line="540" w:lineRule="exact"/>
        <w:ind w:firstLine="720"/>
        <w:jc w:val="left"/>
        <w:rPr>
          <w:rFonts w:ascii="仿宋" w:hAnsi="仿宋" w:eastAsia="仿宋" w:cs="仿宋_GB2312"/>
          <w:kern w:val="0"/>
          <w:sz w:val="32"/>
          <w:szCs w:val="32"/>
          <w:lang w:val="zh-CN"/>
        </w:rPr>
      </w:pPr>
      <w:r>
        <w:rPr>
          <w:rFonts w:hint="eastAsia" w:ascii="仿宋" w:hAnsi="仿宋" w:eastAsia="仿宋" w:cs="仿宋_GB2312"/>
          <w:kern w:val="0"/>
          <w:sz w:val="32"/>
          <w:szCs w:val="32"/>
        </w:rPr>
        <w:t>总体来说，我院2021年</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rPr>
        <w:t>整体支出情况良好</w:t>
      </w:r>
      <w:r>
        <w:rPr>
          <w:rFonts w:hint="eastAsia" w:ascii="仿宋" w:hAnsi="仿宋" w:eastAsia="仿宋" w:cs="仿宋_GB2312"/>
          <w:kern w:val="0"/>
          <w:sz w:val="32"/>
          <w:szCs w:val="32"/>
          <w:lang w:val="zh-CN"/>
        </w:rPr>
        <w:t>，从预算到执行和收入、支出、资产管理及信息公开，都严格按相关制度要求进行，全年收支平衡，略有结余。有效保证了机构运转，圆满完成了上级下达的目标任务。取得了较大的经济效益和社会效益，得到了政府单位和社会公众的认可。</w:t>
      </w:r>
    </w:p>
    <w:p>
      <w:pPr>
        <w:tabs>
          <w:tab w:val="left" w:pos="227"/>
        </w:tabs>
        <w:adjustRightInd w:val="0"/>
        <w:snapToGrid w:val="0"/>
        <w:spacing w:line="560" w:lineRule="exact"/>
        <w:rPr>
          <w:rFonts w:ascii="仿宋" w:hAnsi="仿宋" w:eastAsia="仿宋" w:cs="仿宋_GB2312"/>
          <w:sz w:val="32"/>
          <w:szCs w:val="32"/>
          <w:lang w:val="zh-CN"/>
        </w:rPr>
      </w:pPr>
      <w:r>
        <w:rPr>
          <w:rFonts w:hint="eastAsia" w:ascii="仿宋" w:hAnsi="仿宋" w:eastAsia="仿宋" w:cs="仿宋_GB2312"/>
          <w:sz w:val="32"/>
          <w:szCs w:val="32"/>
          <w:lang w:val="zh-CN"/>
        </w:rPr>
        <w:t xml:space="preserve">    （二）存在问题。</w:t>
      </w:r>
    </w:p>
    <w:p>
      <w:pPr>
        <w:widowControl/>
        <w:adjustRightInd w:val="0"/>
        <w:snapToGrid w:val="0"/>
        <w:spacing w:line="540" w:lineRule="exact"/>
        <w:ind w:firstLine="720"/>
        <w:jc w:val="left"/>
        <w:rPr>
          <w:rFonts w:ascii="仿宋" w:hAnsi="仿宋" w:eastAsia="仿宋" w:cs="仿宋_GB2312"/>
          <w:kern w:val="0"/>
          <w:sz w:val="32"/>
          <w:szCs w:val="32"/>
          <w:lang w:val="zh-CN"/>
        </w:rPr>
      </w:pPr>
      <w:r>
        <w:rPr>
          <w:rFonts w:hint="eastAsia" w:ascii="仿宋" w:hAnsi="仿宋" w:eastAsia="仿宋" w:cs="仿宋_GB2312"/>
          <w:kern w:val="0"/>
          <w:sz w:val="32"/>
          <w:szCs w:val="32"/>
          <w:lang w:val="zh-CN"/>
        </w:rPr>
        <w:t>1、</w:t>
      </w:r>
      <w:r>
        <w:rPr>
          <w:rFonts w:hint="eastAsia" w:ascii="仿宋" w:hAnsi="仿宋" w:eastAsia="仿宋" w:cs="仿宋_GB2312"/>
          <w:kern w:val="0"/>
          <w:sz w:val="32"/>
          <w:szCs w:val="32"/>
        </w:rPr>
        <w:t>预算编制和实际执行有一定偏差。</w:t>
      </w:r>
    </w:p>
    <w:p>
      <w:pPr>
        <w:widowControl/>
        <w:adjustRightInd w:val="0"/>
        <w:snapToGrid w:val="0"/>
        <w:spacing w:line="540" w:lineRule="exact"/>
        <w:ind w:firstLine="720"/>
        <w:jc w:val="left"/>
        <w:rPr>
          <w:rFonts w:ascii="仿宋" w:hAnsi="仿宋" w:eastAsia="仿宋" w:cs="仿宋_GB2312"/>
          <w:kern w:val="0"/>
          <w:sz w:val="32"/>
          <w:szCs w:val="32"/>
          <w:lang w:val="zh-CN"/>
        </w:rPr>
      </w:pPr>
      <w:r>
        <w:rPr>
          <w:rFonts w:hint="eastAsia" w:ascii="仿宋" w:hAnsi="仿宋" w:eastAsia="仿宋" w:cs="仿宋_GB2312"/>
          <w:kern w:val="0"/>
          <w:sz w:val="32"/>
          <w:szCs w:val="32"/>
          <w:lang w:val="zh-CN"/>
        </w:rPr>
        <w:t>2、人员不足，我院目前承担了全乡一万多人口的基本医疗和基本公共卫生服务工作，因属于少数民族地区，地区分布偏远，民族意识薄弱，医护人员严重不足，医务人员经常是超负荷工作，影响工作效率。</w:t>
      </w:r>
    </w:p>
    <w:p>
      <w:pPr>
        <w:widowControl/>
        <w:adjustRightInd w:val="0"/>
        <w:snapToGrid w:val="0"/>
        <w:spacing w:line="540" w:lineRule="exact"/>
        <w:ind w:firstLine="720"/>
        <w:jc w:val="left"/>
        <w:rPr>
          <w:rFonts w:ascii="仿宋" w:hAnsi="仿宋" w:eastAsia="仿宋" w:cs="仿宋_GB2312"/>
          <w:sz w:val="32"/>
          <w:szCs w:val="32"/>
          <w:lang w:val="zh-CN"/>
        </w:rPr>
      </w:pPr>
      <w:r>
        <w:rPr>
          <w:rFonts w:hint="eastAsia" w:ascii="仿宋" w:hAnsi="仿宋" w:eastAsia="仿宋" w:cs="仿宋_GB2312"/>
          <w:kern w:val="0"/>
          <w:sz w:val="32"/>
          <w:szCs w:val="32"/>
          <w:lang w:val="zh-CN"/>
        </w:rPr>
        <w:t>3、部分专项资金存在使用范围不明确，单位统筹规范不足，责任落实不到位，加上以前年度资金下达滞后，导致资金使用进度缓慢。</w:t>
      </w:r>
    </w:p>
    <w:p>
      <w:pPr>
        <w:widowControl/>
        <w:adjustRightInd w:val="0"/>
        <w:snapToGrid w:val="0"/>
        <w:spacing w:line="540" w:lineRule="exact"/>
        <w:jc w:val="left"/>
        <w:rPr>
          <w:rFonts w:ascii="仿宋" w:hAnsi="仿宋" w:eastAsia="仿宋" w:cs="仿宋_GB2312"/>
          <w:sz w:val="32"/>
          <w:szCs w:val="32"/>
          <w:lang w:val="zh-CN"/>
        </w:rPr>
      </w:pPr>
      <w:r>
        <w:rPr>
          <w:rFonts w:hint="eastAsia" w:ascii="仿宋" w:hAnsi="仿宋" w:eastAsia="仿宋" w:cs="仿宋_GB2312"/>
          <w:sz w:val="32"/>
          <w:szCs w:val="32"/>
          <w:lang w:val="zh-CN"/>
        </w:rPr>
        <w:t xml:space="preserve">   （三）改进建议。</w:t>
      </w:r>
    </w:p>
    <w:p>
      <w:pPr>
        <w:widowControl/>
        <w:adjustRightInd w:val="0"/>
        <w:snapToGrid w:val="0"/>
        <w:spacing w:line="540" w:lineRule="exact"/>
        <w:ind w:left="640"/>
        <w:jc w:val="left"/>
        <w:rPr>
          <w:rFonts w:ascii="仿宋" w:hAnsi="仿宋" w:eastAsia="仿宋" w:cs="仿宋_GB2312"/>
          <w:sz w:val="32"/>
          <w:szCs w:val="32"/>
        </w:rPr>
      </w:pPr>
      <w:r>
        <w:rPr>
          <w:rFonts w:hint="eastAsia" w:ascii="仿宋" w:hAnsi="仿宋" w:eastAsia="仿宋" w:cs="仿宋_GB2312"/>
          <w:sz w:val="32"/>
          <w:szCs w:val="32"/>
        </w:rPr>
        <w:t>1、加强预算编制的前瞻性，科学合理编制预算，严格执行预算。</w:t>
      </w:r>
    </w:p>
    <w:p>
      <w:pPr>
        <w:widowControl/>
        <w:adjustRightInd w:val="0"/>
        <w:snapToGrid w:val="0"/>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2、专项资金中部分涉及政府采购（基本建设、设备采购）的申报、采购时间较长，年初单位应根据本年目标任务和工作重点，将需要的采购项目</w:t>
      </w:r>
      <w:r>
        <w:rPr>
          <w:rFonts w:hint="eastAsia" w:ascii="仿宋" w:hAnsi="仿宋" w:eastAsia="仿宋" w:cs="仿宋_GB2312"/>
          <w:kern w:val="0"/>
          <w:sz w:val="32"/>
          <w:szCs w:val="32"/>
        </w:rPr>
        <w:t>统筹安排，</w:t>
      </w:r>
      <w:r>
        <w:rPr>
          <w:rFonts w:hint="eastAsia" w:ascii="仿宋" w:hAnsi="仿宋" w:eastAsia="仿宋" w:cs="仿宋_GB2312"/>
          <w:sz w:val="32"/>
          <w:szCs w:val="32"/>
        </w:rPr>
        <w:t>提前做好计划和实施方案，采购完成后应及时完成验收。</w:t>
      </w:r>
    </w:p>
    <w:p>
      <w:pPr>
        <w:widowControl/>
        <w:adjustRightInd w:val="0"/>
        <w:snapToGrid w:val="0"/>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3、单位领导应更新思路，有效借鉴行之有效的管理办法，高度重视专项资金的使用，层层抓落实，将资金结合工作落实到科室，落实到人。将下达的资金与业务工作落实有效结合，提高资金的使用进度。</w:t>
      </w:r>
    </w:p>
    <w:p>
      <w:pPr>
        <w:widowControl/>
        <w:adjustRightInd w:val="0"/>
        <w:snapToGrid w:val="0"/>
        <w:spacing w:line="540" w:lineRule="exact"/>
        <w:ind w:firstLine="640" w:firstLineChars="200"/>
        <w:jc w:val="left"/>
        <w:rPr>
          <w:rFonts w:ascii="仿宋" w:hAnsi="仿宋" w:eastAsia="仿宋" w:cs="仿宋_GB2312"/>
          <w:kern w:val="0"/>
          <w:sz w:val="32"/>
          <w:szCs w:val="32"/>
        </w:rPr>
      </w:pPr>
      <w:r>
        <w:rPr>
          <w:rFonts w:hint="eastAsia" w:ascii="仿宋" w:hAnsi="仿宋" w:eastAsia="仿宋" w:cs="仿宋_GB2312"/>
          <w:sz w:val="32"/>
          <w:szCs w:val="32"/>
        </w:rPr>
        <w:t>4、完善绩效评价体系，加强监督检查和考核工作。</w:t>
      </w:r>
      <w:r>
        <w:rPr>
          <w:rFonts w:hint="eastAsia" w:ascii="仿宋" w:hAnsi="仿宋" w:eastAsia="仿宋" w:cs="仿宋_GB2312"/>
          <w:kern w:val="0"/>
          <w:sz w:val="32"/>
          <w:szCs w:val="32"/>
        </w:rPr>
        <w:t>加强对绩效管理工作的跟踪督查，做到绩效管理有依据、按程序、有奖惩，实现绩效管理的规范化、常态化。</w:t>
      </w:r>
    </w:p>
    <w:p>
      <w:pPr>
        <w:widowControl/>
        <w:adjustRightInd w:val="0"/>
        <w:snapToGrid w:val="0"/>
        <w:spacing w:line="54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5、加强队伍建设。抓好绩效评价管理</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rPr>
        <w:t>的队伍建设和业务指导，培育公共卫生专项支出和</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rPr>
        <w:t>整体支出的绩效评价管理队伍，组建专家队伍，并加强业务培训。</w:t>
      </w: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widowControl/>
        <w:adjustRightInd w:val="0"/>
        <w:snapToGrid w:val="0"/>
        <w:spacing w:line="540" w:lineRule="exact"/>
        <w:ind w:firstLine="640" w:firstLineChars="200"/>
        <w:jc w:val="left"/>
        <w:rPr>
          <w:rFonts w:ascii="仿宋" w:hAnsi="仿宋" w:eastAsia="仿宋" w:cs="仿宋_GB2312"/>
          <w:kern w:val="0"/>
          <w:sz w:val="32"/>
          <w:szCs w:val="32"/>
        </w:rPr>
      </w:pPr>
    </w:p>
    <w:p>
      <w:pPr>
        <w:adjustRightInd w:val="0"/>
        <w:snapToGrid w:val="0"/>
        <w:spacing w:line="560" w:lineRule="exact"/>
        <w:rPr>
          <w:rFonts w:ascii="仿宋" w:hAnsi="仿宋" w:eastAsia="仿宋" w:cs="仿宋_GB2312"/>
          <w:sz w:val="32"/>
          <w:szCs w:val="32"/>
          <w:lang w:val="zh-CN"/>
        </w:rPr>
      </w:pPr>
    </w:p>
    <w:p>
      <w:pPr>
        <w:adjustRightInd w:val="0"/>
        <w:snapToGrid w:val="0"/>
        <w:spacing w:line="560" w:lineRule="exact"/>
        <w:rPr>
          <w:rFonts w:ascii="仿宋" w:hAnsi="仿宋" w:eastAsia="仿宋" w:cs="仿宋_GB2312"/>
          <w:sz w:val="32"/>
          <w:szCs w:val="32"/>
          <w:lang w:val="zh-CN"/>
        </w:rPr>
      </w:pPr>
      <w:r>
        <w:rPr>
          <w:rFonts w:hint="eastAsia" w:ascii="仿宋" w:hAnsi="仿宋" w:eastAsia="仿宋" w:cs="仿宋_GB2312"/>
          <w:sz w:val="32"/>
          <w:szCs w:val="32"/>
          <w:lang w:val="zh-CN"/>
        </w:rPr>
        <w:t xml:space="preserve">                 </w:t>
      </w:r>
      <w:r>
        <w:rPr>
          <w:rFonts w:hint="eastAsia" w:ascii="黑体" w:hAnsi="黑体" w:eastAsia="黑体"/>
          <w:sz w:val="44"/>
          <w:szCs w:val="44"/>
        </w:rPr>
        <w:t>第五部分 附表</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二、收入总表</w:t>
      </w:r>
    </w:p>
    <w:p>
      <w:pPr>
        <w:rPr>
          <w:rFonts w:ascii="仿宋" w:hAnsi="仿宋" w:eastAsia="仿宋"/>
          <w:sz w:val="32"/>
          <w:szCs w:val="32"/>
        </w:rPr>
      </w:pPr>
      <w:r>
        <w:rPr>
          <w:rFonts w:hint="eastAsia" w:ascii="仿宋" w:hAnsi="仿宋" w:eastAsia="仿宋"/>
          <w:sz w:val="32"/>
          <w:szCs w:val="32"/>
        </w:rPr>
        <w:t>三、支出总表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五、财政拨款支出决算明细表（政府经济分类科目）</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十、一般公共预算财政拨款“三公”经费支出决算表</w:t>
      </w:r>
    </w:p>
    <w:p>
      <w:pPr>
        <w:rPr>
          <w:rFonts w:ascii="仿宋" w:hAnsi="仿宋" w:eastAsia="仿宋"/>
          <w:sz w:val="32"/>
          <w:szCs w:val="32"/>
        </w:rPr>
      </w:pPr>
      <w:r>
        <w:rPr>
          <w:rFonts w:hint="eastAsia" w:ascii="仿宋" w:hAnsi="仿宋" w:eastAsia="仿宋"/>
          <w:sz w:val="32"/>
          <w:szCs w:val="32"/>
        </w:rPr>
        <w:t>十一、政府性基金预算财政拨款收入支出决算表</w:t>
      </w:r>
    </w:p>
    <w:p>
      <w:pPr>
        <w:rPr>
          <w:rFonts w:ascii="仿宋" w:hAnsi="仿宋" w:eastAsia="仿宋"/>
          <w:sz w:val="32"/>
          <w:szCs w:val="32"/>
        </w:rPr>
      </w:pPr>
      <w:r>
        <w:rPr>
          <w:rFonts w:hint="eastAsia" w:ascii="仿宋" w:hAnsi="仿宋" w:eastAsia="仿宋"/>
          <w:sz w:val="32"/>
          <w:szCs w:val="32"/>
        </w:rPr>
        <w:t>十二、政府性基金预算财政拨款“三公”经费支出决算表</w:t>
      </w:r>
    </w:p>
    <w:p>
      <w:pPr>
        <w:rPr>
          <w:rFonts w:ascii="仿宋" w:hAnsi="仿宋" w:eastAsia="仿宋"/>
          <w:sz w:val="32"/>
          <w:szCs w:val="32"/>
        </w:rPr>
      </w:pPr>
      <w:r>
        <w:rPr>
          <w:rFonts w:hint="eastAsia" w:ascii="仿宋" w:hAnsi="仿宋" w:eastAsia="仿宋"/>
          <w:sz w:val="32"/>
          <w:szCs w:val="32"/>
        </w:rPr>
        <w:t>十三、国有资本经营预算财政拨款收入支出决算表</w:t>
      </w:r>
    </w:p>
    <w:p>
      <w:pPr>
        <w:rPr>
          <w:rFonts w:ascii="仿宋" w:hAnsi="仿宋" w:eastAsia="仿宋"/>
          <w:sz w:val="32"/>
          <w:szCs w:val="32"/>
        </w:rPr>
      </w:pPr>
      <w:r>
        <w:rPr>
          <w:rFonts w:hint="eastAsia" w:ascii="仿宋" w:hAnsi="仿宋" w:eastAsia="仿宋"/>
          <w:sz w:val="32"/>
          <w:szCs w:val="32"/>
        </w:rPr>
        <w:t>十四、国有资本经营预算财政拨款支出决算表</w:t>
      </w:r>
    </w:p>
    <w:p>
      <w:pPr>
        <w:rPr>
          <w:rFonts w:ascii="仿宋" w:hAnsi="仿宋" w:eastAsia="仿宋"/>
          <w:sz w:val="32"/>
          <w:szCs w:val="32"/>
        </w:rPr>
      </w:pPr>
      <w:r>
        <w:rPr>
          <w:rFonts w:hint="eastAsia" w:ascii="仿宋" w:hAnsi="仿宋" w:eastAsia="仿宋"/>
          <w:sz w:val="32"/>
          <w:szCs w:val="32"/>
        </w:rPr>
        <w:t>十五、机关运行经费、资产占用情况及政府采购支出信息表</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833230"/>
    </w:sdtPr>
    <w:sdtContent>
      <w:p>
        <w:pPr>
          <w:pStyle w:val="3"/>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6946"/>
    <w:multiLevelType w:val="singleLevel"/>
    <w:tmpl w:val="8A206946"/>
    <w:lvl w:ilvl="0" w:tentative="0">
      <w:start w:val="1"/>
      <w:numFmt w:val="chineseCounting"/>
      <w:suff w:val="nothing"/>
      <w:lvlText w:val="%1、"/>
      <w:lvlJc w:val="left"/>
      <w:pPr>
        <w:ind w:left="640" w:firstLine="0"/>
      </w:pPr>
      <w:rPr>
        <w:rFonts w:hint="eastAsia"/>
      </w:rPr>
    </w:lvl>
  </w:abstractNum>
  <w:abstractNum w:abstractNumId="1">
    <w:nsid w:val="B609FE9C"/>
    <w:multiLevelType w:val="singleLevel"/>
    <w:tmpl w:val="B609FE9C"/>
    <w:lvl w:ilvl="0" w:tentative="0">
      <w:start w:val="1"/>
      <w:numFmt w:val="chineseCounting"/>
      <w:suff w:val="nothing"/>
      <w:lvlText w:val="%1、"/>
      <w:lvlJc w:val="left"/>
      <w:rPr>
        <w:rFonts w:hint="eastAsia"/>
      </w:rPr>
    </w:lvl>
  </w:abstractNum>
  <w:abstractNum w:abstractNumId="2">
    <w:nsid w:val="B7F796E5"/>
    <w:multiLevelType w:val="singleLevel"/>
    <w:tmpl w:val="B7F796E5"/>
    <w:lvl w:ilvl="0" w:tentative="0">
      <w:start w:val="1"/>
      <w:numFmt w:val="chineseCounting"/>
      <w:suff w:val="nothing"/>
      <w:lvlText w:val="%1、"/>
      <w:lvlJc w:val="left"/>
      <w:pPr>
        <w:ind w:left="640" w:firstLine="0"/>
      </w:pPr>
      <w:rPr>
        <w:rFonts w:hint="eastAsia"/>
      </w:rPr>
    </w:lvl>
  </w:abstractNum>
  <w:abstractNum w:abstractNumId="3">
    <w:nsid w:val="59195FCE"/>
    <w:multiLevelType w:val="singleLevel"/>
    <w:tmpl w:val="59195FCE"/>
    <w:lvl w:ilvl="0" w:tentative="0">
      <w:start w:val="1"/>
      <w:numFmt w:val="chineseCounting"/>
      <w:suff w:val="space"/>
      <w:lvlText w:val="第%1部分"/>
      <w:lvlJc w:val="left"/>
      <w:rPr>
        <w:rFonts w:hint="eastAsia"/>
      </w:rPr>
    </w:lvl>
  </w:abstractNum>
  <w:abstractNum w:abstractNumId="4">
    <w:nsid w:val="5992BEAC"/>
    <w:multiLevelType w:val="singleLevel"/>
    <w:tmpl w:val="5992BEAC"/>
    <w:lvl w:ilvl="0" w:tentative="0">
      <w:start w:val="2"/>
      <w:numFmt w:val="chineseCounting"/>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mNzhhNzIwNDA5MjcwODBiNzRhZjVmN2Y2NDA3ZmUifQ=="/>
  </w:docVars>
  <w:rsids>
    <w:rsidRoot w:val="0038113D"/>
    <w:rsid w:val="000020A9"/>
    <w:rsid w:val="0000407F"/>
    <w:rsid w:val="0000636C"/>
    <w:rsid w:val="00010EED"/>
    <w:rsid w:val="00030E5A"/>
    <w:rsid w:val="00032468"/>
    <w:rsid w:val="0003316C"/>
    <w:rsid w:val="000354B7"/>
    <w:rsid w:val="00037A4A"/>
    <w:rsid w:val="0004444D"/>
    <w:rsid w:val="0004450E"/>
    <w:rsid w:val="000546D2"/>
    <w:rsid w:val="00060681"/>
    <w:rsid w:val="000830AF"/>
    <w:rsid w:val="00083A3E"/>
    <w:rsid w:val="00084DA0"/>
    <w:rsid w:val="00084DF3"/>
    <w:rsid w:val="0008538C"/>
    <w:rsid w:val="000A4255"/>
    <w:rsid w:val="000B2183"/>
    <w:rsid w:val="000D6C8A"/>
    <w:rsid w:val="000E1A89"/>
    <w:rsid w:val="000F5A0C"/>
    <w:rsid w:val="00111403"/>
    <w:rsid w:val="00115750"/>
    <w:rsid w:val="001219BE"/>
    <w:rsid w:val="0012381B"/>
    <w:rsid w:val="00132444"/>
    <w:rsid w:val="00133451"/>
    <w:rsid w:val="0013352C"/>
    <w:rsid w:val="0014600D"/>
    <w:rsid w:val="001548C2"/>
    <w:rsid w:val="001650D8"/>
    <w:rsid w:val="00167077"/>
    <w:rsid w:val="00167CD5"/>
    <w:rsid w:val="00190327"/>
    <w:rsid w:val="00195595"/>
    <w:rsid w:val="001A743C"/>
    <w:rsid w:val="001A7EA9"/>
    <w:rsid w:val="001D3E01"/>
    <w:rsid w:val="001E29F1"/>
    <w:rsid w:val="001E2B44"/>
    <w:rsid w:val="001E7D0B"/>
    <w:rsid w:val="001F2445"/>
    <w:rsid w:val="001F251E"/>
    <w:rsid w:val="001F449E"/>
    <w:rsid w:val="002018E2"/>
    <w:rsid w:val="002019A4"/>
    <w:rsid w:val="002023A3"/>
    <w:rsid w:val="00204C95"/>
    <w:rsid w:val="002329CD"/>
    <w:rsid w:val="0025057F"/>
    <w:rsid w:val="00274D19"/>
    <w:rsid w:val="002775B3"/>
    <w:rsid w:val="00290C68"/>
    <w:rsid w:val="002A6C27"/>
    <w:rsid w:val="002B0373"/>
    <w:rsid w:val="002B143C"/>
    <w:rsid w:val="002B6598"/>
    <w:rsid w:val="002C3455"/>
    <w:rsid w:val="002D1AC1"/>
    <w:rsid w:val="002D26ED"/>
    <w:rsid w:val="002E056D"/>
    <w:rsid w:val="002E05DF"/>
    <w:rsid w:val="002E5DFA"/>
    <w:rsid w:val="002F34DB"/>
    <w:rsid w:val="002F4871"/>
    <w:rsid w:val="003113CC"/>
    <w:rsid w:val="00313624"/>
    <w:rsid w:val="00316D5A"/>
    <w:rsid w:val="00333A49"/>
    <w:rsid w:val="00334140"/>
    <w:rsid w:val="00336B6F"/>
    <w:rsid w:val="00340D85"/>
    <w:rsid w:val="0035019A"/>
    <w:rsid w:val="0038113D"/>
    <w:rsid w:val="003902CB"/>
    <w:rsid w:val="00393ECE"/>
    <w:rsid w:val="003A1923"/>
    <w:rsid w:val="003A2381"/>
    <w:rsid w:val="003A51A4"/>
    <w:rsid w:val="003A7CE5"/>
    <w:rsid w:val="003D0F35"/>
    <w:rsid w:val="003D1EA7"/>
    <w:rsid w:val="003E30B0"/>
    <w:rsid w:val="003E4AC3"/>
    <w:rsid w:val="003F007B"/>
    <w:rsid w:val="003F0935"/>
    <w:rsid w:val="003F4121"/>
    <w:rsid w:val="00403E78"/>
    <w:rsid w:val="00414087"/>
    <w:rsid w:val="00421061"/>
    <w:rsid w:val="004242D2"/>
    <w:rsid w:val="0044030F"/>
    <w:rsid w:val="00444AA8"/>
    <w:rsid w:val="00454CD5"/>
    <w:rsid w:val="00457B0C"/>
    <w:rsid w:val="0046579A"/>
    <w:rsid w:val="00470FCF"/>
    <w:rsid w:val="00484937"/>
    <w:rsid w:val="00494538"/>
    <w:rsid w:val="00494884"/>
    <w:rsid w:val="00495B88"/>
    <w:rsid w:val="004964C9"/>
    <w:rsid w:val="004A19FB"/>
    <w:rsid w:val="004A2FB9"/>
    <w:rsid w:val="004A44D8"/>
    <w:rsid w:val="004B2202"/>
    <w:rsid w:val="004B41BE"/>
    <w:rsid w:val="004B4813"/>
    <w:rsid w:val="004D2D29"/>
    <w:rsid w:val="004E5A17"/>
    <w:rsid w:val="004F582E"/>
    <w:rsid w:val="004F7CB1"/>
    <w:rsid w:val="0051529F"/>
    <w:rsid w:val="00516F02"/>
    <w:rsid w:val="005256BE"/>
    <w:rsid w:val="00531B14"/>
    <w:rsid w:val="00532612"/>
    <w:rsid w:val="00534686"/>
    <w:rsid w:val="00554359"/>
    <w:rsid w:val="00560018"/>
    <w:rsid w:val="005776ED"/>
    <w:rsid w:val="0059393E"/>
    <w:rsid w:val="00593D94"/>
    <w:rsid w:val="00596C05"/>
    <w:rsid w:val="005B28BB"/>
    <w:rsid w:val="005B3168"/>
    <w:rsid w:val="005B471B"/>
    <w:rsid w:val="005B6091"/>
    <w:rsid w:val="005E2761"/>
    <w:rsid w:val="005E2BC6"/>
    <w:rsid w:val="00600A8D"/>
    <w:rsid w:val="00601867"/>
    <w:rsid w:val="00602049"/>
    <w:rsid w:val="0061206A"/>
    <w:rsid w:val="0061739F"/>
    <w:rsid w:val="006201A1"/>
    <w:rsid w:val="00621E46"/>
    <w:rsid w:val="00625197"/>
    <w:rsid w:val="0064338B"/>
    <w:rsid w:val="006632CE"/>
    <w:rsid w:val="00663B93"/>
    <w:rsid w:val="006649F4"/>
    <w:rsid w:val="0067234B"/>
    <w:rsid w:val="00684875"/>
    <w:rsid w:val="00684E14"/>
    <w:rsid w:val="006A2039"/>
    <w:rsid w:val="006A28FA"/>
    <w:rsid w:val="006B16FE"/>
    <w:rsid w:val="006B5CCC"/>
    <w:rsid w:val="006C1166"/>
    <w:rsid w:val="006C1B5F"/>
    <w:rsid w:val="006E49CF"/>
    <w:rsid w:val="006E7553"/>
    <w:rsid w:val="006E77F1"/>
    <w:rsid w:val="006F1C3E"/>
    <w:rsid w:val="00703981"/>
    <w:rsid w:val="00704FFC"/>
    <w:rsid w:val="00707E73"/>
    <w:rsid w:val="00711E05"/>
    <w:rsid w:val="00712B85"/>
    <w:rsid w:val="00715261"/>
    <w:rsid w:val="007157E8"/>
    <w:rsid w:val="00722DE9"/>
    <w:rsid w:val="00735C19"/>
    <w:rsid w:val="00747E48"/>
    <w:rsid w:val="00752C18"/>
    <w:rsid w:val="00766B8A"/>
    <w:rsid w:val="00767C9B"/>
    <w:rsid w:val="007707EE"/>
    <w:rsid w:val="007807AA"/>
    <w:rsid w:val="00782260"/>
    <w:rsid w:val="0078508C"/>
    <w:rsid w:val="00786FD5"/>
    <w:rsid w:val="00796E81"/>
    <w:rsid w:val="007974F2"/>
    <w:rsid w:val="007A5F2C"/>
    <w:rsid w:val="007B62E8"/>
    <w:rsid w:val="007C28AF"/>
    <w:rsid w:val="007C70C2"/>
    <w:rsid w:val="007D1E4E"/>
    <w:rsid w:val="007D3456"/>
    <w:rsid w:val="007D3F5F"/>
    <w:rsid w:val="007E52A7"/>
    <w:rsid w:val="007E52AB"/>
    <w:rsid w:val="007E6EC2"/>
    <w:rsid w:val="00803E1B"/>
    <w:rsid w:val="0080526F"/>
    <w:rsid w:val="0080678A"/>
    <w:rsid w:val="00811428"/>
    <w:rsid w:val="00817BE8"/>
    <w:rsid w:val="008275A5"/>
    <w:rsid w:val="0085414B"/>
    <w:rsid w:val="00855CCF"/>
    <w:rsid w:val="008732AB"/>
    <w:rsid w:val="00875FCD"/>
    <w:rsid w:val="00887DB6"/>
    <w:rsid w:val="008A211F"/>
    <w:rsid w:val="008A7445"/>
    <w:rsid w:val="008B010A"/>
    <w:rsid w:val="008C2DD3"/>
    <w:rsid w:val="008C7C3E"/>
    <w:rsid w:val="008D5F78"/>
    <w:rsid w:val="008E1530"/>
    <w:rsid w:val="008E7DEA"/>
    <w:rsid w:val="00904805"/>
    <w:rsid w:val="00905F41"/>
    <w:rsid w:val="0091311D"/>
    <w:rsid w:val="009332AF"/>
    <w:rsid w:val="009332B2"/>
    <w:rsid w:val="00953809"/>
    <w:rsid w:val="009551E7"/>
    <w:rsid w:val="009569C0"/>
    <w:rsid w:val="009579C4"/>
    <w:rsid w:val="00962464"/>
    <w:rsid w:val="00964AED"/>
    <w:rsid w:val="00966765"/>
    <w:rsid w:val="00976E8C"/>
    <w:rsid w:val="00994D0C"/>
    <w:rsid w:val="009A359E"/>
    <w:rsid w:val="009A4F98"/>
    <w:rsid w:val="009A7C66"/>
    <w:rsid w:val="009B29DE"/>
    <w:rsid w:val="009B3BA6"/>
    <w:rsid w:val="009C64EC"/>
    <w:rsid w:val="009D093F"/>
    <w:rsid w:val="009E6EDC"/>
    <w:rsid w:val="009F1361"/>
    <w:rsid w:val="00A05F59"/>
    <w:rsid w:val="00A42052"/>
    <w:rsid w:val="00A66F37"/>
    <w:rsid w:val="00A707FC"/>
    <w:rsid w:val="00A73B91"/>
    <w:rsid w:val="00A81189"/>
    <w:rsid w:val="00A818D9"/>
    <w:rsid w:val="00A90764"/>
    <w:rsid w:val="00AA5538"/>
    <w:rsid w:val="00AB1BEF"/>
    <w:rsid w:val="00AC43A4"/>
    <w:rsid w:val="00AC44F0"/>
    <w:rsid w:val="00AC6283"/>
    <w:rsid w:val="00AD0916"/>
    <w:rsid w:val="00AD7093"/>
    <w:rsid w:val="00AE5CC3"/>
    <w:rsid w:val="00AF0171"/>
    <w:rsid w:val="00AF1A5E"/>
    <w:rsid w:val="00AF35A8"/>
    <w:rsid w:val="00AF4E70"/>
    <w:rsid w:val="00AF5474"/>
    <w:rsid w:val="00AF5586"/>
    <w:rsid w:val="00B005C4"/>
    <w:rsid w:val="00B01902"/>
    <w:rsid w:val="00B1106C"/>
    <w:rsid w:val="00B14F6B"/>
    <w:rsid w:val="00B15ABD"/>
    <w:rsid w:val="00B15B6F"/>
    <w:rsid w:val="00B23222"/>
    <w:rsid w:val="00B24DDA"/>
    <w:rsid w:val="00B25E9A"/>
    <w:rsid w:val="00B36E2C"/>
    <w:rsid w:val="00B370B0"/>
    <w:rsid w:val="00B44470"/>
    <w:rsid w:val="00B51219"/>
    <w:rsid w:val="00B639C5"/>
    <w:rsid w:val="00B64C62"/>
    <w:rsid w:val="00B828AA"/>
    <w:rsid w:val="00B87EB1"/>
    <w:rsid w:val="00BC1B84"/>
    <w:rsid w:val="00BC5DF1"/>
    <w:rsid w:val="00BD4A59"/>
    <w:rsid w:val="00BE0079"/>
    <w:rsid w:val="00BE2E86"/>
    <w:rsid w:val="00BE406A"/>
    <w:rsid w:val="00BE5FB7"/>
    <w:rsid w:val="00BF4B2A"/>
    <w:rsid w:val="00C04814"/>
    <w:rsid w:val="00C1523F"/>
    <w:rsid w:val="00C22B35"/>
    <w:rsid w:val="00C26B0F"/>
    <w:rsid w:val="00C26DA6"/>
    <w:rsid w:val="00C314EC"/>
    <w:rsid w:val="00C321BD"/>
    <w:rsid w:val="00C34426"/>
    <w:rsid w:val="00C349C8"/>
    <w:rsid w:val="00C4353E"/>
    <w:rsid w:val="00C53FA0"/>
    <w:rsid w:val="00C54E90"/>
    <w:rsid w:val="00C642DF"/>
    <w:rsid w:val="00CA0752"/>
    <w:rsid w:val="00CA392B"/>
    <w:rsid w:val="00CA3BDC"/>
    <w:rsid w:val="00CA3C37"/>
    <w:rsid w:val="00CB1EEA"/>
    <w:rsid w:val="00CD39A4"/>
    <w:rsid w:val="00CE0161"/>
    <w:rsid w:val="00CE20AF"/>
    <w:rsid w:val="00CE7E38"/>
    <w:rsid w:val="00CF1D95"/>
    <w:rsid w:val="00D107A9"/>
    <w:rsid w:val="00D15B1D"/>
    <w:rsid w:val="00D37492"/>
    <w:rsid w:val="00D428C2"/>
    <w:rsid w:val="00D42A81"/>
    <w:rsid w:val="00D4509A"/>
    <w:rsid w:val="00D55064"/>
    <w:rsid w:val="00D84E85"/>
    <w:rsid w:val="00D92D2F"/>
    <w:rsid w:val="00DA3F39"/>
    <w:rsid w:val="00DC35C2"/>
    <w:rsid w:val="00DC7416"/>
    <w:rsid w:val="00DC78A4"/>
    <w:rsid w:val="00DD4FED"/>
    <w:rsid w:val="00DE12AC"/>
    <w:rsid w:val="00DE45EB"/>
    <w:rsid w:val="00DF1F25"/>
    <w:rsid w:val="00DF3FD7"/>
    <w:rsid w:val="00DF5963"/>
    <w:rsid w:val="00DF6A14"/>
    <w:rsid w:val="00E01516"/>
    <w:rsid w:val="00E2360B"/>
    <w:rsid w:val="00E25961"/>
    <w:rsid w:val="00E27115"/>
    <w:rsid w:val="00E372C5"/>
    <w:rsid w:val="00E424EF"/>
    <w:rsid w:val="00E529CE"/>
    <w:rsid w:val="00E61B7F"/>
    <w:rsid w:val="00E62C5E"/>
    <w:rsid w:val="00E637F9"/>
    <w:rsid w:val="00E70954"/>
    <w:rsid w:val="00E7211F"/>
    <w:rsid w:val="00E76AD1"/>
    <w:rsid w:val="00E803A5"/>
    <w:rsid w:val="00E82C80"/>
    <w:rsid w:val="00E90BC6"/>
    <w:rsid w:val="00E91B70"/>
    <w:rsid w:val="00E96678"/>
    <w:rsid w:val="00E97A77"/>
    <w:rsid w:val="00EA196E"/>
    <w:rsid w:val="00EA6384"/>
    <w:rsid w:val="00EB15E9"/>
    <w:rsid w:val="00EB3D44"/>
    <w:rsid w:val="00ED0DD8"/>
    <w:rsid w:val="00F039C5"/>
    <w:rsid w:val="00F102E7"/>
    <w:rsid w:val="00F12A6A"/>
    <w:rsid w:val="00F20C1F"/>
    <w:rsid w:val="00F27F40"/>
    <w:rsid w:val="00F413A6"/>
    <w:rsid w:val="00F43CD9"/>
    <w:rsid w:val="00F479DA"/>
    <w:rsid w:val="00F53715"/>
    <w:rsid w:val="00F54FC7"/>
    <w:rsid w:val="00F64286"/>
    <w:rsid w:val="00F6451B"/>
    <w:rsid w:val="00F77BBA"/>
    <w:rsid w:val="00F80507"/>
    <w:rsid w:val="00F81F5D"/>
    <w:rsid w:val="00F8351D"/>
    <w:rsid w:val="00F852BF"/>
    <w:rsid w:val="00FA021B"/>
    <w:rsid w:val="00FA4DF0"/>
    <w:rsid w:val="00FA7D3F"/>
    <w:rsid w:val="00FC395C"/>
    <w:rsid w:val="00FD0A83"/>
    <w:rsid w:val="00FD2B90"/>
    <w:rsid w:val="00FE3575"/>
    <w:rsid w:val="00FE5F96"/>
    <w:rsid w:val="03954E09"/>
    <w:rsid w:val="0652551F"/>
    <w:rsid w:val="06606BFB"/>
    <w:rsid w:val="08A57DE4"/>
    <w:rsid w:val="0B4C1648"/>
    <w:rsid w:val="0BE91440"/>
    <w:rsid w:val="125B6864"/>
    <w:rsid w:val="13AE53E1"/>
    <w:rsid w:val="18876269"/>
    <w:rsid w:val="263C5AE4"/>
    <w:rsid w:val="2646275A"/>
    <w:rsid w:val="29F2310A"/>
    <w:rsid w:val="2A5F0DF4"/>
    <w:rsid w:val="2DC7118A"/>
    <w:rsid w:val="31D125D7"/>
    <w:rsid w:val="327C762F"/>
    <w:rsid w:val="333F0E29"/>
    <w:rsid w:val="3A015631"/>
    <w:rsid w:val="3C2046D8"/>
    <w:rsid w:val="419D4138"/>
    <w:rsid w:val="46045CCA"/>
    <w:rsid w:val="4E606D65"/>
    <w:rsid w:val="4F3279F6"/>
    <w:rsid w:val="4F6E26BC"/>
    <w:rsid w:val="5045452D"/>
    <w:rsid w:val="550D4C93"/>
    <w:rsid w:val="562C39D0"/>
    <w:rsid w:val="5B6F05E7"/>
    <w:rsid w:val="5C691ED3"/>
    <w:rsid w:val="65471EDC"/>
    <w:rsid w:val="670269C2"/>
    <w:rsid w:val="6B1F008F"/>
    <w:rsid w:val="6C574573"/>
    <w:rsid w:val="6E027905"/>
    <w:rsid w:val="6E89085B"/>
    <w:rsid w:val="6FC235A1"/>
    <w:rsid w:val="732C49E9"/>
    <w:rsid w:val="75BD383D"/>
    <w:rsid w:val="75E447CD"/>
    <w:rsid w:val="7BB1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tabs>
        <w:tab w:val="right" w:leader="dot" w:pos="8296"/>
      </w:tabs>
      <w:spacing w:before="93"/>
      <w:jc w:val="center"/>
    </w:pPr>
    <w:rPr>
      <w:rFonts w:ascii="仿宋" w:hAnsi="仿宋" w:eastAsia="仿宋" w:cs="Times New Roman"/>
      <w:sz w:val="28"/>
      <w:szCs w:val="28"/>
    </w:rPr>
  </w:style>
  <w:style w:type="paragraph" w:styleId="6">
    <w:name w:val="toc 2"/>
    <w:basedOn w:val="1"/>
    <w:next w:val="1"/>
    <w:qFormat/>
    <w:uiPriority w:val="99"/>
    <w:pPr>
      <w:tabs>
        <w:tab w:val="right" w:leader="dot" w:pos="8296"/>
      </w:tabs>
      <w:ind w:left="420" w:leftChars="200"/>
    </w:pPr>
    <w:rPr>
      <w:rFonts w:ascii="仿宋" w:hAnsi="仿宋" w:eastAsia="仿宋" w:cs="Times New Roman"/>
      <w:sz w:val="32"/>
      <w:szCs w:val="32"/>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Hyperlink"/>
    <w:qFormat/>
    <w:uiPriority w:val="99"/>
    <w:rPr>
      <w:rFonts w:cs="Times New Roman"/>
      <w:color w:val="0000FF"/>
      <w:u w:val="single"/>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批注框文本 Char"/>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37096;&#38376;&#20915;&#31639;&#12289;&#24180;&#25253;&#12289;&#36130;&#25919;&#20379;&#20859;&#12289;&#25919;&#24220;&#36130;&#21153;&#25253;&#21578;\2021&#24180;&#30333;&#39532;&#19977;&#23478;&#37096;&#38376;&#20915;&#31639;&#20844;&#24320;&#25991;&#20214;&#12289;&#36164;&#26009;&#31561;\&#36130;&#21153;&#20998;&#26512;&#27169;&#22359;&#65288;2020&#24180;&#20915;&#31639;&#20844;&#24320;&#65289;\&#36130;&#21153;&#20998;&#26512;&#27169;&#22359;&#65288;2021&#24180;&#20915;&#31639;&#20844;&#24320;&#65289;&#30333;&#223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583495725007"/>
          <c:y val="0.0745487583282859"/>
          <c:w val="0.749110236220481"/>
          <c:h val="0.828939195100612"/>
        </c:manualLayout>
      </c:layout>
      <c:barChart>
        <c:barDir val="col"/>
        <c:grouping val="clustered"/>
        <c:varyColors val="0"/>
        <c:ser>
          <c:idx val="0"/>
          <c:order val="0"/>
          <c:tx>
            <c:strRef>
              <c:f>2020年</c:f>
              <c:strCache>
                <c:ptCount val="1"/>
                <c:pt idx="0">
                  <c:v>2020年</c:v>
                </c:pt>
              </c:strCache>
            </c:strRef>
          </c:tx>
          <c:invertIfNegative val="0"/>
          <c:dLbls>
            <c:dLbl>
              <c:idx val="0"/>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白坡2021年财务分析模块!$B$1:$C$1</c:f>
              <c:strCache>
                <c:ptCount val="2"/>
                <c:pt idx="0">
                  <c:v>收入</c:v>
                </c:pt>
                <c:pt idx="1">
                  <c:v>支出</c:v>
                </c:pt>
              </c:strCache>
            </c:strRef>
          </c:cat>
          <c:val>
            <c:numRef>
              <c:f>白坡2021年财务分析模块!$B$2:$C$2</c:f>
              <c:numCache>
                <c:formatCode>0.00_ </c:formatCode>
                <c:ptCount val="2"/>
                <c:pt idx="0">
                  <c:v>562.64</c:v>
                </c:pt>
                <c:pt idx="1">
                  <c:v>562.64</c:v>
                </c:pt>
              </c:numCache>
            </c:numRef>
          </c:val>
        </c:ser>
        <c:ser>
          <c:idx val="1"/>
          <c:order val="1"/>
          <c:tx>
            <c:strRef>
              <c:f>2021年</c:f>
              <c:strCache>
                <c:ptCount val="1"/>
                <c:pt idx="0">
                  <c:v>2021年</c:v>
                </c:pt>
              </c:strCache>
            </c:strRef>
          </c:tx>
          <c:invertIfNegative val="0"/>
          <c:dLbls>
            <c:dLbl>
              <c:idx val="0"/>
              <c:layout>
                <c:manualLayout>
                  <c:x val="0.0078125"/>
                  <c:y val="-0.00972913745923987"/>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1111794619424"/>
                  <c:y val="-0.0188709880275901"/>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白坡2021年财务分析模块!$B$1:$C$1</c:f>
              <c:strCache>
                <c:ptCount val="2"/>
                <c:pt idx="0">
                  <c:v>收入</c:v>
                </c:pt>
                <c:pt idx="1">
                  <c:v>支出</c:v>
                </c:pt>
              </c:strCache>
            </c:strRef>
          </c:cat>
          <c:val>
            <c:numRef>
              <c:f>白坡2021年财务分析模块!$B$3:$C$3</c:f>
              <c:numCache>
                <c:formatCode>0.00_ </c:formatCode>
                <c:ptCount val="2"/>
                <c:pt idx="0">
                  <c:v>508.54</c:v>
                </c:pt>
                <c:pt idx="1">
                  <c:v>508.54</c:v>
                </c:pt>
              </c:numCache>
            </c:numRef>
          </c:val>
        </c:ser>
        <c:ser>
          <c:idx val="2"/>
          <c:order val="2"/>
          <c:tx>
            <c:strRef>
              <c:f>单位：万元</c:f>
              <c:strCache>
                <c:ptCount val="1"/>
                <c:pt idx="0">
                  <c:v>单位：万元</c:v>
                </c:pt>
              </c:strCache>
            </c:strRef>
          </c:tx>
          <c:invertIfNegative val="0"/>
          <c:dLbls>
            <c:delete val="1"/>
          </c:dLbls>
          <c:cat>
            <c:strRef>
              <c:f>白坡2021年财务分析模块!$B$1:$C$1</c:f>
              <c:strCache>
                <c:ptCount val="2"/>
                <c:pt idx="0">
                  <c:v>收入</c:v>
                </c:pt>
                <c:pt idx="1">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50"/>
        <c:axId val="165726848"/>
        <c:axId val="165732736"/>
      </c:barChart>
      <c:catAx>
        <c:axId val="1657268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732736"/>
        <c:crosses val="autoZero"/>
        <c:auto val="1"/>
        <c:lblAlgn val="ctr"/>
        <c:lblOffset val="100"/>
        <c:noMultiLvlLbl val="0"/>
      </c:catAx>
      <c:valAx>
        <c:axId val="165732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726848"/>
        <c:crosses val="autoZero"/>
        <c:crossBetween val="between"/>
      </c:valAx>
    </c:plotArea>
    <c:legend>
      <c:legendPos val="r"/>
      <c:layout>
        <c:manualLayout>
          <c:xMode val="edge"/>
          <c:yMode val="edge"/>
          <c:x val="0.809936152347154"/>
          <c:y val="0.409196158172536"/>
          <c:w val="0.174438758535467"/>
          <c:h val="0.2447771913126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130965390211708"/>
                  <c:y val="-0.209143819460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layout>
                <c:manualLayout>
                  <c:x val="0.117804751174112"/>
                  <c:y val="0.1561311088925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白坡2021年财务分析模块!$A$33:$G$33</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白坡2021年财务分析模块!$A$34:$G$34</c:f>
              <c:numCache>
                <c:formatCode>General</c:formatCode>
                <c:ptCount val="7"/>
                <c:pt idx="0">
                  <c:v>381.62</c:v>
                </c:pt>
                <c:pt idx="1">
                  <c:v>0</c:v>
                </c:pt>
                <c:pt idx="2">
                  <c:v>0</c:v>
                </c:pt>
                <c:pt idx="3">
                  <c:v>39.81</c:v>
                </c:pt>
                <c:pt idx="4">
                  <c:v>0</c:v>
                </c:pt>
                <c:pt idx="5">
                  <c:v>0</c:v>
                </c:pt>
                <c:pt idx="6">
                  <c:v>10.47</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62792938833639"/>
          <c:y val="0.154067332974947"/>
          <c:w val="0.328273506065145"/>
          <c:h val="0.81726440589949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a:t>
            </a:r>
            <a:endParaRPr lang="zh-CN" altLang="en-US"/>
          </a:p>
        </c:rich>
      </c:tx>
      <c:layout/>
      <c:overlay val="0"/>
      <c:spPr>
        <a:noFill/>
        <a:ln w="25400">
          <a:noFill/>
        </a:ln>
      </c:spPr>
    </c:title>
    <c:autoTitleDeleted val="0"/>
    <c:plotArea>
      <c:layout/>
      <c:pieChart>
        <c:varyColors val="1"/>
        <c:ser>
          <c:idx val="0"/>
          <c:order val="0"/>
          <c:tx>
            <c:strRef>
              <c:f>2018年</c:f>
              <c:strCache>
                <c:ptCount val="1"/>
                <c:pt idx="0">
                  <c:v>2018年</c:v>
                </c:pt>
              </c:strCache>
            </c:strRef>
          </c:tx>
          <c:explosion val="0"/>
          <c:dPt>
            <c:idx val="0"/>
            <c:bubble3D val="0"/>
          </c:dPt>
          <c:dPt>
            <c:idx val="1"/>
            <c:bubble3D val="0"/>
          </c:dPt>
          <c:dPt>
            <c:idx val="2"/>
            <c:bubble3D val="0"/>
          </c:dPt>
          <c:dPt>
            <c:idx val="3"/>
            <c:bubble3D val="0"/>
          </c:dPt>
          <c:dPt>
            <c:idx val="4"/>
            <c:bubble3D val="0"/>
          </c:dPt>
          <c:dLbls>
            <c:dLbl>
              <c:idx val="0"/>
              <c:layout>
                <c:manualLayout>
                  <c:x val="-0.150904199475068"/>
                  <c:y val="0.1526731554389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75165135608049"/>
                  <c:y val="-0.1332050160396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5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白坡2021年财务分析模块!$C$57:$G$57</c:f>
              <c:strCache>
                <c:ptCount val="5"/>
                <c:pt idx="0">
                  <c:v>基本支出</c:v>
                </c:pt>
                <c:pt idx="1">
                  <c:v>项目支出</c:v>
                </c:pt>
                <c:pt idx="2">
                  <c:v>上缴上级支出</c:v>
                </c:pt>
                <c:pt idx="3">
                  <c:v>经营支出</c:v>
                </c:pt>
                <c:pt idx="4">
                  <c:v>对附属单位补助支出</c:v>
                </c:pt>
              </c:strCache>
            </c:strRef>
          </c:cat>
          <c:val>
            <c:numRef>
              <c:f>白坡2021年财务分析模块!$C$58:$G$58</c:f>
              <c:numCache>
                <c:formatCode>General</c:formatCode>
                <c:ptCount val="5"/>
                <c:pt idx="0">
                  <c:v>232.44</c:v>
                </c:pt>
                <c:pt idx="1">
                  <c:v>275.91</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58415841584163"/>
          <c:y val="0.221053389026141"/>
          <c:w val="0.319306930693072"/>
          <c:h val="0.7052655745119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5161854768154"/>
          <c:y val="0.0745487022455526"/>
          <c:w val="0.680638013998251"/>
          <c:h val="0.828939195100612"/>
        </c:manualLayout>
      </c:layout>
      <c:barChart>
        <c:barDir val="col"/>
        <c:grouping val="clustered"/>
        <c:varyColors val="0"/>
        <c:ser>
          <c:idx val="0"/>
          <c:order val="0"/>
          <c:tx>
            <c:strRef>
              <c:f>2020年</c:f>
              <c:strCache>
                <c:ptCount val="1"/>
                <c:pt idx="0">
                  <c:v>2020年</c:v>
                </c:pt>
              </c:strCache>
            </c:strRef>
          </c:tx>
          <c:invertIfNegative val="0"/>
          <c:dLbls>
            <c:dLbl>
              <c:idx val="0"/>
              <c:layout>
                <c:manualLayout>
                  <c:x val="0"/>
                  <c:y val="-0.0324074074074077"/>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白坡2021年财务分析模块!$B$83:$C$83</c:f>
              <c:strCache>
                <c:ptCount val="2"/>
                <c:pt idx="0">
                  <c:v>收入</c:v>
                </c:pt>
                <c:pt idx="1">
                  <c:v>支出</c:v>
                </c:pt>
              </c:strCache>
            </c:strRef>
          </c:cat>
          <c:val>
            <c:numRef>
              <c:f>白坡2021年财务分析模块!$B$84:$C$84</c:f>
              <c:numCache>
                <c:formatCode>General</c:formatCode>
                <c:ptCount val="2"/>
                <c:pt idx="0">
                  <c:v>465.91</c:v>
                </c:pt>
                <c:pt idx="1">
                  <c:v>455.89</c:v>
                </c:pt>
              </c:numCache>
            </c:numRef>
          </c:val>
        </c:ser>
        <c:ser>
          <c:idx val="1"/>
          <c:order val="1"/>
          <c:tx>
            <c:strRef>
              <c:f>2021年</c:f>
              <c:strCache>
                <c:ptCount val="1"/>
                <c:pt idx="0">
                  <c:v>2021年</c:v>
                </c:pt>
              </c:strCache>
            </c:strRef>
          </c:tx>
          <c:invertIfNegative val="0"/>
          <c:dLbls>
            <c:dLbl>
              <c:idx val="0"/>
              <c:layout>
                <c:manualLayout>
                  <c:x val="0.00555555555555556"/>
                  <c:y val="-0.0231481481481481"/>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3888888888889"/>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白坡2021年财务分析模块!$B$83:$C$83</c:f>
              <c:strCache>
                <c:ptCount val="2"/>
                <c:pt idx="0">
                  <c:v>收入</c:v>
                </c:pt>
                <c:pt idx="1">
                  <c:v>支出</c:v>
                </c:pt>
              </c:strCache>
            </c:strRef>
          </c:cat>
          <c:val>
            <c:numRef>
              <c:f>白坡2021年财务分析模块!$B$85:$C$85</c:f>
              <c:numCache>
                <c:formatCode>General</c:formatCode>
                <c:ptCount val="2"/>
                <c:pt idx="0">
                  <c:v>381.63</c:v>
                </c:pt>
                <c:pt idx="1">
                  <c:v>455.91</c:v>
                </c:pt>
              </c:numCache>
            </c:numRef>
          </c:val>
        </c:ser>
        <c:ser>
          <c:idx val="2"/>
          <c:order val="2"/>
          <c:tx>
            <c:strRef>
              <c:f>单位：万元</c:f>
              <c:strCache>
                <c:ptCount val="1"/>
                <c:pt idx="0">
                  <c:v>单位：万元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165694464"/>
        <c:axId val="166204160"/>
      </c:barChart>
      <c:catAx>
        <c:axId val="1656944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204160"/>
        <c:crosses val="autoZero"/>
        <c:auto val="1"/>
        <c:lblAlgn val="ctr"/>
        <c:lblOffset val="100"/>
        <c:noMultiLvlLbl val="0"/>
      </c:catAx>
      <c:valAx>
        <c:axId val="166204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694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白坡2021年财务分析模块!$B$109</c:f>
              <c:strCache>
                <c:ptCount val="1"/>
                <c:pt idx="0">
                  <c:v>支出</c:v>
                </c:pt>
              </c:strCache>
            </c:strRef>
          </c:tx>
          <c:invertIfNegative val="0"/>
          <c:dLbls>
            <c:dLbl>
              <c:idx val="0"/>
              <c:layout>
                <c:manualLayout>
                  <c:x val="0"/>
                  <c:y val="0.00925925925925939"/>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85185185185186"/>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白坡2021年财务分析模块!$A$110:$A$111</c:f>
              <c:strCache>
                <c:ptCount val="2"/>
                <c:pt idx="0">
                  <c:v>2020年</c:v>
                </c:pt>
                <c:pt idx="1">
                  <c:v>2021年</c:v>
                </c:pt>
              </c:strCache>
            </c:strRef>
          </c:cat>
          <c:val>
            <c:numRef>
              <c:f>白坡2021年财务分析模块!$B$110:$B$111</c:f>
              <c:numCache>
                <c:formatCode>General</c:formatCode>
                <c:ptCount val="2"/>
                <c:pt idx="0">
                  <c:v>397.35</c:v>
                </c:pt>
                <c:pt idx="1">
                  <c:v>411.37</c:v>
                </c:pt>
              </c:numCache>
            </c:numRef>
          </c:val>
        </c:ser>
        <c:ser>
          <c:idx val="1"/>
          <c:order val="1"/>
          <c:tx>
            <c:strRef>
              <c:f>单位：万元</c:f>
              <c:strCache>
                <c:ptCount val="1"/>
                <c:pt idx="0">
                  <c:v>单位：万元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166221696"/>
        <c:axId val="166223232"/>
      </c:barChart>
      <c:catAx>
        <c:axId val="16622169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223232"/>
        <c:crosses val="autoZero"/>
        <c:auto val="1"/>
        <c:lblAlgn val="ctr"/>
        <c:lblOffset val="100"/>
        <c:noMultiLvlLbl val="0"/>
      </c:catAx>
      <c:valAx>
        <c:axId val="166223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2216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endParaRPr lang="zh-CN" altLang="en-US"/>
          </a:p>
        </c:rich>
      </c:tx>
      <c:layout/>
      <c:overlay val="0"/>
      <c:spPr>
        <a:noFill/>
        <a:ln w="25400">
          <a:noFill/>
        </a:ln>
      </c:spPr>
    </c:title>
    <c:autoTitleDeleted val="0"/>
    <c:plotArea>
      <c:layout/>
      <c:pieChart>
        <c:varyColors val="1"/>
        <c:ser>
          <c:idx val="0"/>
          <c:order val="0"/>
          <c:tx>
            <c:strRef>
              <c:f>2018年</c:f>
              <c:strCache>
                <c:ptCount val="1"/>
                <c:pt idx="0">
                  <c:v>2018年</c:v>
                </c:pt>
              </c:strCache>
            </c:strRef>
          </c:tx>
          <c:explosion val="0"/>
          <c:dPt>
            <c:idx val="0"/>
            <c:bubble3D val="0"/>
          </c:dPt>
          <c:dPt>
            <c:idx val="1"/>
            <c:bubble3D val="0"/>
          </c:dPt>
          <c:dPt>
            <c:idx val="2"/>
            <c:bubble3D val="0"/>
          </c:dPt>
          <c:dPt>
            <c:idx val="3"/>
            <c:bubble3D val="0"/>
          </c:dPt>
          <c:dPt>
            <c:idx val="4"/>
            <c:bubble3D val="0"/>
          </c:dPt>
          <c:dPt>
            <c:idx val="5"/>
            <c:bubble3D val="0"/>
          </c:dPt>
          <c:dLbls>
            <c:dLbl>
              <c:idx val="3"/>
              <c:layout>
                <c:manualLayout>
                  <c:x val="-0.00158486439195101"/>
                  <c:y val="0.149671916010499"/>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2667322834646"/>
                  <c:y val="-0.325197579469235"/>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275"/>
                  <c:y val="0.0174037620297463"/>
                </c:manualLayout>
              </c:layout>
              <c:numFmt formatCode="General" sourceLinked="1"/>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白坡2021年财务分析模块!$B$133:$G$133</c:f>
              <c:strCache>
                <c:ptCount val="6"/>
                <c:pt idx="0">
                  <c:v>一般公共服务（类）支出</c:v>
                </c:pt>
                <c:pt idx="1">
                  <c:v>教育支出（类）</c:v>
                </c:pt>
                <c:pt idx="2">
                  <c:v>科学技术（类）支出</c:v>
                </c:pt>
                <c:pt idx="3">
                  <c:v>社会保障和就业（类）支出</c:v>
                </c:pt>
                <c:pt idx="4">
                  <c:v>卫生健康支出</c:v>
                </c:pt>
                <c:pt idx="5">
                  <c:v>住房保障支出</c:v>
                </c:pt>
              </c:strCache>
            </c:strRef>
          </c:cat>
          <c:val>
            <c:numRef>
              <c:f>白坡2021年财务分析模块!$B$134:$G$134</c:f>
              <c:numCache>
                <c:formatCode>General</c:formatCode>
                <c:ptCount val="6"/>
                <c:pt idx="3">
                  <c:v>23.29</c:v>
                </c:pt>
                <c:pt idx="4">
                  <c:v>388.08</c:v>
                </c:pt>
                <c:pt idx="5">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1269</Words>
  <Characters>7235</Characters>
  <Lines>60</Lines>
  <Paragraphs>16</Paragraphs>
  <TotalTime>2</TotalTime>
  <ScaleCrop>false</ScaleCrop>
  <LinksUpToDate>false</LinksUpToDate>
  <CharactersWithSpaces>8488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2019-08-21T08:32:00Z</dcterms:created>
  <dc:creator>Users</dc:creator>
  <cp:lastModifiedBy>够钟</cp:lastModifiedBy>
  <dcterms:modified xsi:type="dcterms:W3CDTF">2023-10-25T10:52:13Z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8DCC90B8DAAF4945965448B7EEB40502</vt:lpwstr>
  </property>
</Properties>
</file>