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88" w:firstLineChars="246"/>
        <w:jc w:val="center"/>
        <w:outlineLvl w:val="1"/>
        <w:rPr>
          <w:rStyle w:val="6"/>
          <w:rFonts w:hint="eastAsia" w:ascii="方正仿宋简体" w:hAnsi="黑体" w:eastAsia="方正仿宋简体" w:cs="方正仿宋简体"/>
          <w:b w:val="0"/>
          <w:bCs w:val="0"/>
          <w:sz w:val="40"/>
          <w:szCs w:val="40"/>
          <w:lang w:eastAsia="zh-CN"/>
        </w:rPr>
      </w:pPr>
      <w:bookmarkStart w:id="2" w:name="_GoBack"/>
      <w:bookmarkEnd w:id="2"/>
      <w:r>
        <w:rPr>
          <w:rStyle w:val="6"/>
          <w:rFonts w:hint="eastAsia" w:ascii="方正仿宋简体" w:hAnsi="黑体" w:eastAsia="方正仿宋简体" w:cs="方正仿宋简体"/>
          <w:sz w:val="40"/>
          <w:szCs w:val="40"/>
        </w:rPr>
        <w:t>“</w:t>
      </w:r>
      <w:r>
        <w:rPr>
          <w:rStyle w:val="6"/>
          <w:rFonts w:hint="eastAsia" w:ascii="方正仿宋简体" w:hAnsi="黑体" w:eastAsia="方正仿宋简体" w:cs="方正仿宋简体"/>
          <w:b w:val="0"/>
          <w:bCs w:val="0"/>
          <w:sz w:val="40"/>
          <w:szCs w:val="40"/>
        </w:rPr>
        <w:t>三公”经费支出决算情况说明</w:t>
      </w:r>
    </w:p>
    <w:p>
      <w:pPr>
        <w:spacing w:line="600" w:lineRule="exact"/>
        <w:ind w:firstLine="640"/>
        <w:outlineLvl w:val="2"/>
        <w:rPr>
          <w:rFonts w:hint="eastAsia" w:ascii="仿宋" w:hAnsi="仿宋" w:eastAsia="仿宋"/>
          <w:b/>
          <w:sz w:val="32"/>
          <w:szCs w:val="32"/>
        </w:rPr>
      </w:pPr>
      <w:bookmarkStart w:id="0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0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年“三公”经费财政拨款支出决算为</w:t>
      </w:r>
      <w:r>
        <w:rPr>
          <w:rFonts w:ascii="仿宋" w:hAnsi="仿宋" w:eastAsia="仿宋"/>
          <w:sz w:val="32"/>
          <w:szCs w:val="32"/>
        </w:rPr>
        <w:t>5.56</w:t>
      </w:r>
      <w:r>
        <w:rPr>
          <w:rFonts w:hint="eastAsia" w:ascii="仿宋" w:hAnsi="仿宋" w:eastAsia="仿宋"/>
          <w:sz w:val="32"/>
          <w:szCs w:val="32"/>
        </w:rPr>
        <w:t>万元，完成预算79.43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，决算数小于预算数的主要原因是</w:t>
      </w:r>
      <w:r>
        <w:rPr>
          <w:rFonts w:hint="eastAsia" w:ascii="方正仿宋简体" w:hAnsi="仿宋" w:eastAsia="方正仿宋简体" w:cs="方正仿宋简体"/>
          <w:sz w:val="33"/>
          <w:szCs w:val="33"/>
        </w:rPr>
        <w:t>执行八项规定节约接待费用，严格管理公务用车禁止超预算列支费用。</w:t>
      </w:r>
    </w:p>
    <w:p>
      <w:pPr>
        <w:spacing w:line="600" w:lineRule="exact"/>
        <w:ind w:firstLine="640"/>
        <w:outlineLvl w:val="2"/>
        <w:rPr>
          <w:rFonts w:hint="eastAsia" w:ascii="仿宋" w:hAnsi="仿宋" w:eastAsia="仿宋"/>
          <w:b/>
          <w:sz w:val="32"/>
          <w:szCs w:val="32"/>
        </w:rPr>
      </w:pPr>
      <w:bookmarkStart w:id="1" w:name="_Toc15377217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1"/>
    </w:p>
    <w:p>
      <w:pPr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年“三公”经费财政拨款支出决算中，因公出国（境）费支出决算0万元，占0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；公务用车购置及运行维护费支出决算5万元，占89.93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；公务接待费支出决算0.56元，占10.07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hint="eastAsia" w:ascii="仿宋_GB2312" w:eastAsia="仿宋_GB2312"/>
          <w:sz w:val="32"/>
          <w:szCs w:val="32"/>
        </w:rPr>
        <w:t>0万元，</w:t>
      </w:r>
      <w:r>
        <w:rPr>
          <w:rStyle w:val="5"/>
          <w:rFonts w:hint="eastAsia" w:ascii="仿宋" w:hAnsi="仿宋" w:eastAsia="仿宋"/>
          <w:b w:val="0"/>
          <w:bCs/>
          <w:sz w:val="32"/>
          <w:szCs w:val="32"/>
        </w:rPr>
        <w:t>完成预算100</w:t>
      </w:r>
      <w:r>
        <w:rPr>
          <w:rStyle w:val="5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5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全年安排因公出国（境）团组0次，出国（境）0人。因公出国（境）支出决算比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减少0万元，增长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。主要原因是2018年无因公出国（境）。</w:t>
      </w:r>
    </w:p>
    <w:p>
      <w:pPr>
        <w:spacing w:line="600" w:lineRule="exact"/>
        <w:ind w:firstLine="640"/>
        <w:rPr>
          <w:rFonts w:hint="eastAsia" w:ascii="方正仿宋简体" w:eastAsia="方正仿宋简体" w:cs="方正仿宋简体"/>
          <w:sz w:val="33"/>
          <w:szCs w:val="33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sz w:val="32"/>
          <w:szCs w:val="32"/>
        </w:rPr>
        <w:t>5万元</w:t>
      </w:r>
      <w:r>
        <w:rPr>
          <w:rFonts w:ascii="仿宋_GB2312" w:eastAsia="仿宋_GB2312"/>
          <w:sz w:val="32"/>
          <w:szCs w:val="32"/>
        </w:rPr>
        <w:t>,</w:t>
      </w:r>
      <w:r>
        <w:rPr>
          <w:rStyle w:val="5"/>
          <w:rFonts w:hint="eastAsia" w:ascii="仿宋" w:hAnsi="仿宋" w:eastAsia="仿宋"/>
          <w:b w:val="0"/>
          <w:bCs/>
          <w:sz w:val="32"/>
          <w:szCs w:val="32"/>
        </w:rPr>
        <w:t>完成预算100</w:t>
      </w:r>
      <w:r>
        <w:rPr>
          <w:rStyle w:val="5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5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年减少91.31万元，下降94.81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方正仿宋简体" w:eastAsia="方正仿宋简体" w:cs="方正仿宋简体"/>
          <w:sz w:val="33"/>
          <w:szCs w:val="33"/>
        </w:rPr>
        <w:t>主要原因是我乡进行了公车改革，车辆减少，公务用车维护费降低。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</w:t>
      </w:r>
      <w:r>
        <w:rPr>
          <w:rFonts w:hint="eastAsia" w:ascii="仿宋_GB2312" w:eastAsia="仿宋_GB2312"/>
          <w:sz w:val="32"/>
          <w:szCs w:val="32"/>
        </w:rPr>
        <w:t>0万元。全年按规定更新购置公务用车0辆，其中：轿车0辆、金额0万元，越野车0辆、金额0万元，载客汽车0辆、金额0万元，截至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月底，单位共有公务用车6辆，其中：轿车1辆、越野车3辆、其他车型2辆。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hint="eastAsia" w:ascii="仿宋_GB2312" w:eastAsia="仿宋_GB2312"/>
          <w:sz w:val="32"/>
          <w:szCs w:val="32"/>
        </w:rPr>
        <w:t>5万元。主要用于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bCs/>
          <w:sz w:val="32"/>
          <w:szCs w:val="32"/>
        </w:rPr>
        <w:t>因公办事、下村、灾害救济、道路执法等</w:t>
      </w:r>
      <w:r>
        <w:rPr>
          <w:rFonts w:hint="eastAsia" w:ascii="仿宋_GB2312" w:eastAsia="仿宋_GB2312"/>
          <w:sz w:val="32"/>
          <w:szCs w:val="32"/>
        </w:rPr>
        <w:t>等所需的公务用车燃料费、维修费、过路过桥费、保险费等支出。</w:t>
      </w:r>
    </w:p>
    <w:p>
      <w:pPr>
        <w:spacing w:line="600" w:lineRule="exact"/>
        <w:ind w:firstLine="640"/>
        <w:rPr>
          <w:rFonts w:hint="eastAsia" w:ascii="方正仿宋简体" w:eastAsia="方正仿宋简体"/>
          <w:sz w:val="33"/>
          <w:szCs w:val="33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</w:rPr>
        <w:t>0.56万元，</w:t>
      </w:r>
      <w:r>
        <w:rPr>
          <w:rStyle w:val="5"/>
          <w:rFonts w:hint="eastAsia" w:ascii="仿宋" w:hAnsi="仿宋" w:eastAsia="仿宋"/>
          <w:b w:val="0"/>
          <w:bCs/>
          <w:sz w:val="32"/>
          <w:szCs w:val="32"/>
        </w:rPr>
        <w:t>完成预算0.28</w:t>
      </w:r>
      <w:r>
        <w:rPr>
          <w:rStyle w:val="5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5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公务接待费支出决算比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年减少0.11万元，下降16.42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方正仿宋简体" w:eastAsia="方正仿宋简体" w:cs="方正仿宋简体"/>
          <w:sz w:val="33"/>
          <w:szCs w:val="33"/>
        </w:rPr>
        <w:t>主要原因是我镇严格执行</w:t>
      </w:r>
      <w:r>
        <w:rPr>
          <w:rFonts w:hint="eastAsia" w:ascii="方正仿宋简体" w:eastAsia="方正仿宋简体" w:cs="方正仿宋简体"/>
          <w:sz w:val="33"/>
          <w:szCs w:val="33"/>
          <w:lang w:eastAsia="zh-CN"/>
        </w:rPr>
        <w:t>中央</w:t>
      </w:r>
      <w:r>
        <w:rPr>
          <w:rFonts w:hint="eastAsia" w:ascii="方正仿宋简体" w:eastAsia="方正仿宋简体" w:cs="方正仿宋简体"/>
          <w:sz w:val="33"/>
          <w:szCs w:val="33"/>
        </w:rPr>
        <w:t>八项规定减少不必要的接待、降低接待费用标准。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用于执行公务、开展业务活动开支的交通费、住宿费、用餐费等。国内公务接待3批次，52人次（不包括陪同人员），共计支出0.56万元，具体内容包括：1、攀枝花民族历史文化村落与开发研究中心开展调研，接待10人次1300元；2县水务局开展脱贫攻坚水利基础设施项目质量安全检查，接待20人次2450元；3、县水务局春节前走访慰问贫困户及调查了解脱贫指标达标情况，接待22人次1800元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万元，外事接待0批次，0人，共计支出0万元。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1"/>
    <w:rsid w:val="00112CE1"/>
    <w:rsid w:val="009A1095"/>
    <w:rsid w:val="00A51E27"/>
    <w:rsid w:val="4CB64A91"/>
    <w:rsid w:val="5DE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rFonts w:cs="Times New Roman"/>
      <w:b/>
    </w:rPr>
  </w:style>
  <w:style w:type="character" w:customStyle="1" w:styleId="6">
    <w:name w:val="标题 2 Char"/>
    <w:basedOn w:val="4"/>
    <w:link w:val="2"/>
    <w:qFormat/>
    <w:uiPriority w:val="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142</Words>
  <Characters>810</Characters>
  <Lines>6</Lines>
  <Paragraphs>1</Paragraphs>
  <TotalTime>3</TotalTime>
  <ScaleCrop>false</ScaleCrop>
  <LinksUpToDate>false</LinksUpToDate>
  <CharactersWithSpaces>951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2019-08-31T05:07:00Z</dcterms:created>
  <dc:creator>赵安林</dc:creator>
  <cp:lastModifiedBy>马春丽</cp:lastModifiedBy>
  <dcterms:modified xsi:type="dcterms:W3CDTF">2023-08-21T01:58:02Z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3B6D346D92144E54A15F25EEAEA6A949</vt:lpwstr>
  </property>
</Properties>
</file>