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Times New Roman" w:hAnsi="Times New Roman" w:eastAsia="宋体"/>
          <w:bCs/>
          <w:sz w:val="36"/>
          <w:lang w:val="en-US" w:eastAsia="zh-CN"/>
        </w:rPr>
      </w:pPr>
      <w:r>
        <w:rPr>
          <w:rFonts w:ascii="Times New Roman" w:hAnsi="Times New Roman"/>
          <w:bCs/>
          <w:sz w:val="36"/>
        </w:rPr>
        <w:t>20</w:t>
      </w:r>
      <w:r>
        <w:rPr>
          <w:rFonts w:hint="eastAsia" w:ascii="Times New Roman" w:hAnsi="Times New Roman"/>
          <w:bCs/>
          <w:sz w:val="36"/>
        </w:rPr>
        <w:t>2</w:t>
      </w:r>
      <w:r>
        <w:rPr>
          <w:rFonts w:hint="eastAsia" w:ascii="Times New Roman" w:hAnsi="Times New Roman"/>
          <w:bCs/>
          <w:sz w:val="36"/>
          <w:lang w:val="en-US" w:eastAsia="zh-CN"/>
        </w:rPr>
        <w:t>2</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12</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w:t>
      </w:r>
      <w:r>
        <w:rPr>
          <w:rFonts w:hint="eastAsia" w:ascii="Times New Roman" w:hAnsi="Times New Roman" w:eastAsia="方正黑体简体"/>
          <w:sz w:val="30"/>
          <w:lang w:val="en-US" w:eastAsia="zh-CN"/>
        </w:rPr>
        <w:t>二</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p>
    <w:p>
      <w:pPr>
        <w:jc w:val="center"/>
        <w:rPr>
          <w:rFonts w:ascii="Times New Roman" w:hAnsi="Times New Roman"/>
          <w:b/>
          <w:sz w:val="28"/>
          <w:szCs w:val="28"/>
        </w:rPr>
      </w:pPr>
      <w:bookmarkStart w:id="0" w:name="_GoBack"/>
      <w:bookmarkEnd w:id="0"/>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pPr>
      <w:r>
        <w:rPr>
          <w:rFonts w:ascii="Times New Roman" w:hAnsi="Times New Roman"/>
          <w:szCs w:val="21"/>
        </w:rPr>
        <w:t>邮编：617200</w:t>
      </w: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992" w:left="1021" w:header="851" w:footer="992" w:gutter="0"/>
          <w:cols w:space="0" w:num="1"/>
          <w:rtlGutter w:val="0"/>
          <w:docGrid w:type="lines" w:linePitch="312" w:charSpace="0"/>
        </w:sectPr>
      </w:pPr>
    </w:p>
    <w:p>
      <w:pPr>
        <w:spacing w:line="300" w:lineRule="exact"/>
        <w:jc w:val="center"/>
        <w:rPr>
          <w:rFonts w:ascii="黑体" w:hAnsi="黑体" w:eastAsia="黑体" w:cs="黑体"/>
          <w:bCs/>
          <w:sz w:val="28"/>
          <w:szCs w:val="28"/>
        </w:rPr>
      </w:pPr>
      <w:r>
        <w:rPr>
          <w:rFonts w:hint="eastAsia" w:ascii="黑体" w:hAnsi="黑体" w:eastAsia="黑体" w:cs="黑体"/>
          <w:bCs/>
          <w:sz w:val="28"/>
          <w:szCs w:val="28"/>
          <w:lang w:val="en-US" w:eastAsia="zh-CN"/>
        </w:rPr>
        <w:t>一、</w:t>
      </w:r>
      <w:r>
        <w:rPr>
          <w:rFonts w:hint="eastAsia" w:ascii="黑体" w:hAnsi="黑体" w:eastAsia="黑体" w:cs="黑体"/>
          <w:bCs/>
          <w:sz w:val="28"/>
          <w:szCs w:val="28"/>
        </w:rPr>
        <w:t>米易县主要指标与全国、全省、全市对比</w:t>
      </w:r>
    </w:p>
    <w:tbl>
      <w:tblPr>
        <w:tblStyle w:val="6"/>
        <w:tblpPr w:leftFromText="180" w:rightFromText="180" w:vertAnchor="text" w:tblpXSpec="center" w:tblpY="259"/>
        <w:tblOverlap w:val="never"/>
        <w:tblW w:w="5070" w:type="dxa"/>
        <w:tblInd w:w="171" w:type="dxa"/>
        <w:tblLayout w:type="fixed"/>
        <w:tblCellMar>
          <w:top w:w="0" w:type="dxa"/>
          <w:left w:w="108" w:type="dxa"/>
          <w:bottom w:w="0" w:type="dxa"/>
          <w:right w:w="108" w:type="dxa"/>
        </w:tblCellMar>
      </w:tblPr>
      <w:tblGrid>
        <w:gridCol w:w="1457"/>
        <w:gridCol w:w="650"/>
        <w:gridCol w:w="828"/>
        <w:gridCol w:w="720"/>
        <w:gridCol w:w="650"/>
        <w:gridCol w:w="765"/>
      </w:tblGrid>
      <w:tr>
        <w:tblPrEx>
          <w:tblCellMar>
            <w:top w:w="0" w:type="dxa"/>
            <w:left w:w="108" w:type="dxa"/>
            <w:bottom w:w="0" w:type="dxa"/>
            <w:right w:w="108" w:type="dxa"/>
          </w:tblCellMar>
        </w:tblPrEx>
        <w:trPr>
          <w:trHeight w:val="376" w:hRule="exact"/>
        </w:trPr>
        <w:tc>
          <w:tcPr>
            <w:tcW w:w="1457"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18"/>
                <w:szCs w:val="18"/>
              </w:rPr>
            </w:pPr>
            <w:r>
              <w:rPr>
                <w:rFonts w:ascii="Times New Roman" w:hAnsi="Times New Roman"/>
                <w:kern w:val="0"/>
                <w:sz w:val="18"/>
                <w:szCs w:val="18"/>
              </w:rPr>
              <w:t>主要指标</w:t>
            </w:r>
          </w:p>
        </w:tc>
        <w:tc>
          <w:tcPr>
            <w:tcW w:w="650" w:type="dxa"/>
            <w:tcBorders>
              <w:top w:val="single" w:color="auto" w:sz="12"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kern w:val="0"/>
                <w:sz w:val="18"/>
                <w:szCs w:val="18"/>
              </w:rPr>
            </w:pPr>
            <w:r>
              <w:rPr>
                <w:rFonts w:ascii="Times New Roman" w:hAnsi="Times New Roman"/>
                <w:kern w:val="0"/>
                <w:sz w:val="18"/>
                <w:szCs w:val="18"/>
              </w:rPr>
              <w:t>全国</w:t>
            </w:r>
          </w:p>
        </w:tc>
        <w:tc>
          <w:tcPr>
            <w:tcW w:w="828" w:type="dxa"/>
            <w:tcBorders>
              <w:top w:val="single" w:color="auto" w:sz="12" w:space="0"/>
              <w:left w:val="nil"/>
              <w:bottom w:val="single" w:color="auto" w:sz="4" w:space="0"/>
              <w:right w:val="single" w:color="auto" w:sz="4" w:space="0"/>
            </w:tcBorders>
            <w:vAlign w:val="center"/>
          </w:tcPr>
          <w:p>
            <w:pPr>
              <w:spacing w:line="300" w:lineRule="exact"/>
              <w:ind w:left="121"/>
              <w:jc w:val="center"/>
              <w:rPr>
                <w:rFonts w:ascii="Times New Roman" w:hAnsi="Times New Roman"/>
                <w:kern w:val="0"/>
                <w:sz w:val="18"/>
                <w:szCs w:val="18"/>
              </w:rPr>
            </w:pPr>
            <w:r>
              <w:rPr>
                <w:rFonts w:ascii="Times New Roman" w:hAnsi="Times New Roman"/>
                <w:kern w:val="0"/>
                <w:sz w:val="18"/>
                <w:szCs w:val="18"/>
              </w:rPr>
              <w:t>全</w:t>
            </w:r>
            <w:r>
              <w:rPr>
                <w:rFonts w:hint="eastAsia" w:ascii="Times New Roman" w:hAnsi="Times New Roman"/>
                <w:kern w:val="0"/>
                <w:sz w:val="18"/>
                <w:szCs w:val="18"/>
                <w:lang w:val="en-US" w:eastAsia="zh-CN"/>
              </w:rPr>
              <w:t>省</w:t>
            </w:r>
            <w:r>
              <w:rPr>
                <w:rFonts w:hint="eastAsia" w:ascii="Times New Roman" w:hAnsi="Times New Roman"/>
                <w:kern w:val="0"/>
                <w:sz w:val="18"/>
                <w:szCs w:val="18"/>
              </w:rPr>
              <w:t>省</w:t>
            </w:r>
          </w:p>
        </w:tc>
        <w:tc>
          <w:tcPr>
            <w:tcW w:w="720" w:type="dxa"/>
            <w:tcBorders>
              <w:top w:val="single" w:color="auto" w:sz="12"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18"/>
                <w:szCs w:val="18"/>
              </w:rPr>
            </w:pPr>
            <w:r>
              <w:rPr>
                <w:rFonts w:hint="eastAsia" w:ascii="Times New Roman" w:hAnsi="Times New Roman"/>
                <w:kern w:val="0"/>
                <w:sz w:val="18"/>
                <w:szCs w:val="18"/>
              </w:rPr>
              <w:t>全市</w:t>
            </w:r>
          </w:p>
        </w:tc>
        <w:tc>
          <w:tcPr>
            <w:tcW w:w="1415" w:type="dxa"/>
            <w:gridSpan w:val="2"/>
            <w:tcBorders>
              <w:top w:val="single" w:color="auto" w:sz="12" w:space="0"/>
              <w:left w:val="single" w:color="auto" w:sz="4" w:space="0"/>
              <w:bottom w:val="single" w:color="auto" w:sz="4" w:space="0"/>
            </w:tcBorders>
            <w:vAlign w:val="center"/>
          </w:tcPr>
          <w:p>
            <w:pPr>
              <w:spacing w:line="300" w:lineRule="exact"/>
              <w:jc w:val="center"/>
              <w:rPr>
                <w:rFonts w:ascii="Times New Roman" w:hAnsi="Times New Roman"/>
                <w:kern w:val="0"/>
                <w:sz w:val="18"/>
                <w:szCs w:val="18"/>
              </w:rPr>
            </w:pPr>
            <w:r>
              <w:rPr>
                <w:rFonts w:ascii="Times New Roman" w:hAnsi="Times New Roman"/>
                <w:kern w:val="0"/>
                <w:sz w:val="18"/>
                <w:szCs w:val="18"/>
              </w:rPr>
              <w:t>米易县</w:t>
            </w:r>
          </w:p>
          <w:p>
            <w:pPr>
              <w:spacing w:line="300" w:lineRule="exact"/>
              <w:jc w:val="center"/>
              <w:rPr>
                <w:rFonts w:ascii="Times New Roman" w:hAnsi="Times New Roman"/>
                <w:kern w:val="0"/>
                <w:sz w:val="18"/>
                <w:szCs w:val="18"/>
              </w:rPr>
            </w:pPr>
            <w:r>
              <w:rPr>
                <w:rFonts w:ascii="Times New Roman" w:hAnsi="Times New Roman"/>
                <w:kern w:val="0"/>
                <w:sz w:val="18"/>
                <w:szCs w:val="18"/>
              </w:rPr>
              <w:t>米易县</w:t>
            </w:r>
          </w:p>
        </w:tc>
      </w:tr>
      <w:tr>
        <w:tblPrEx>
          <w:tblCellMar>
            <w:top w:w="0" w:type="dxa"/>
            <w:left w:w="108" w:type="dxa"/>
            <w:bottom w:w="0" w:type="dxa"/>
            <w:right w:w="108" w:type="dxa"/>
          </w:tblCellMar>
        </w:tblPrEx>
        <w:trPr>
          <w:trHeight w:val="520" w:hRule="atLeast"/>
        </w:trPr>
        <w:tc>
          <w:tcPr>
            <w:tcW w:w="1457"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18"/>
                <w:szCs w:val="18"/>
              </w:rPr>
            </w:pPr>
          </w:p>
        </w:tc>
        <w:tc>
          <w:tcPr>
            <w:tcW w:w="6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kern w:val="0"/>
                <w:sz w:val="18"/>
                <w:szCs w:val="18"/>
              </w:rPr>
              <w:t>增长（%）</w:t>
            </w:r>
          </w:p>
        </w:tc>
        <w:tc>
          <w:tcPr>
            <w:tcW w:w="828"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kern w:val="0"/>
                <w:sz w:val="18"/>
                <w:szCs w:val="18"/>
              </w:rPr>
              <w:t>增长（%）</w:t>
            </w:r>
          </w:p>
        </w:tc>
        <w:tc>
          <w:tcPr>
            <w:tcW w:w="72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kern w:val="0"/>
                <w:sz w:val="18"/>
                <w:szCs w:val="18"/>
              </w:rPr>
              <w:t>增长（%）</w:t>
            </w:r>
          </w:p>
        </w:tc>
        <w:tc>
          <w:tcPr>
            <w:tcW w:w="6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增长（%）</w:t>
            </w:r>
          </w:p>
        </w:tc>
        <w:tc>
          <w:tcPr>
            <w:tcW w:w="765" w:type="dxa"/>
            <w:tcBorders>
              <w:top w:val="nil"/>
              <w:left w:val="single" w:color="auto" w:sz="4" w:space="0"/>
              <w:bottom w:val="single" w:color="auto" w:sz="12" w:space="0"/>
            </w:tcBorders>
            <w:vAlign w:val="center"/>
          </w:tcPr>
          <w:p>
            <w:pPr>
              <w:spacing w:line="240" w:lineRule="exact"/>
              <w:jc w:val="center"/>
              <w:rPr>
                <w:rFonts w:ascii="Times New Roman" w:hAnsi="Times New Roman"/>
                <w:sz w:val="18"/>
                <w:szCs w:val="18"/>
              </w:rPr>
            </w:pPr>
            <w:r>
              <w:rPr>
                <w:rFonts w:hint="eastAsia" w:ascii="Times New Roman" w:hAnsi="Times New Roman"/>
                <w:kern w:val="0"/>
                <w:sz w:val="18"/>
                <w:szCs w:val="18"/>
              </w:rPr>
              <w:t>在全市排位</w:t>
            </w:r>
          </w:p>
        </w:tc>
      </w:tr>
      <w:tr>
        <w:tblPrEx>
          <w:tblCellMar>
            <w:top w:w="0" w:type="dxa"/>
            <w:left w:w="108" w:type="dxa"/>
            <w:bottom w:w="0" w:type="dxa"/>
            <w:right w:w="108" w:type="dxa"/>
          </w:tblCellMar>
        </w:tblPrEx>
        <w:trPr>
          <w:trHeight w:val="1140" w:hRule="atLeast"/>
        </w:trPr>
        <w:tc>
          <w:tcPr>
            <w:tcW w:w="1457"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18"/>
                <w:szCs w:val="18"/>
              </w:rPr>
            </w:pPr>
            <w:r>
              <w:rPr>
                <w:rFonts w:ascii="Times New Roman" w:hAnsi="Times New Roman"/>
                <w:kern w:val="0"/>
                <w:sz w:val="18"/>
                <w:szCs w:val="18"/>
              </w:rPr>
              <w:t>地区生产总值（GDP）</w:t>
            </w:r>
          </w:p>
        </w:tc>
        <w:tc>
          <w:tcPr>
            <w:tcW w:w="650" w:type="dxa"/>
            <w:tcBorders>
              <w:top w:val="single" w:color="auto" w:sz="12" w:space="0"/>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3.0</w:t>
            </w:r>
          </w:p>
        </w:tc>
        <w:tc>
          <w:tcPr>
            <w:tcW w:w="828" w:type="dxa"/>
            <w:tcBorders>
              <w:top w:val="single" w:color="auto" w:sz="12" w:space="0"/>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2.9</w:t>
            </w:r>
          </w:p>
        </w:tc>
        <w:tc>
          <w:tcPr>
            <w:tcW w:w="720" w:type="dxa"/>
            <w:tcBorders>
              <w:top w:val="single" w:color="auto" w:sz="12" w:space="0"/>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3.5</w:t>
            </w:r>
          </w:p>
        </w:tc>
        <w:tc>
          <w:tcPr>
            <w:tcW w:w="650" w:type="dxa"/>
            <w:tcBorders>
              <w:top w:val="single" w:color="auto" w:sz="12" w:space="0"/>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cs="Times New Roman"/>
                <w:i w:val="0"/>
                <w:iCs w:val="0"/>
                <w:color w:val="auto"/>
                <w:kern w:val="2"/>
                <w:sz w:val="20"/>
                <w:szCs w:val="20"/>
                <w:u w:val="none"/>
                <w:lang w:val="en-US" w:eastAsia="zh-CN" w:bidi="ar-SA"/>
              </w:rPr>
              <w:t>3.8</w:t>
            </w:r>
          </w:p>
        </w:tc>
        <w:tc>
          <w:tcPr>
            <w:tcW w:w="765" w:type="dxa"/>
            <w:tcBorders>
              <w:top w:val="single" w:color="auto" w:sz="12" w:space="0"/>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cs="Times New Roman"/>
                <w:i w:val="0"/>
                <w:iCs w:val="0"/>
                <w:color w:val="auto"/>
                <w:kern w:val="2"/>
                <w:sz w:val="20"/>
                <w:szCs w:val="20"/>
                <w:u w:val="none"/>
                <w:lang w:val="en-US" w:eastAsia="zh-CN" w:bidi="ar-SA"/>
              </w:rPr>
              <w:t>2</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18"/>
                <w:szCs w:val="18"/>
              </w:rPr>
            </w:pPr>
            <w:r>
              <w:rPr>
                <w:rFonts w:ascii="Times New Roman" w:hAnsi="Times New Roman"/>
                <w:kern w:val="0"/>
                <w:sz w:val="18"/>
                <w:szCs w:val="18"/>
              </w:rPr>
              <w:t>规模以上工业增加值</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3.6</w:t>
            </w:r>
          </w:p>
        </w:tc>
        <w:tc>
          <w:tcPr>
            <w:tcW w:w="828"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3.8</w:t>
            </w:r>
          </w:p>
        </w:tc>
        <w:tc>
          <w:tcPr>
            <w:tcW w:w="72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5.9</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7.2</w:t>
            </w:r>
          </w:p>
        </w:tc>
        <w:tc>
          <w:tcPr>
            <w:tcW w:w="765" w:type="dxa"/>
            <w:tcBorders>
              <w:top w:val="nil"/>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3</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jc w:val="left"/>
              <w:rPr>
                <w:rFonts w:ascii="Times New Roman" w:hAnsi="Times New Roman"/>
                <w:sz w:val="18"/>
                <w:szCs w:val="18"/>
              </w:rPr>
            </w:pPr>
            <w:r>
              <w:rPr>
                <w:rFonts w:ascii="Times New Roman" w:hAnsi="Times New Roman"/>
                <w:sz w:val="18"/>
                <w:szCs w:val="18"/>
              </w:rPr>
              <w:t>全社会固定资产投资</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5.1</w:t>
            </w:r>
          </w:p>
        </w:tc>
        <w:tc>
          <w:tcPr>
            <w:tcW w:w="828"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8.4</w:t>
            </w:r>
          </w:p>
        </w:tc>
        <w:tc>
          <w:tcPr>
            <w:tcW w:w="72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10.2</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10.7</w:t>
            </w:r>
          </w:p>
        </w:tc>
        <w:tc>
          <w:tcPr>
            <w:tcW w:w="765" w:type="dxa"/>
            <w:tcBorders>
              <w:top w:val="nil"/>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18"/>
                <w:szCs w:val="18"/>
              </w:rPr>
            </w:pPr>
            <w:r>
              <w:rPr>
                <w:rFonts w:ascii="Times New Roman" w:hAnsi="Times New Roman"/>
                <w:kern w:val="0"/>
                <w:sz w:val="18"/>
                <w:szCs w:val="18"/>
              </w:rPr>
              <w:t>社会消费品零售总额</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-0.2</w:t>
            </w:r>
          </w:p>
        </w:tc>
        <w:tc>
          <w:tcPr>
            <w:tcW w:w="828" w:type="dxa"/>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-0.1</w:t>
            </w:r>
          </w:p>
        </w:tc>
        <w:tc>
          <w:tcPr>
            <w:tcW w:w="720" w:type="dxa"/>
            <w:tcBorders>
              <w:top w:val="nil"/>
              <w:left w:val="single" w:color="auto" w:sz="4" w:space="0"/>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2.7</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0.8</w:t>
            </w:r>
          </w:p>
        </w:tc>
        <w:tc>
          <w:tcPr>
            <w:tcW w:w="765" w:type="dxa"/>
            <w:tcBorders>
              <w:top w:val="nil"/>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5</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jc w:val="left"/>
              <w:rPr>
                <w:rFonts w:ascii="Times New Roman" w:hAnsi="Times New Roman"/>
                <w:sz w:val="18"/>
                <w:szCs w:val="18"/>
              </w:rPr>
            </w:pPr>
            <w:r>
              <w:rPr>
                <w:rFonts w:hint="eastAsia" w:ascii="Times New Roman" w:hAnsi="Times New Roman"/>
                <w:sz w:val="18"/>
                <w:szCs w:val="18"/>
              </w:rPr>
              <w:t>城镇居民人均可支配收入</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3.9</w:t>
            </w:r>
          </w:p>
        </w:tc>
        <w:tc>
          <w:tcPr>
            <w:tcW w:w="828"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4.3</w:t>
            </w:r>
          </w:p>
        </w:tc>
        <w:tc>
          <w:tcPr>
            <w:tcW w:w="72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4.4</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4.6</w:t>
            </w:r>
          </w:p>
        </w:tc>
        <w:tc>
          <w:tcPr>
            <w:tcW w:w="765" w:type="dxa"/>
            <w:tcBorders>
              <w:top w:val="nil"/>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w:t>
            </w:r>
          </w:p>
        </w:tc>
      </w:tr>
      <w:tr>
        <w:tblPrEx>
          <w:tblCellMar>
            <w:top w:w="0" w:type="dxa"/>
            <w:left w:w="108" w:type="dxa"/>
            <w:bottom w:w="0" w:type="dxa"/>
            <w:right w:w="108" w:type="dxa"/>
          </w:tblCellMar>
        </w:tblPrEx>
        <w:trPr>
          <w:trHeight w:val="964" w:hRule="atLeast"/>
        </w:trPr>
        <w:tc>
          <w:tcPr>
            <w:tcW w:w="1457"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18"/>
                <w:szCs w:val="18"/>
              </w:rPr>
            </w:pPr>
            <w:r>
              <w:rPr>
                <w:rFonts w:ascii="Times New Roman" w:hAnsi="Times New Roman"/>
                <w:kern w:val="0"/>
                <w:sz w:val="18"/>
                <w:szCs w:val="18"/>
              </w:rPr>
              <w:t>农村居民人均可支配收入</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6.3</w:t>
            </w:r>
          </w:p>
        </w:tc>
        <w:tc>
          <w:tcPr>
            <w:tcW w:w="828"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6.2</w:t>
            </w:r>
          </w:p>
        </w:tc>
        <w:tc>
          <w:tcPr>
            <w:tcW w:w="72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6.3</w:t>
            </w:r>
          </w:p>
        </w:tc>
        <w:tc>
          <w:tcPr>
            <w:tcW w:w="6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6.3</w:t>
            </w:r>
          </w:p>
        </w:tc>
        <w:tc>
          <w:tcPr>
            <w:tcW w:w="765" w:type="dxa"/>
            <w:tcBorders>
              <w:top w:val="nil"/>
              <w:left w:val="single" w:color="auto" w:sz="4" w:space="0"/>
              <w:bottom w:val="nil"/>
            </w:tcBorders>
            <w:noWrap/>
            <w:vAlign w:val="center"/>
          </w:tcPr>
          <w:p>
            <w:pPr>
              <w:keepNext w:val="0"/>
              <w:keepLines w:val="0"/>
              <w:widowControl/>
              <w:suppressLineNumbers w:val="0"/>
              <w:jc w:val="center"/>
              <w:textAlignment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2</w:t>
            </w:r>
          </w:p>
        </w:tc>
      </w:tr>
      <w:tr>
        <w:tblPrEx>
          <w:tblCellMar>
            <w:top w:w="0" w:type="dxa"/>
            <w:left w:w="108" w:type="dxa"/>
            <w:bottom w:w="0" w:type="dxa"/>
            <w:right w:w="108" w:type="dxa"/>
          </w:tblCellMar>
        </w:tblPrEx>
        <w:trPr>
          <w:trHeight w:val="1187" w:hRule="atLeast"/>
        </w:trPr>
        <w:tc>
          <w:tcPr>
            <w:tcW w:w="1457"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18"/>
                <w:szCs w:val="18"/>
              </w:rPr>
            </w:pPr>
            <w:r>
              <w:rPr>
                <w:rFonts w:hint="eastAsia" w:ascii="Times New Roman" w:hAnsi="Times New Roman"/>
                <w:kern w:val="0"/>
                <w:sz w:val="18"/>
                <w:szCs w:val="18"/>
              </w:rPr>
              <w:t>一般公共预算收入</w:t>
            </w:r>
          </w:p>
        </w:tc>
        <w:tc>
          <w:tcPr>
            <w:tcW w:w="65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828"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w:t>
            </w:r>
          </w:p>
        </w:tc>
        <w:tc>
          <w:tcPr>
            <w:tcW w:w="72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-2.3</w:t>
            </w:r>
          </w:p>
        </w:tc>
        <w:tc>
          <w:tcPr>
            <w:tcW w:w="650" w:type="dxa"/>
            <w:tcBorders>
              <w:top w:val="nil"/>
              <w:left w:val="nil"/>
              <w:bottom w:val="single" w:color="auto" w:sz="12" w:space="0"/>
              <w:right w:val="single" w:color="auto" w:sz="4" w:space="0"/>
            </w:tcBorders>
            <w:noWrap/>
            <w:vAlign w:val="center"/>
          </w:tcPr>
          <w:p>
            <w:pPr>
              <w:spacing w:line="240" w:lineRule="auto"/>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11.2</w:t>
            </w:r>
          </w:p>
        </w:tc>
        <w:tc>
          <w:tcPr>
            <w:tcW w:w="765" w:type="dxa"/>
            <w:tcBorders>
              <w:top w:val="nil"/>
              <w:left w:val="single" w:color="auto" w:sz="4" w:space="0"/>
              <w:bottom w:val="single" w:color="auto" w:sz="12" w:space="0"/>
            </w:tcBorders>
            <w:noWrap/>
            <w:vAlign w:val="center"/>
          </w:tcPr>
          <w:p>
            <w:pPr>
              <w:spacing w:line="240" w:lineRule="auto"/>
              <w:jc w:val="center"/>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3</w:t>
            </w:r>
          </w:p>
        </w:tc>
      </w:tr>
    </w:tbl>
    <w:p>
      <w:pPr>
        <w:spacing w:line="240" w:lineRule="exact"/>
        <w:jc w:val="left"/>
        <w:rPr>
          <w:rFonts w:ascii="Times New Roman" w:hAnsi="Times New Roman"/>
          <w:kern w:val="0"/>
          <w:sz w:val="20"/>
          <w:szCs w:val="20"/>
        </w:rPr>
      </w:pPr>
    </w:p>
    <w:p>
      <w:pPr>
        <w:spacing w:line="240" w:lineRule="exact"/>
        <w:jc w:val="left"/>
        <w:rPr>
          <w:rFonts w:hint="eastAsia" w:asciiTheme="minorEastAsia" w:hAnsiTheme="minorEastAsia" w:eastAsiaTheme="minorEastAsia"/>
          <w:kern w:val="0"/>
          <w:sz w:val="16"/>
          <w:szCs w:val="16"/>
        </w:rPr>
      </w:pPr>
      <w:r>
        <w:rPr>
          <w:rFonts w:ascii="Times New Roman" w:hAnsi="Times New Roman"/>
          <w:kern w:val="0"/>
          <w:sz w:val="20"/>
          <w:szCs w:val="20"/>
        </w:rPr>
        <w:t xml:space="preserve"> </w:t>
      </w: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hint="eastAsia" w:asciiTheme="minorEastAsia" w:hAnsiTheme="minorEastAsia" w:eastAsiaTheme="minorEastAsia"/>
          <w:kern w:val="0"/>
          <w:sz w:val="16"/>
          <w:szCs w:val="16"/>
          <w:lang w:val="en-US" w:eastAsia="zh-CN"/>
        </w:rPr>
        <w:t>1.</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pStyle w:val="2"/>
        <w:rPr>
          <w:rFonts w:hint="default" w:eastAsiaTheme="minorEastAsia"/>
          <w:lang w:val="en-US" w:eastAsia="zh-CN"/>
        </w:rPr>
      </w:pPr>
      <w:r>
        <w:rPr>
          <w:rFonts w:hint="eastAsia" w:asciiTheme="minorEastAsia" w:hAnsiTheme="minorEastAsia" w:eastAsiaTheme="minorEastAsia"/>
          <w:kern w:val="0"/>
          <w:sz w:val="16"/>
          <w:szCs w:val="16"/>
          <w:lang w:val="en-US" w:eastAsia="zh-CN"/>
        </w:rPr>
        <w:t xml:space="preserve">       2.全社会固定资产投资含钒钛高新区排第二。</w:t>
      </w:r>
    </w:p>
    <w:tbl>
      <w:tblPr>
        <w:tblStyle w:val="6"/>
        <w:tblW w:w="5139" w:type="dxa"/>
        <w:jc w:val="center"/>
        <w:tblLayout w:type="fixed"/>
        <w:tblCellMar>
          <w:top w:w="0" w:type="dxa"/>
          <w:left w:w="108" w:type="dxa"/>
          <w:bottom w:w="0" w:type="dxa"/>
          <w:right w:w="108" w:type="dxa"/>
        </w:tblCellMar>
      </w:tblPr>
      <w:tblGrid>
        <w:gridCol w:w="2037"/>
        <w:gridCol w:w="1188"/>
        <w:gridCol w:w="1068"/>
        <w:gridCol w:w="846"/>
      </w:tblGrid>
      <w:tr>
        <w:tblPrEx>
          <w:tblCellMar>
            <w:top w:w="0" w:type="dxa"/>
            <w:left w:w="108" w:type="dxa"/>
            <w:bottom w:w="0" w:type="dxa"/>
            <w:right w:w="108" w:type="dxa"/>
          </w:tblCellMar>
        </w:tblPrEx>
        <w:trPr>
          <w:trHeight w:val="10305" w:hRule="atLeast"/>
          <w:jc w:val="center"/>
        </w:trPr>
        <w:tc>
          <w:tcPr>
            <w:tcW w:w="5139" w:type="dxa"/>
            <w:gridSpan w:val="4"/>
            <w:tcBorders>
              <w:top w:val="nil"/>
              <w:left w:val="nil"/>
              <w:bottom w:val="nil"/>
              <w:right w:val="nil"/>
            </w:tcBorders>
            <w:vAlign w:val="center"/>
          </w:tcPr>
          <w:p>
            <w:pPr>
              <w:widowControl/>
              <w:snapToGrid w:val="0"/>
              <w:spacing w:line="460" w:lineRule="exact"/>
              <w:jc w:val="center"/>
              <w:rPr>
                <w:rFonts w:ascii="楷体" w:hAnsi="楷体" w:eastAsia="楷体" w:cs="楷体"/>
                <w:bCs/>
                <w:kern w:val="0"/>
                <w:sz w:val="24"/>
                <w:szCs w:val="24"/>
              </w:rPr>
            </w:pPr>
            <w:r>
              <w:rPr>
                <w:rFonts w:hint="eastAsia" w:ascii="楷体" w:hAnsi="楷体" w:eastAsia="楷体" w:cs="楷体"/>
                <w:bCs/>
                <w:kern w:val="0"/>
                <w:sz w:val="24"/>
                <w:szCs w:val="24"/>
                <w:lang w:val="en-US" w:eastAsia="zh-CN"/>
              </w:rPr>
              <w:t>二、</w:t>
            </w:r>
            <w:r>
              <w:rPr>
                <w:rFonts w:hint="eastAsia" w:ascii="楷体" w:hAnsi="楷体" w:eastAsia="楷体" w:cs="楷体"/>
                <w:bCs/>
                <w:kern w:val="0"/>
                <w:sz w:val="24"/>
                <w:szCs w:val="24"/>
              </w:rPr>
              <w:t>规模以上工业</w:t>
            </w:r>
          </w:p>
          <w:p>
            <w:pPr>
              <w:spacing w:line="240" w:lineRule="exact"/>
              <w:ind w:right="378" w:rightChars="180"/>
              <w:jc w:val="right"/>
              <w:rPr>
                <w:rFonts w:ascii="Times New Roman" w:hAnsi="Times New Roman" w:eastAsia="方正小标宋简体"/>
                <w:sz w:val="24"/>
                <w:szCs w:val="30"/>
              </w:rPr>
            </w:pPr>
            <w:r>
              <w:rPr>
                <w:rFonts w:ascii="Times New Roman" w:hAnsi="Times New Roman"/>
                <w:kern w:val="0"/>
                <w:sz w:val="20"/>
                <w:szCs w:val="20"/>
              </w:rPr>
              <w:t>单位：万元</w:t>
            </w:r>
          </w:p>
          <w:p>
            <w:pPr>
              <w:snapToGrid w:val="0"/>
              <w:spacing w:line="20" w:lineRule="exact"/>
              <w:rPr>
                <w:rFonts w:ascii="Times New Roman" w:hAnsi="Times New Roman" w:eastAsia="方正小标宋简体"/>
                <w:bCs/>
                <w:kern w:val="0"/>
                <w:sz w:val="30"/>
                <w:szCs w:val="30"/>
              </w:rPr>
            </w:pPr>
          </w:p>
          <w:tbl>
            <w:tblPr>
              <w:tblStyle w:val="6"/>
              <w:tblW w:w="5201" w:type="dxa"/>
              <w:jc w:val="center"/>
              <w:tblLayout w:type="fixed"/>
              <w:tblCellMar>
                <w:top w:w="0" w:type="dxa"/>
                <w:left w:w="108" w:type="dxa"/>
                <w:bottom w:w="0" w:type="dxa"/>
                <w:right w:w="108" w:type="dxa"/>
              </w:tblCellMar>
            </w:tblPr>
            <w:tblGrid>
              <w:gridCol w:w="2338"/>
              <w:gridCol w:w="937"/>
              <w:gridCol w:w="901"/>
              <w:gridCol w:w="1025"/>
            </w:tblGrid>
            <w:tr>
              <w:tblPrEx>
                <w:tblCellMar>
                  <w:top w:w="0" w:type="dxa"/>
                  <w:left w:w="108" w:type="dxa"/>
                  <w:bottom w:w="0" w:type="dxa"/>
                  <w:right w:w="108" w:type="dxa"/>
                </w:tblCellMar>
              </w:tblPrEx>
              <w:trPr>
                <w:trHeight w:val="907" w:hRule="atLeast"/>
                <w:jc w:val="center"/>
              </w:trPr>
              <w:tc>
                <w:tcPr>
                  <w:tcW w:w="2338"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指标名称</w:t>
                  </w:r>
                </w:p>
              </w:tc>
              <w:tc>
                <w:tcPr>
                  <w:tcW w:w="937"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lang w:val="en-US" w:eastAsia="zh-CN"/>
                    </w:rPr>
                    <w:t>12</w:t>
                  </w:r>
                  <w:r>
                    <w:rPr>
                      <w:rFonts w:ascii="Times New Roman" w:hAnsi="Times New Roman"/>
                      <w:kern w:val="0"/>
                      <w:sz w:val="18"/>
                      <w:szCs w:val="18"/>
                    </w:rPr>
                    <w:t>月止</w:t>
                  </w:r>
                </w:p>
                <w:p>
                  <w:pPr>
                    <w:widowControl/>
                    <w:jc w:val="center"/>
                    <w:rPr>
                      <w:rFonts w:ascii="Times New Roman" w:hAnsi="Times New Roman"/>
                      <w:kern w:val="0"/>
                      <w:sz w:val="18"/>
                      <w:szCs w:val="18"/>
                    </w:rPr>
                  </w:pPr>
                  <w:r>
                    <w:rPr>
                      <w:rFonts w:ascii="Times New Roman" w:hAnsi="Times New Roman"/>
                      <w:kern w:val="0"/>
                      <w:sz w:val="18"/>
                      <w:szCs w:val="18"/>
                    </w:rPr>
                    <w:t>累计</w:t>
                  </w:r>
                </w:p>
              </w:tc>
              <w:tc>
                <w:tcPr>
                  <w:tcW w:w="901"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比同期增减额</w:t>
                  </w:r>
                </w:p>
              </w:tc>
              <w:tc>
                <w:tcPr>
                  <w:tcW w:w="1025"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比同期累计±%</w:t>
                  </w:r>
                </w:p>
              </w:tc>
            </w:tr>
            <w:tr>
              <w:tblPrEx>
                <w:tblCellMar>
                  <w:top w:w="0" w:type="dxa"/>
                  <w:left w:w="108" w:type="dxa"/>
                  <w:bottom w:w="0" w:type="dxa"/>
                  <w:right w:w="108" w:type="dxa"/>
                </w:tblCellMar>
              </w:tblPrEx>
              <w:trPr>
                <w:trHeight w:val="1177" w:hRule="atLeast"/>
                <w:jc w:val="center"/>
              </w:trPr>
              <w:tc>
                <w:tcPr>
                  <w:tcW w:w="2338" w:type="dxa"/>
                  <w:tcBorders>
                    <w:top w:val="single" w:color="auto" w:sz="12" w:space="0"/>
                    <w:right w:val="single" w:color="auto" w:sz="4" w:space="0"/>
                  </w:tcBorders>
                  <w:vAlign w:val="center"/>
                </w:tcPr>
                <w:p>
                  <w:pPr>
                    <w:jc w:val="center"/>
                    <w:rPr>
                      <w:rFonts w:ascii="Times New Roman" w:hAnsi="Times New Roman"/>
                      <w:bCs/>
                      <w:sz w:val="18"/>
                      <w:szCs w:val="18"/>
                    </w:rPr>
                  </w:pPr>
                  <w:r>
                    <w:rPr>
                      <w:rFonts w:hint="eastAsia" w:ascii="Times New Roman" w:hAnsi="Times New Roman"/>
                      <w:bCs/>
                      <w:sz w:val="18"/>
                      <w:szCs w:val="18"/>
                      <w:lang w:val="en-US" w:eastAsia="zh-CN"/>
                    </w:rPr>
                    <w:t xml:space="preserve">   </w:t>
                  </w:r>
                  <w:r>
                    <w:rPr>
                      <w:rFonts w:ascii="Times New Roman" w:hAnsi="Times New Roman"/>
                      <w:bCs/>
                      <w:sz w:val="18"/>
                      <w:szCs w:val="18"/>
                    </w:rPr>
                    <w:t>工业主要经济指标</w:t>
                  </w:r>
                </w:p>
              </w:tc>
              <w:tc>
                <w:tcPr>
                  <w:tcW w:w="937" w:type="dxa"/>
                  <w:tcBorders>
                    <w:top w:val="single" w:color="auto" w:sz="12" w:space="0"/>
                    <w:left w:val="single" w:color="auto" w:sz="4" w:space="0"/>
                    <w:right w:val="single" w:color="auto" w:sz="4" w:space="0"/>
                  </w:tcBorders>
                  <w:vAlign w:val="center"/>
                </w:tcPr>
                <w:p>
                  <w:pPr>
                    <w:jc w:val="center"/>
                    <w:rPr>
                      <w:rFonts w:hint="eastAsia" w:ascii="Times New Roman" w:hAnsi="Times New Roman"/>
                      <w:b w:val="0"/>
                      <w:bCs w:val="0"/>
                      <w:sz w:val="20"/>
                      <w:szCs w:val="20"/>
                      <w:lang w:val="en-US" w:eastAsia="zh-CN"/>
                    </w:rPr>
                  </w:pPr>
                </w:p>
              </w:tc>
              <w:tc>
                <w:tcPr>
                  <w:tcW w:w="901" w:type="dxa"/>
                  <w:tcBorders>
                    <w:top w:val="single" w:color="auto" w:sz="12" w:space="0"/>
                    <w:left w:val="single" w:color="auto" w:sz="4" w:space="0"/>
                    <w:right w:val="single" w:color="auto" w:sz="4" w:space="0"/>
                  </w:tcBorders>
                  <w:vAlign w:val="center"/>
                </w:tcPr>
                <w:p>
                  <w:pPr>
                    <w:jc w:val="center"/>
                    <w:rPr>
                      <w:rFonts w:hint="eastAsia" w:ascii="Times New Roman" w:hAnsi="Times New Roman"/>
                      <w:b w:val="0"/>
                      <w:bCs w:val="0"/>
                      <w:sz w:val="20"/>
                      <w:szCs w:val="20"/>
                      <w:lang w:val="en-US" w:eastAsia="zh-CN"/>
                    </w:rPr>
                  </w:pPr>
                </w:p>
              </w:tc>
              <w:tc>
                <w:tcPr>
                  <w:tcW w:w="1025" w:type="dxa"/>
                  <w:tcBorders>
                    <w:top w:val="single" w:color="auto" w:sz="12" w:space="0"/>
                    <w:left w:val="single" w:color="auto" w:sz="4" w:space="0"/>
                  </w:tcBorders>
                  <w:vAlign w:val="center"/>
                </w:tcPr>
                <w:p>
                  <w:pPr>
                    <w:jc w:val="center"/>
                    <w:rPr>
                      <w:rFonts w:hint="eastAsia" w:ascii="Times New Roman" w:hAnsi="Times New Roman"/>
                      <w:b w:val="0"/>
                      <w:bCs w:val="0"/>
                      <w:sz w:val="20"/>
                      <w:szCs w:val="20"/>
                      <w:lang w:val="en-US" w:eastAsia="zh-CN"/>
                    </w:rPr>
                  </w:pPr>
                </w:p>
              </w:tc>
            </w:tr>
            <w:tr>
              <w:tblPrEx>
                <w:tblCellMar>
                  <w:top w:w="0" w:type="dxa"/>
                  <w:left w:w="108" w:type="dxa"/>
                  <w:bottom w:w="0" w:type="dxa"/>
                  <w:right w:w="108" w:type="dxa"/>
                </w:tblCellMar>
              </w:tblPrEx>
              <w:trPr>
                <w:trHeight w:val="1177" w:hRule="atLeast"/>
                <w:jc w:val="center"/>
              </w:trPr>
              <w:tc>
                <w:tcPr>
                  <w:tcW w:w="2338" w:type="dxa"/>
                  <w:tcBorders>
                    <w:righ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lang w:val="en-US" w:eastAsia="zh-CN"/>
                    </w:rPr>
                    <w:t xml:space="preserve">  </w:t>
                  </w:r>
                  <w:r>
                    <w:rPr>
                      <w:rFonts w:hint="eastAsia" w:ascii="Times New Roman" w:hAnsi="Times New Roman"/>
                      <w:sz w:val="18"/>
                      <w:szCs w:val="18"/>
                    </w:rPr>
                    <w:t>规上工业总产值</w:t>
                  </w:r>
                </w:p>
              </w:tc>
              <w:tc>
                <w:tcPr>
                  <w:tcW w:w="937"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3033197 </w:t>
                  </w:r>
                </w:p>
              </w:tc>
              <w:tc>
                <w:tcPr>
                  <w:tcW w:w="901"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-40712 </w:t>
                  </w:r>
                </w:p>
              </w:tc>
              <w:tc>
                <w:tcPr>
                  <w:tcW w:w="10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-1.3 </w:t>
                  </w:r>
                </w:p>
              </w:tc>
            </w:tr>
            <w:tr>
              <w:tblPrEx>
                <w:tblCellMar>
                  <w:top w:w="0" w:type="dxa"/>
                  <w:left w:w="108" w:type="dxa"/>
                  <w:bottom w:w="0" w:type="dxa"/>
                  <w:right w:w="108" w:type="dxa"/>
                </w:tblCellMar>
              </w:tblPrEx>
              <w:trPr>
                <w:trHeight w:val="1177" w:hRule="atLeast"/>
                <w:jc w:val="center"/>
              </w:trPr>
              <w:tc>
                <w:tcPr>
                  <w:tcW w:w="2338" w:type="dxa"/>
                  <w:tcBorders>
                    <w:left w:val="nil"/>
                    <w:bottom w:val="nil"/>
                    <w:right w:val="single" w:color="auto" w:sz="4" w:space="0"/>
                  </w:tcBorders>
                  <w:vAlign w:val="center"/>
                </w:tcPr>
                <w:p>
                  <w:pPr>
                    <w:spacing w:line="240" w:lineRule="auto"/>
                    <w:ind w:left="105" w:leftChars="50" w:firstLine="90" w:firstLineChars="50"/>
                    <w:jc w:val="center"/>
                    <w:rPr>
                      <w:rFonts w:ascii="Times New Roman" w:hAnsi="Times New Roman"/>
                      <w:sz w:val="18"/>
                      <w:szCs w:val="18"/>
                    </w:rPr>
                  </w:pPr>
                  <w:r>
                    <w:rPr>
                      <w:rFonts w:ascii="Times New Roman" w:hAnsi="Times New Roman"/>
                      <w:sz w:val="18"/>
                      <w:szCs w:val="18"/>
                    </w:rPr>
                    <w:t>其中：县属企业工业</w:t>
                  </w:r>
                  <w:r>
                    <w:rPr>
                      <w:rFonts w:hint="eastAsia" w:ascii="Times New Roman" w:hAnsi="Times New Roman"/>
                      <w:sz w:val="18"/>
                      <w:szCs w:val="18"/>
                      <w:lang w:val="en-US" w:eastAsia="zh-CN"/>
                    </w:rPr>
                    <w:t xml:space="preserve">   </w:t>
                  </w:r>
                  <w:r>
                    <w:rPr>
                      <w:rFonts w:ascii="Times New Roman" w:hAnsi="Times New Roman"/>
                      <w:sz w:val="18"/>
                      <w:szCs w:val="18"/>
                    </w:rPr>
                    <w:t>总产值</w:t>
                  </w:r>
                </w:p>
              </w:tc>
              <w:tc>
                <w:tcPr>
                  <w:tcW w:w="937"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2433601 </w:t>
                  </w:r>
                </w:p>
              </w:tc>
              <w:tc>
                <w:tcPr>
                  <w:tcW w:w="901"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135758 </w:t>
                  </w:r>
                </w:p>
              </w:tc>
              <w:tc>
                <w:tcPr>
                  <w:tcW w:w="1025" w:type="dxa"/>
                  <w:tcBorders>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5.9 </w:t>
                  </w:r>
                </w:p>
              </w:tc>
            </w:tr>
            <w:tr>
              <w:tblPrEx>
                <w:tblCellMar>
                  <w:top w:w="0" w:type="dxa"/>
                  <w:left w:w="108" w:type="dxa"/>
                  <w:bottom w:w="0" w:type="dxa"/>
                  <w:right w:w="108" w:type="dxa"/>
                </w:tblCellMar>
              </w:tblPrEx>
              <w:trPr>
                <w:trHeight w:val="1177" w:hRule="atLeast"/>
                <w:jc w:val="center"/>
              </w:trPr>
              <w:tc>
                <w:tcPr>
                  <w:tcW w:w="2338" w:type="dxa"/>
                  <w:tcBorders>
                    <w:top w:val="nil"/>
                    <w:left w:val="nil"/>
                    <w:bottom w:val="nil"/>
                    <w:right w:val="single" w:color="auto" w:sz="4" w:space="0"/>
                  </w:tcBorders>
                  <w:vAlign w:val="center"/>
                </w:tcPr>
                <w:p>
                  <w:pPr>
                    <w:spacing w:line="240" w:lineRule="auto"/>
                    <w:ind w:firstLine="540" w:firstLineChars="300"/>
                    <w:jc w:val="both"/>
                    <w:rPr>
                      <w:rFonts w:ascii="Times New Roman" w:hAnsi="Times New Roman"/>
                      <w:sz w:val="18"/>
                      <w:szCs w:val="18"/>
                    </w:rPr>
                  </w:pPr>
                  <w:r>
                    <w:rPr>
                      <w:rFonts w:ascii="Times New Roman" w:hAnsi="Times New Roman"/>
                      <w:sz w:val="18"/>
                      <w:szCs w:val="18"/>
                    </w:rPr>
                    <w:t>大企业工业总产值</w:t>
                  </w:r>
                </w:p>
              </w:tc>
              <w:tc>
                <w:tcPr>
                  <w:tcW w:w="93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599596 </w:t>
                  </w:r>
                </w:p>
              </w:tc>
              <w:tc>
                <w:tcPr>
                  <w:tcW w:w="901"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-176471 </w:t>
                  </w:r>
                </w:p>
              </w:tc>
              <w:tc>
                <w:tcPr>
                  <w:tcW w:w="1025"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-22.7 </w:t>
                  </w:r>
                </w:p>
              </w:tc>
            </w:tr>
            <w:tr>
              <w:tblPrEx>
                <w:tblCellMar>
                  <w:top w:w="0" w:type="dxa"/>
                  <w:left w:w="108" w:type="dxa"/>
                  <w:bottom w:w="0" w:type="dxa"/>
                  <w:right w:w="108" w:type="dxa"/>
                </w:tblCellMar>
              </w:tblPrEx>
              <w:trPr>
                <w:trHeight w:val="1177" w:hRule="atLeast"/>
                <w:jc w:val="center"/>
              </w:trPr>
              <w:tc>
                <w:tcPr>
                  <w:tcW w:w="2338" w:type="dxa"/>
                  <w:tcBorders>
                    <w:top w:val="nil"/>
                    <w:left w:val="nil"/>
                    <w:righ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lang w:val="en-US" w:eastAsia="zh-CN"/>
                    </w:rPr>
                    <w:t xml:space="preserve">   </w:t>
                  </w:r>
                  <w:r>
                    <w:rPr>
                      <w:rFonts w:ascii="Times New Roman" w:hAnsi="Times New Roman"/>
                      <w:sz w:val="18"/>
                      <w:szCs w:val="18"/>
                    </w:rPr>
                    <w:t>规上工业增加值</w:t>
                  </w:r>
                </w:p>
              </w:tc>
              <w:tc>
                <w:tcPr>
                  <w:tcW w:w="937"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01" w:type="dxa"/>
                  <w:tcBorders>
                    <w:top w:val="nil"/>
                    <w:left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025"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7.2 </w:t>
                  </w:r>
                </w:p>
              </w:tc>
            </w:tr>
            <w:tr>
              <w:tblPrEx>
                <w:tblCellMar>
                  <w:top w:w="0" w:type="dxa"/>
                  <w:left w:w="108" w:type="dxa"/>
                  <w:bottom w:w="0" w:type="dxa"/>
                  <w:right w:w="108" w:type="dxa"/>
                </w:tblCellMar>
              </w:tblPrEx>
              <w:trPr>
                <w:trHeight w:val="1174" w:hRule="atLeast"/>
                <w:jc w:val="center"/>
              </w:trPr>
              <w:tc>
                <w:tcPr>
                  <w:tcW w:w="2338" w:type="dxa"/>
                  <w:tcBorders>
                    <w:top w:val="nil"/>
                    <w:left w:val="nil"/>
                    <w:bottom w:val="single" w:color="auto" w:sz="12" w:space="0"/>
                    <w:righ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lang w:val="en-US" w:eastAsia="zh-CN"/>
                    </w:rPr>
                    <w:t xml:space="preserve">   </w:t>
                  </w:r>
                  <w:r>
                    <w:rPr>
                      <w:rFonts w:ascii="Times New Roman" w:hAnsi="Times New Roman"/>
                      <w:sz w:val="18"/>
                      <w:szCs w:val="18"/>
                    </w:rPr>
                    <w:t>规上工业销售产值</w:t>
                  </w:r>
                </w:p>
                <w:p>
                  <w:pPr>
                    <w:spacing w:line="240" w:lineRule="auto"/>
                    <w:jc w:val="center"/>
                    <w:rPr>
                      <w:rFonts w:ascii="Times New Roman" w:hAnsi="Times New Roman"/>
                      <w:sz w:val="18"/>
                      <w:szCs w:val="18"/>
                    </w:rPr>
                  </w:pPr>
                  <w:r>
                    <w:rPr>
                      <w:rFonts w:hint="eastAsia" w:ascii="Times New Roman" w:hAnsi="Times New Roman"/>
                      <w:sz w:val="18"/>
                      <w:szCs w:val="18"/>
                      <w:lang w:val="en-US" w:eastAsia="zh-CN"/>
                    </w:rPr>
                    <w:t xml:space="preserve">   </w:t>
                  </w:r>
                  <w:r>
                    <w:rPr>
                      <w:rFonts w:ascii="Times New Roman" w:hAnsi="Times New Roman"/>
                      <w:sz w:val="18"/>
                      <w:szCs w:val="18"/>
                    </w:rPr>
                    <w:t>（现价）</w:t>
                  </w:r>
                </w:p>
              </w:tc>
              <w:tc>
                <w:tcPr>
                  <w:tcW w:w="937"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2223401 </w:t>
                  </w:r>
                </w:p>
              </w:tc>
              <w:tc>
                <w:tcPr>
                  <w:tcW w:w="901"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17018 </w:t>
                  </w:r>
                </w:p>
              </w:tc>
              <w:tc>
                <w:tcPr>
                  <w:tcW w:w="1025"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0.8 </w:t>
                  </w:r>
                </w:p>
              </w:tc>
            </w:tr>
          </w:tbl>
          <w:p>
            <w:pPr>
              <w:widowControl/>
              <w:snapToGrid w:val="0"/>
              <w:spacing w:line="300" w:lineRule="exact"/>
              <w:jc w:val="left"/>
              <w:rPr>
                <w:rFonts w:asciiTheme="minorEastAsia" w:hAnsiTheme="minorEastAsia" w:eastAsiaTheme="minorEastAsia"/>
                <w:kern w:val="0"/>
                <w:sz w:val="16"/>
                <w:szCs w:val="16"/>
              </w:rPr>
            </w:pPr>
            <w:r>
              <w:rPr>
                <w:rFonts w:hint="eastAsia" w:asciiTheme="minorEastAsia" w:hAnsiTheme="minorEastAsia" w:eastAsiaTheme="minorEastAsia"/>
                <w:kern w:val="0"/>
                <w:sz w:val="16"/>
                <w:szCs w:val="16"/>
              </w:rPr>
              <w:t>备</w:t>
            </w:r>
            <w:r>
              <w:rPr>
                <w:rFonts w:asciiTheme="minorEastAsia" w:hAnsiTheme="minorEastAsia" w:eastAsiaTheme="minorEastAsia"/>
                <w:kern w:val="0"/>
                <w:sz w:val="16"/>
                <w:szCs w:val="16"/>
              </w:rPr>
              <w:t>注：增加值增长速度为可比价增长率</w:t>
            </w:r>
            <w:r>
              <w:rPr>
                <w:rFonts w:hint="eastAsia" w:asciiTheme="minorEastAsia" w:hAnsiTheme="minorEastAsia" w:eastAsiaTheme="minorEastAsia"/>
                <w:kern w:val="0"/>
                <w:sz w:val="16"/>
                <w:szCs w:val="16"/>
              </w:rPr>
              <w:t>，规上工业销售产值不含大企业。</w:t>
            </w:r>
          </w:p>
          <w:tbl>
            <w:tblPr>
              <w:tblStyle w:val="6"/>
              <w:tblW w:w="5536" w:type="dxa"/>
              <w:jc w:val="center"/>
              <w:tblLayout w:type="fixed"/>
              <w:tblCellMar>
                <w:top w:w="0" w:type="dxa"/>
                <w:left w:w="108" w:type="dxa"/>
                <w:bottom w:w="0" w:type="dxa"/>
                <w:right w:w="108" w:type="dxa"/>
              </w:tblCellMar>
            </w:tblPr>
            <w:tblGrid>
              <w:gridCol w:w="5536"/>
            </w:tblGrid>
            <w:tr>
              <w:trPr>
                <w:trHeight w:val="839" w:hRule="atLeast"/>
                <w:jc w:val="center"/>
              </w:trPr>
              <w:tc>
                <w:tcPr>
                  <w:tcW w:w="5536" w:type="dxa"/>
                  <w:tcBorders>
                    <w:top w:val="nil"/>
                    <w:left w:val="nil"/>
                    <w:bottom w:val="single" w:color="auto" w:sz="12" w:space="0"/>
                    <w:right w:val="nil"/>
                  </w:tcBorders>
                  <w:vAlign w:val="center"/>
                </w:tcPr>
                <w:p>
                  <w:pPr>
                    <w:widowControl/>
                    <w:snapToGrid w:val="0"/>
                    <w:spacing w:line="280" w:lineRule="exact"/>
                    <w:jc w:val="center"/>
                    <w:rPr>
                      <w:rFonts w:ascii="宋体" w:hAnsi="宋体" w:cs="宋体"/>
                      <w:sz w:val="22"/>
                    </w:rPr>
                  </w:pPr>
                </w:p>
              </w:tc>
            </w:tr>
          </w:tbl>
          <w:p>
            <w:pPr>
              <w:widowControl/>
              <w:snapToGrid w:val="0"/>
              <w:spacing w:line="300" w:lineRule="exact"/>
              <w:jc w:val="center"/>
              <w:rPr>
                <w:rFonts w:ascii="楷体" w:hAnsi="楷体" w:eastAsia="楷体" w:cs="楷体"/>
                <w:bCs/>
                <w:kern w:val="0"/>
                <w:sz w:val="24"/>
                <w:szCs w:val="24"/>
              </w:rPr>
            </w:pPr>
            <w:r>
              <w:rPr>
                <w:rFonts w:hint="eastAsia" w:ascii="楷体" w:hAnsi="楷体" w:eastAsia="楷体" w:cs="楷体"/>
                <w:bCs/>
                <w:kern w:val="0"/>
                <w:sz w:val="24"/>
                <w:szCs w:val="24"/>
                <w:lang w:val="en-US" w:eastAsia="zh-CN"/>
              </w:rPr>
              <w:t>三、</w:t>
            </w:r>
            <w:r>
              <w:rPr>
                <w:rFonts w:hint="eastAsia" w:ascii="楷体" w:hAnsi="楷体" w:eastAsia="楷体" w:cs="楷体"/>
                <w:bCs/>
                <w:kern w:val="0"/>
                <w:sz w:val="24"/>
                <w:szCs w:val="24"/>
              </w:rPr>
              <w:t>固定资产投资完成情况</w:t>
            </w:r>
          </w:p>
          <w:tbl>
            <w:tblPr>
              <w:tblStyle w:val="6"/>
              <w:tblW w:w="5108" w:type="dxa"/>
              <w:jc w:val="center"/>
              <w:tblLayout w:type="fixed"/>
              <w:tblCellMar>
                <w:top w:w="0" w:type="dxa"/>
                <w:left w:w="108" w:type="dxa"/>
                <w:bottom w:w="0" w:type="dxa"/>
                <w:right w:w="108" w:type="dxa"/>
              </w:tblCellMar>
            </w:tblPr>
            <w:tblGrid>
              <w:gridCol w:w="3100"/>
              <w:gridCol w:w="962"/>
              <w:gridCol w:w="1046"/>
            </w:tblGrid>
            <w:tr>
              <w:tblPrEx>
                <w:tblCellMar>
                  <w:top w:w="0" w:type="dxa"/>
                  <w:left w:w="108" w:type="dxa"/>
                  <w:bottom w:w="0" w:type="dxa"/>
                  <w:right w:w="108" w:type="dxa"/>
                </w:tblCellMar>
              </w:tblPrEx>
              <w:trPr>
                <w:trHeight w:val="364"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850" w:hRule="atLeast"/>
                <w:jc w:val="center"/>
              </w:trPr>
              <w:tc>
                <w:tcPr>
                  <w:tcW w:w="3100"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指标名称</w:t>
                  </w:r>
                </w:p>
              </w:tc>
              <w:tc>
                <w:tcPr>
                  <w:tcW w:w="962"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lang w:val="en-US" w:eastAsia="zh-CN"/>
                    </w:rPr>
                    <w:t>12</w:t>
                  </w:r>
                  <w:r>
                    <w:rPr>
                      <w:rFonts w:ascii="Times New Roman" w:hAnsi="Times New Roman"/>
                      <w:kern w:val="0"/>
                      <w:sz w:val="18"/>
                      <w:szCs w:val="18"/>
                    </w:rPr>
                    <w:t>月止    累计</w:t>
                  </w:r>
                </w:p>
              </w:tc>
              <w:tc>
                <w:tcPr>
                  <w:tcW w:w="1046"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比同期</w:t>
                  </w:r>
                </w:p>
                <w:p>
                  <w:pPr>
                    <w:widowControl/>
                    <w:jc w:val="center"/>
                    <w:rPr>
                      <w:rFonts w:ascii="Times New Roman" w:hAnsi="Times New Roman"/>
                      <w:kern w:val="0"/>
                      <w:sz w:val="18"/>
                      <w:szCs w:val="18"/>
                    </w:rPr>
                  </w:pPr>
                  <w:r>
                    <w:rPr>
                      <w:rFonts w:ascii="Times New Roman" w:hAnsi="Times New Roman"/>
                      <w:kern w:val="0"/>
                      <w:sz w:val="18"/>
                      <w:szCs w:val="18"/>
                    </w:rPr>
                    <w:t>累计±%</w:t>
                  </w:r>
                </w:p>
              </w:tc>
            </w:tr>
            <w:tr>
              <w:trPr>
                <w:trHeight w:val="23" w:hRule="atLeast"/>
                <w:jc w:val="center"/>
              </w:trPr>
              <w:tc>
                <w:tcPr>
                  <w:tcW w:w="3100" w:type="dxa"/>
                  <w:tcBorders>
                    <w:top w:val="single" w:color="auto" w:sz="12" w:space="0"/>
                    <w:left w:val="nil"/>
                    <w:bottom w:val="nil"/>
                    <w:right w:val="single" w:color="000000" w:sz="4" w:space="0"/>
                  </w:tcBorders>
                  <w:vAlign w:val="center"/>
                </w:tcPr>
                <w:p>
                  <w:pPr>
                    <w:snapToGrid w:val="0"/>
                    <w:spacing w:line="240" w:lineRule="auto"/>
                    <w:jc w:val="left"/>
                    <w:rPr>
                      <w:rFonts w:ascii="Times New Roman" w:hAnsi="Times New Roman"/>
                      <w:bCs/>
                      <w:sz w:val="18"/>
                      <w:szCs w:val="18"/>
                    </w:rPr>
                  </w:pPr>
                  <w:r>
                    <w:rPr>
                      <w:rFonts w:ascii="Times New Roman" w:hAnsi="Times New Roman"/>
                      <w:b/>
                      <w:sz w:val="18"/>
                      <w:szCs w:val="18"/>
                    </w:rPr>
                    <w:t>一、全社会</w:t>
                  </w:r>
                  <w:r>
                    <w:rPr>
                      <w:rFonts w:hint="eastAsia" w:ascii="Times New Roman" w:hAnsi="Times New Roman"/>
                      <w:b/>
                      <w:sz w:val="18"/>
                      <w:szCs w:val="18"/>
                    </w:rPr>
                    <w:t>固定资产</w:t>
                  </w:r>
                  <w:r>
                    <w:rPr>
                      <w:rFonts w:ascii="Times New Roman" w:hAnsi="Times New Roman"/>
                      <w:b/>
                      <w:sz w:val="18"/>
                      <w:szCs w:val="18"/>
                    </w:rPr>
                    <w:t>投资</w:t>
                  </w:r>
                  <w:r>
                    <w:rPr>
                      <w:rFonts w:hint="eastAsia" w:ascii="Times New Roman" w:hAnsi="Times New Roman"/>
                      <w:b/>
                      <w:sz w:val="18"/>
                      <w:szCs w:val="18"/>
                    </w:rPr>
                    <w:t>（含农户）</w:t>
                  </w:r>
                </w:p>
              </w:tc>
              <w:tc>
                <w:tcPr>
                  <w:tcW w:w="962" w:type="dxa"/>
                  <w:tcBorders>
                    <w:top w:val="single" w:color="auto" w:sz="12" w:space="0"/>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single" w:color="auto" w:sz="12" w:space="0"/>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10.7</w:t>
                  </w:r>
                </w:p>
              </w:tc>
            </w:tr>
            <w:tr>
              <w:tblPrEx>
                <w:tblCellMar>
                  <w:top w:w="0" w:type="dxa"/>
                  <w:left w:w="108" w:type="dxa"/>
                  <w:bottom w:w="0" w:type="dxa"/>
                  <w:right w:w="108" w:type="dxa"/>
                </w:tblCellMar>
              </w:tblPrEx>
              <w:trPr>
                <w:trHeight w:val="237"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bCs/>
                      <w:sz w:val="18"/>
                      <w:szCs w:val="18"/>
                    </w:rPr>
                  </w:pP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c>
                <w:tcPr>
                  <w:tcW w:w="1046"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nil"/>
                  </w:tcBorders>
                  <w:vAlign w:val="center"/>
                </w:tcPr>
                <w:p>
                  <w:pPr>
                    <w:snapToGrid w:val="0"/>
                    <w:spacing w:line="240" w:lineRule="auto"/>
                    <w:jc w:val="left"/>
                    <w:rPr>
                      <w:rFonts w:ascii="Times New Roman" w:hAnsi="Times New Roman"/>
                      <w:bCs/>
                      <w:sz w:val="18"/>
                      <w:szCs w:val="18"/>
                    </w:rPr>
                  </w:pPr>
                  <w:r>
                    <w:rPr>
                      <w:rFonts w:ascii="Times New Roman" w:hAnsi="Times New Roman"/>
                      <w:bCs/>
                      <w:sz w:val="18"/>
                      <w:szCs w:val="18"/>
                    </w:rPr>
                    <w:t>1、按构成分</w:t>
                  </w:r>
                </w:p>
              </w:tc>
              <w:tc>
                <w:tcPr>
                  <w:tcW w:w="962" w:type="dxa"/>
                  <w:tcBorders>
                    <w:top w:val="nil"/>
                    <w:left w:val="single" w:color="auto" w:sz="4" w:space="0"/>
                    <w:bottom w:val="nil"/>
                    <w:right w:val="single" w:color="auto" w:sz="4" w:space="0"/>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c>
                <w:tcPr>
                  <w:tcW w:w="1046"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#建安工程</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13.2</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设备</w:t>
                  </w:r>
                  <w:r>
                    <w:rPr>
                      <w:rFonts w:hint="eastAsia" w:ascii="Times New Roman" w:hAnsi="Times New Roman"/>
                      <w:sz w:val="18"/>
                      <w:szCs w:val="18"/>
                    </w:rPr>
                    <w:t>工</w:t>
                  </w:r>
                  <w:r>
                    <w:rPr>
                      <w:rFonts w:ascii="Times New Roman" w:hAnsi="Times New Roman"/>
                      <w:sz w:val="18"/>
                      <w:szCs w:val="18"/>
                    </w:rPr>
                    <w:t>器具购置</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-3.3</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其他费用</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-11.9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bCs/>
                      <w:sz w:val="18"/>
                      <w:szCs w:val="18"/>
                    </w:rPr>
                  </w:pPr>
                  <w:r>
                    <w:rPr>
                      <w:rFonts w:ascii="Times New Roman" w:hAnsi="Times New Roman"/>
                      <w:bCs/>
                      <w:sz w:val="18"/>
                      <w:szCs w:val="18"/>
                    </w:rPr>
                    <w:t>2、按产业分</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c>
                <w:tcPr>
                  <w:tcW w:w="1046"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#第一产业</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168.9</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第二产业</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27.5</w:t>
                  </w:r>
                </w:p>
              </w:tc>
            </w:tr>
            <w:tr>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ascii="Times New Roman" w:hAnsi="Times New Roman"/>
                      <w:sz w:val="18"/>
                      <w:szCs w:val="18"/>
                    </w:rPr>
                    <w:t>第三产业</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-3.3</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snapToGrid w:val="0"/>
                    <w:spacing w:line="240" w:lineRule="auto"/>
                    <w:jc w:val="left"/>
                    <w:rPr>
                      <w:rFonts w:ascii="Times New Roman" w:hAnsi="Times New Roman"/>
                      <w:sz w:val="18"/>
                      <w:szCs w:val="18"/>
                    </w:rPr>
                  </w:pPr>
                  <w:r>
                    <w:rPr>
                      <w:rFonts w:hint="eastAsia" w:ascii="Times New Roman" w:hAnsi="Times New Roman"/>
                      <w:b/>
                      <w:bCs/>
                      <w:kern w:val="0"/>
                      <w:sz w:val="18"/>
                      <w:szCs w:val="18"/>
                    </w:rPr>
                    <w:t>二、</w:t>
                  </w:r>
                  <w:r>
                    <w:rPr>
                      <w:rFonts w:hint="eastAsia" w:ascii="Times New Roman" w:hAnsi="Times New Roman"/>
                      <w:b/>
                      <w:bCs/>
                      <w:kern w:val="0"/>
                      <w:sz w:val="18"/>
                      <w:szCs w:val="18"/>
                      <w:lang w:val="en-US" w:eastAsia="zh-CN"/>
                    </w:rPr>
                    <w:t>技改</w:t>
                  </w:r>
                  <w:r>
                    <w:rPr>
                      <w:rFonts w:hint="eastAsia" w:ascii="Times New Roman" w:hAnsi="Times New Roman"/>
                      <w:b/>
                      <w:bCs/>
                      <w:kern w:val="0"/>
                      <w:sz w:val="18"/>
                      <w:szCs w:val="18"/>
                    </w:rPr>
                    <w:t>投资情况</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18.6</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b/>
                      <w:bCs/>
                      <w:kern w:val="0"/>
                      <w:sz w:val="18"/>
                      <w:szCs w:val="18"/>
                    </w:rPr>
                  </w:pPr>
                  <w:r>
                    <w:rPr>
                      <w:rFonts w:hint="eastAsia" w:ascii="Times New Roman" w:hAnsi="Times New Roman"/>
                      <w:b/>
                      <w:bCs/>
                      <w:kern w:val="0"/>
                      <w:sz w:val="18"/>
                      <w:szCs w:val="18"/>
                    </w:rPr>
                    <w:t>三、工业投资情况</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25.2</w:t>
                  </w:r>
                </w:p>
              </w:tc>
            </w:tr>
            <w:tr>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b/>
                      <w:bCs/>
                      <w:kern w:val="0"/>
                      <w:sz w:val="18"/>
                      <w:szCs w:val="18"/>
                    </w:rPr>
                  </w:pPr>
                  <w:r>
                    <w:rPr>
                      <w:rFonts w:hint="eastAsia" w:ascii="Times New Roman" w:hAnsi="Times New Roman"/>
                      <w:b/>
                      <w:bCs/>
                      <w:kern w:val="0"/>
                      <w:sz w:val="18"/>
                      <w:szCs w:val="18"/>
                    </w:rPr>
                    <w:t>四、民间投资情况</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0"/>
                      <w:szCs w:val="20"/>
                      <w:u w:val="none"/>
                      <w:lang w:val="en-US" w:eastAsia="zh-CN" w:bidi="ar-SA"/>
                    </w:rPr>
                  </w:pPr>
                  <w:r>
                    <w:rPr>
                      <w:rFonts w:hint="default" w:ascii="Times New Roman" w:hAnsi="Times New Roman" w:eastAsia="宋体" w:cs="Times New Roman"/>
                      <w:i w:val="0"/>
                      <w:iCs w:val="0"/>
                      <w:color w:val="auto"/>
                      <w:kern w:val="0"/>
                      <w:sz w:val="20"/>
                      <w:szCs w:val="20"/>
                      <w:u w:val="none"/>
                      <w:lang w:val="en-US" w:eastAsia="zh-CN" w:bidi="ar"/>
                    </w:rPr>
                    <w:t>10.3</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b/>
                      <w:bCs/>
                      <w:kern w:val="0"/>
                      <w:sz w:val="18"/>
                      <w:szCs w:val="18"/>
                    </w:rPr>
                  </w:pPr>
                  <w:r>
                    <w:rPr>
                      <w:rFonts w:hint="eastAsia" w:ascii="Times New Roman" w:hAnsi="Times New Roman"/>
                      <w:b/>
                      <w:bCs/>
                      <w:kern w:val="0"/>
                      <w:sz w:val="18"/>
                      <w:szCs w:val="18"/>
                    </w:rPr>
                    <w:t>五、房地产开发规模与销售</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c>
                <w:tcPr>
                  <w:tcW w:w="1046"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1.商品房施工面积</w:t>
                  </w:r>
                </w:p>
              </w:tc>
              <w:tc>
                <w:tcPr>
                  <w:tcW w:w="962"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1718888</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i/>
                      <w:iCs/>
                      <w:kern w:val="0"/>
                      <w:sz w:val="18"/>
                      <w:szCs w:val="18"/>
                    </w:rPr>
                    <w:t>#</w:t>
                  </w:r>
                  <w:r>
                    <w:rPr>
                      <w:rFonts w:ascii="Times New Roman" w:hAnsi="Times New Roman"/>
                      <w:i w:val="0"/>
                      <w:iCs w:val="0"/>
                      <w:kern w:val="0"/>
                      <w:sz w:val="18"/>
                      <w:szCs w:val="18"/>
                    </w:rPr>
                    <w:t>新开工面积</w:t>
                  </w:r>
                </w:p>
              </w:tc>
              <w:tc>
                <w:tcPr>
                  <w:tcW w:w="962"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122074</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-49.6</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#住宅</w:t>
                  </w:r>
                </w:p>
              </w:tc>
              <w:tc>
                <w:tcPr>
                  <w:tcW w:w="962"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1404014</w:t>
                  </w:r>
                </w:p>
              </w:tc>
              <w:tc>
                <w:tcPr>
                  <w:tcW w:w="10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2.6</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2.商品房竣工面积</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#住宅</w:t>
                  </w:r>
                </w:p>
              </w:tc>
              <w:tc>
                <w:tcPr>
                  <w:tcW w:w="962" w:type="dxa"/>
                  <w:tcBorders>
                    <w:top w:val="nil"/>
                    <w:left w:val="nil"/>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1046" w:type="dxa"/>
                  <w:tcBorders>
                    <w:top w:val="nil"/>
                    <w:left w:val="single" w:color="auto" w:sz="4" w:space="0"/>
                    <w:bottom w:val="nil"/>
                    <w:right w:val="nil"/>
                  </w:tcBorders>
                  <w:vAlign w:val="center"/>
                </w:tcPr>
                <w:p>
                  <w:pPr>
                    <w:spacing w:line="240" w:lineRule="auto"/>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r>
            <w:tr>
              <w:tblPrEx>
                <w:tblCellMar>
                  <w:top w:w="0" w:type="dxa"/>
                  <w:left w:w="108" w:type="dxa"/>
                  <w:bottom w:w="0" w:type="dxa"/>
                  <w:right w:w="108" w:type="dxa"/>
                </w:tblCellMar>
              </w:tblPrEx>
              <w:trPr>
                <w:trHeight w:val="90" w:hRule="atLeast"/>
                <w:jc w:val="center"/>
              </w:trPr>
              <w:tc>
                <w:tcPr>
                  <w:tcW w:w="3100" w:type="dxa"/>
                  <w:tcBorders>
                    <w:top w:val="nil"/>
                    <w:left w:val="nil"/>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3.商品房销售面积</w:t>
                  </w:r>
                </w:p>
              </w:tc>
              <w:tc>
                <w:tcPr>
                  <w:tcW w:w="962"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365700</w:t>
                  </w:r>
                </w:p>
              </w:tc>
              <w:tc>
                <w:tcPr>
                  <w:tcW w:w="1046"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-43.7</w:t>
                  </w:r>
                </w:p>
              </w:tc>
            </w:tr>
            <w:tr>
              <w:tblPrEx>
                <w:tblCellMar>
                  <w:top w:w="0" w:type="dxa"/>
                  <w:left w:w="108" w:type="dxa"/>
                  <w:bottom w:w="0" w:type="dxa"/>
                  <w:right w:w="108" w:type="dxa"/>
                </w:tblCellMar>
              </w:tblPrEx>
              <w:trPr>
                <w:trHeight w:val="354" w:hRule="atLeast"/>
                <w:jc w:val="center"/>
              </w:trPr>
              <w:tc>
                <w:tcPr>
                  <w:tcW w:w="3100" w:type="dxa"/>
                  <w:tcBorders>
                    <w:top w:val="nil"/>
                    <w:left w:val="nil"/>
                    <w:bottom w:val="single" w:color="auto" w:sz="12" w:space="0"/>
                    <w:right w:val="single" w:color="000000" w:sz="4" w:space="0"/>
                  </w:tcBorders>
                  <w:vAlign w:val="center"/>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#住宅</w:t>
                  </w:r>
                </w:p>
              </w:tc>
              <w:tc>
                <w:tcPr>
                  <w:tcW w:w="962" w:type="dxa"/>
                  <w:tcBorders>
                    <w:top w:val="nil"/>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335650</w:t>
                  </w:r>
                </w:p>
              </w:tc>
              <w:tc>
                <w:tcPr>
                  <w:tcW w:w="1046"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i w:val="0"/>
                      <w:iCs w:val="0"/>
                      <w:color w:val="auto"/>
                      <w:kern w:val="0"/>
                      <w:sz w:val="20"/>
                      <w:szCs w:val="20"/>
                      <w:u w:val="none"/>
                      <w:lang w:val="en-US" w:eastAsia="zh-CN" w:bidi="ar"/>
                    </w:rPr>
                    <w:t>-39.1</w:t>
                  </w:r>
                </w:p>
              </w:tc>
            </w:tr>
          </w:tbl>
          <w:p>
            <w:pPr>
              <w:widowControl/>
              <w:jc w:val="center"/>
              <w:rPr>
                <w:rFonts w:ascii="黑体" w:eastAsia="黑体"/>
                <w:sz w:val="28"/>
                <w:szCs w:val="28"/>
              </w:rPr>
            </w:pPr>
          </w:p>
        </w:tc>
      </w:tr>
      <w:tr>
        <w:tblPrEx>
          <w:tblCellMar>
            <w:top w:w="0" w:type="dxa"/>
            <w:left w:w="108" w:type="dxa"/>
            <w:bottom w:w="0" w:type="dxa"/>
            <w:right w:w="108" w:type="dxa"/>
          </w:tblCellMar>
        </w:tblPrEx>
        <w:trPr>
          <w:trHeight w:val="601" w:hRule="atLeast"/>
          <w:jc w:val="center"/>
        </w:trPr>
        <w:tc>
          <w:tcPr>
            <w:tcW w:w="5139" w:type="dxa"/>
            <w:gridSpan w:val="4"/>
            <w:tcBorders>
              <w:top w:val="nil"/>
              <w:left w:val="nil"/>
              <w:bottom w:val="nil"/>
              <w:right w:val="nil"/>
            </w:tcBorders>
            <w:noWrap/>
            <w:vAlign w:val="center"/>
          </w:tcPr>
          <w:p>
            <w:pPr>
              <w:widowControl/>
              <w:snapToGrid w:val="0"/>
              <w:spacing w:line="460" w:lineRule="exact"/>
              <w:jc w:val="center"/>
              <w:rPr>
                <w:rFonts w:ascii="楷体" w:hAnsi="楷体" w:eastAsia="楷体" w:cs="楷体"/>
                <w:bCs/>
                <w:kern w:val="0"/>
                <w:sz w:val="24"/>
                <w:szCs w:val="24"/>
              </w:rPr>
            </w:pPr>
            <w:r>
              <w:rPr>
                <w:rFonts w:hint="eastAsia" w:ascii="楷体" w:hAnsi="楷体" w:eastAsia="楷体" w:cs="楷体"/>
                <w:bCs/>
                <w:kern w:val="0"/>
                <w:sz w:val="24"/>
                <w:szCs w:val="24"/>
                <w:lang w:val="en-US" w:eastAsia="zh-CN"/>
              </w:rPr>
              <w:t>四、</w:t>
            </w:r>
            <w:r>
              <w:rPr>
                <w:rFonts w:hint="eastAsia" w:ascii="楷体" w:hAnsi="楷体" w:eastAsia="楷体" w:cs="楷体"/>
                <w:bCs/>
                <w:kern w:val="0"/>
                <w:sz w:val="24"/>
                <w:szCs w:val="24"/>
              </w:rPr>
              <w:t>社会消费品零售总额</w:t>
            </w:r>
          </w:p>
          <w:tbl>
            <w:tblPr>
              <w:tblStyle w:val="6"/>
              <w:tblW w:w="5300" w:type="dxa"/>
              <w:jc w:val="center"/>
              <w:tblLayout w:type="fixed"/>
              <w:tblCellMar>
                <w:top w:w="0" w:type="dxa"/>
                <w:left w:w="108" w:type="dxa"/>
                <w:bottom w:w="0" w:type="dxa"/>
                <w:right w:w="108" w:type="dxa"/>
              </w:tblCellMar>
            </w:tblPr>
            <w:tblGrid>
              <w:gridCol w:w="2337"/>
              <w:gridCol w:w="874"/>
              <w:gridCol w:w="964"/>
              <w:gridCol w:w="1125"/>
            </w:tblGrid>
            <w:tr>
              <w:tblPrEx>
                <w:tblCellMar>
                  <w:top w:w="0" w:type="dxa"/>
                  <w:left w:w="108" w:type="dxa"/>
                  <w:bottom w:w="0" w:type="dxa"/>
                  <w:right w:w="108" w:type="dxa"/>
                </w:tblCellMar>
              </w:tblPrEx>
              <w:trPr>
                <w:trHeight w:val="392" w:hRule="atLeast"/>
                <w:jc w:val="center"/>
              </w:trPr>
              <w:tc>
                <w:tcPr>
                  <w:tcW w:w="5300"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lang w:val="en-US" w:eastAsia="zh-CN"/>
                    </w:rPr>
                    <w:t xml:space="preserve">  </w:t>
                  </w: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823" w:hRule="atLeast"/>
                <w:jc w:val="center"/>
              </w:trPr>
              <w:tc>
                <w:tcPr>
                  <w:tcW w:w="2337"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指标名称</w:t>
                  </w:r>
                </w:p>
              </w:tc>
              <w:tc>
                <w:tcPr>
                  <w:tcW w:w="874"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Times New Roman" w:hAnsi="Times New Roman" w:eastAsia="宋体"/>
                      <w:kern w:val="0"/>
                      <w:sz w:val="18"/>
                      <w:szCs w:val="18"/>
                      <w:lang w:eastAsia="zh-CN"/>
                    </w:rPr>
                  </w:pPr>
                  <w:r>
                    <w:rPr>
                      <w:rFonts w:hint="eastAsia" w:ascii="Times New Roman" w:hAnsi="Times New Roman"/>
                      <w:kern w:val="0"/>
                      <w:sz w:val="18"/>
                      <w:szCs w:val="18"/>
                      <w:lang w:val="en-US" w:eastAsia="zh-CN"/>
                    </w:rPr>
                    <w:t>12</w:t>
                  </w:r>
                  <w:r>
                    <w:rPr>
                      <w:rFonts w:hint="eastAsia" w:ascii="Times New Roman" w:hAnsi="Times New Roman"/>
                      <w:kern w:val="0"/>
                      <w:sz w:val="18"/>
                      <w:szCs w:val="18"/>
                    </w:rPr>
                    <w:t>月止</w:t>
                  </w:r>
                </w:p>
                <w:p>
                  <w:pPr>
                    <w:widowControl/>
                    <w:jc w:val="center"/>
                    <w:rPr>
                      <w:rFonts w:ascii="Times New Roman" w:hAnsi="Times New Roman"/>
                      <w:kern w:val="0"/>
                      <w:sz w:val="18"/>
                      <w:szCs w:val="18"/>
                    </w:rPr>
                  </w:pPr>
                  <w:r>
                    <w:rPr>
                      <w:rFonts w:hint="eastAsia" w:ascii="Times New Roman" w:hAnsi="Times New Roman"/>
                      <w:kern w:val="0"/>
                      <w:sz w:val="18"/>
                      <w:szCs w:val="18"/>
                    </w:rPr>
                    <w:t>累计</w:t>
                  </w:r>
                </w:p>
              </w:tc>
              <w:tc>
                <w:tcPr>
                  <w:tcW w:w="964"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比同期增减额</w:t>
                  </w:r>
                </w:p>
              </w:tc>
              <w:tc>
                <w:tcPr>
                  <w:tcW w:w="1125" w:type="dxa"/>
                  <w:tcBorders>
                    <w:top w:val="single" w:color="auto" w:sz="12" w:space="0"/>
                    <w:left w:val="single" w:color="auto" w:sz="4" w:space="0"/>
                    <w:bottom w:val="single" w:color="auto" w:sz="12" w:space="0"/>
                  </w:tcBorders>
                  <w:vAlign w:val="center"/>
                </w:tcPr>
                <w:p>
                  <w:pPr>
                    <w:widowControl/>
                    <w:jc w:val="center"/>
                    <w:rPr>
                      <w:rFonts w:hint="eastAsia" w:ascii="Times New Roman" w:hAnsi="Times New Roman" w:eastAsia="宋体"/>
                      <w:kern w:val="0"/>
                      <w:sz w:val="18"/>
                      <w:szCs w:val="18"/>
                      <w:lang w:eastAsia="zh-CN"/>
                    </w:rPr>
                  </w:pPr>
                  <w:r>
                    <w:rPr>
                      <w:rFonts w:hint="eastAsia" w:ascii="Times New Roman" w:hAnsi="Times New Roman"/>
                      <w:kern w:val="0"/>
                      <w:sz w:val="18"/>
                      <w:szCs w:val="18"/>
                    </w:rPr>
                    <w:t>比同期</w:t>
                  </w:r>
                </w:p>
                <w:p>
                  <w:pPr>
                    <w:widowControl/>
                    <w:jc w:val="center"/>
                    <w:rPr>
                      <w:rFonts w:ascii="Times New Roman" w:hAnsi="Times New Roman"/>
                      <w:kern w:val="0"/>
                      <w:sz w:val="18"/>
                      <w:szCs w:val="18"/>
                    </w:rPr>
                  </w:pPr>
                  <w:r>
                    <w:rPr>
                      <w:rFonts w:hint="eastAsia" w:ascii="Times New Roman" w:hAnsi="Times New Roman"/>
                      <w:kern w:val="0"/>
                      <w:sz w:val="18"/>
                      <w:szCs w:val="18"/>
                    </w:rPr>
                    <w:t>累计</w:t>
                  </w:r>
                  <w:r>
                    <w:rPr>
                      <w:rFonts w:ascii="Times New Roman" w:hAnsi="Times New Roman"/>
                      <w:kern w:val="0"/>
                      <w:sz w:val="18"/>
                      <w:szCs w:val="18"/>
                    </w:rPr>
                    <w:t>±%</w:t>
                  </w:r>
                </w:p>
              </w:tc>
            </w:tr>
            <w:tr>
              <w:tblPrEx>
                <w:tblCellMar>
                  <w:top w:w="0" w:type="dxa"/>
                  <w:left w:w="108" w:type="dxa"/>
                  <w:bottom w:w="0" w:type="dxa"/>
                  <w:right w:w="108" w:type="dxa"/>
                </w:tblCellMar>
              </w:tblPrEx>
              <w:trPr>
                <w:trHeight w:val="680" w:hRule="atLeast"/>
                <w:jc w:val="center"/>
              </w:trPr>
              <w:tc>
                <w:tcPr>
                  <w:tcW w:w="2337" w:type="dxa"/>
                  <w:tcBorders>
                    <w:top w:val="single" w:color="auto" w:sz="12" w:space="0"/>
                    <w:right w:val="single" w:color="auto" w:sz="4" w:space="0"/>
                  </w:tcBorders>
                  <w:vAlign w:val="center"/>
                </w:tcPr>
                <w:p>
                  <w:pPr>
                    <w:jc w:val="center"/>
                    <w:rPr>
                      <w:rFonts w:hint="eastAsia" w:ascii="Times New Roman" w:hAnsi="Times New Roman"/>
                      <w:sz w:val="18"/>
                      <w:szCs w:val="18"/>
                    </w:rPr>
                  </w:pPr>
                  <w:r>
                    <w:rPr>
                      <w:rFonts w:hint="eastAsia" w:ascii="Times New Roman" w:hAnsi="Times New Roman"/>
                      <w:sz w:val="18"/>
                      <w:szCs w:val="18"/>
                      <w:lang w:val="en-US" w:eastAsia="zh-CN"/>
                    </w:rPr>
                    <w:t xml:space="preserve">   </w:t>
                  </w:r>
                  <w:r>
                    <w:rPr>
                      <w:rFonts w:hint="eastAsia" w:ascii="Times New Roman" w:hAnsi="Times New Roman"/>
                      <w:sz w:val="18"/>
                      <w:szCs w:val="18"/>
                    </w:rPr>
                    <w:t>一、社会消费品零售</w:t>
                  </w:r>
                </w:p>
                <w:p>
                  <w:pPr>
                    <w:jc w:val="center"/>
                    <w:rPr>
                      <w:rFonts w:ascii="Times New Roman" w:hAnsi="Times New Roman"/>
                      <w:sz w:val="18"/>
                      <w:szCs w:val="18"/>
                    </w:rPr>
                  </w:pPr>
                  <w:r>
                    <w:rPr>
                      <w:rFonts w:hint="eastAsia" w:ascii="Times New Roman" w:hAnsi="Times New Roman"/>
                      <w:sz w:val="18"/>
                      <w:szCs w:val="18"/>
                    </w:rPr>
                    <w:t>总额</w:t>
                  </w:r>
                </w:p>
              </w:tc>
              <w:tc>
                <w:tcPr>
                  <w:tcW w:w="87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525941</w:t>
                  </w:r>
                </w:p>
              </w:tc>
              <w:tc>
                <w:tcPr>
                  <w:tcW w:w="964"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4183</w:t>
                  </w:r>
                </w:p>
              </w:tc>
              <w:tc>
                <w:tcPr>
                  <w:tcW w:w="1125"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0.8</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其中：限额以上</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36307</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-2540</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-6.5</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 xml:space="preserve">      限额以下</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489634</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5724</w:t>
                  </w:r>
                </w:p>
              </w:tc>
              <w:tc>
                <w:tcPr>
                  <w:tcW w:w="1125" w:type="dxa"/>
                  <w:tcBorders>
                    <w:lef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1.2</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（一）按销售所在地分</w:t>
                  </w:r>
                </w:p>
              </w:tc>
              <w:tc>
                <w:tcPr>
                  <w:tcW w:w="874" w:type="dxa"/>
                  <w:tcBorders>
                    <w:left w:val="single" w:color="auto" w:sz="4" w:space="0"/>
                  </w:tcBorders>
                  <w:vAlign w:val="center"/>
                </w:tcPr>
                <w:p>
                  <w:pPr>
                    <w:jc w:val="center"/>
                    <w:rPr>
                      <w:rFonts w:hint="default" w:ascii="Times New Roman" w:hAnsi="Times New Roman" w:cs="Times New Roman"/>
                      <w:sz w:val="18"/>
                      <w:szCs w:val="18"/>
                      <w:lang w:val="en-US" w:eastAsia="zh-CN"/>
                    </w:rPr>
                  </w:pPr>
                </w:p>
              </w:tc>
              <w:tc>
                <w:tcPr>
                  <w:tcW w:w="964" w:type="dxa"/>
                  <w:tcBorders>
                    <w:left w:val="single" w:color="auto" w:sz="4" w:space="0"/>
                  </w:tcBorders>
                  <w:vAlign w:val="center"/>
                </w:tcPr>
                <w:p>
                  <w:pPr>
                    <w:jc w:val="center"/>
                    <w:rPr>
                      <w:rFonts w:hint="default" w:ascii="Times New Roman" w:hAnsi="Times New Roman" w:cs="Times New Roman"/>
                      <w:sz w:val="18"/>
                      <w:szCs w:val="18"/>
                      <w:lang w:val="en-US" w:eastAsia="zh-CN"/>
                    </w:rPr>
                  </w:pPr>
                </w:p>
              </w:tc>
              <w:tc>
                <w:tcPr>
                  <w:tcW w:w="1125" w:type="dxa"/>
                  <w:tcBorders>
                    <w:left w:val="single" w:color="auto" w:sz="4" w:space="0"/>
                  </w:tcBorders>
                  <w:vAlign w:val="center"/>
                </w:tcPr>
                <w:p>
                  <w:pPr>
                    <w:jc w:val="center"/>
                    <w:rPr>
                      <w:rFonts w:hint="default" w:ascii="Times New Roman" w:hAnsi="Times New Roman" w:cs="Times New Roman"/>
                      <w:sz w:val="18"/>
                      <w:szCs w:val="18"/>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城镇</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480099</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3605</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0.8</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乡村</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45842</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578</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1.3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(二)按行业分</w:t>
                  </w:r>
                </w:p>
              </w:tc>
              <w:tc>
                <w:tcPr>
                  <w:tcW w:w="874" w:type="dxa"/>
                  <w:tcBorders>
                    <w:left w:val="single" w:color="auto" w:sz="4" w:space="0"/>
                    <w:right w:val="single" w:color="auto" w:sz="4" w:space="0"/>
                  </w:tcBorders>
                  <w:vAlign w:val="center"/>
                </w:tcPr>
                <w:p>
                  <w:pPr>
                    <w:jc w:val="center"/>
                    <w:rPr>
                      <w:rFonts w:hint="default" w:ascii="Times New Roman" w:hAnsi="Times New Roman" w:cs="Times New Roman"/>
                      <w:sz w:val="18"/>
                      <w:szCs w:val="18"/>
                      <w:lang w:val="en-US" w:eastAsia="zh-CN"/>
                    </w:rPr>
                  </w:pPr>
                </w:p>
              </w:tc>
              <w:tc>
                <w:tcPr>
                  <w:tcW w:w="964" w:type="dxa"/>
                  <w:tcBorders>
                    <w:left w:val="single" w:color="auto" w:sz="4" w:space="0"/>
                    <w:right w:val="single" w:color="auto" w:sz="4" w:space="0"/>
                  </w:tcBorders>
                  <w:vAlign w:val="center"/>
                </w:tcPr>
                <w:p>
                  <w:pPr>
                    <w:jc w:val="center"/>
                    <w:rPr>
                      <w:rFonts w:hint="default" w:ascii="Times New Roman" w:hAnsi="Times New Roman" w:cs="Times New Roman"/>
                      <w:sz w:val="18"/>
                      <w:szCs w:val="18"/>
                      <w:lang w:val="en-US" w:eastAsia="zh-CN"/>
                    </w:rPr>
                  </w:pPr>
                </w:p>
              </w:tc>
              <w:tc>
                <w:tcPr>
                  <w:tcW w:w="1125" w:type="dxa"/>
                  <w:tcBorders>
                    <w:left w:val="single" w:color="auto" w:sz="4" w:space="0"/>
                  </w:tcBorders>
                  <w:vAlign w:val="center"/>
                </w:tcPr>
                <w:p>
                  <w:pPr>
                    <w:jc w:val="center"/>
                    <w:rPr>
                      <w:rFonts w:hint="default" w:ascii="Times New Roman" w:hAnsi="Times New Roman" w:cs="Times New Roman"/>
                      <w:sz w:val="18"/>
                      <w:szCs w:val="18"/>
                      <w:lang w:val="en-US" w:eastAsia="zh-CN"/>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批发业</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19250</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1355</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7.6</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零售业</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435498</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4358</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1.0</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住宿业</w:t>
                  </w:r>
                </w:p>
              </w:tc>
              <w:tc>
                <w:tcPr>
                  <w:tcW w:w="87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8877</w:t>
                  </w:r>
                </w:p>
              </w:tc>
              <w:tc>
                <w:tcPr>
                  <w:tcW w:w="96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22</w:t>
                  </w:r>
                </w:p>
              </w:tc>
              <w:tc>
                <w:tcPr>
                  <w:tcW w:w="1125"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0.2</w:t>
                  </w:r>
                </w:p>
              </w:tc>
            </w:tr>
            <w:tr>
              <w:tblPrEx>
                <w:tblCellMar>
                  <w:top w:w="0" w:type="dxa"/>
                  <w:left w:w="108" w:type="dxa"/>
                  <w:bottom w:w="0" w:type="dxa"/>
                  <w:right w:w="108" w:type="dxa"/>
                </w:tblCellMar>
              </w:tblPrEx>
              <w:trPr>
                <w:trHeight w:val="674" w:hRule="atLeast"/>
                <w:jc w:val="center"/>
              </w:trPr>
              <w:tc>
                <w:tcPr>
                  <w:tcW w:w="2337" w:type="dxa"/>
                  <w:tcBorders>
                    <w:bottom w:val="single" w:color="auto" w:sz="12"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餐饮业</w:t>
                  </w:r>
                </w:p>
              </w:tc>
              <w:tc>
                <w:tcPr>
                  <w:tcW w:w="874"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62316</w:t>
                  </w:r>
                </w:p>
              </w:tc>
              <w:tc>
                <w:tcPr>
                  <w:tcW w:w="964" w:type="dxa"/>
                  <w:tcBorders>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-1552</w:t>
                  </w:r>
                </w:p>
              </w:tc>
              <w:tc>
                <w:tcPr>
                  <w:tcW w:w="1125" w:type="dxa"/>
                  <w:tcBorders>
                    <w:left w:val="single" w:color="auto" w:sz="4" w:space="0"/>
                    <w:bottom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auto"/>
                      <w:kern w:val="0"/>
                      <w:sz w:val="18"/>
                      <w:szCs w:val="18"/>
                      <w:u w:val="none"/>
                      <w:lang w:val="en-US" w:eastAsia="zh-CN" w:bidi="ar"/>
                    </w:rPr>
                    <w:t>-2.4</w:t>
                  </w:r>
                </w:p>
              </w:tc>
            </w:tr>
          </w:tbl>
          <w:p>
            <w:pPr>
              <w:widowControl/>
              <w:spacing w:line="280" w:lineRule="exact"/>
              <w:jc w:val="center"/>
              <w:rPr>
                <w:rFonts w:ascii="Times New Roman" w:hAnsi="Times New Roman"/>
                <w:sz w:val="24"/>
              </w:rPr>
            </w:pPr>
          </w:p>
          <w:p>
            <w:pPr>
              <w:widowControl/>
              <w:spacing w:line="280" w:lineRule="exact"/>
              <w:jc w:val="center"/>
              <w:rPr>
                <w:rFonts w:ascii="Times New Roman" w:hAnsi="Times New Roman"/>
                <w:sz w:val="24"/>
              </w:rPr>
            </w:pPr>
          </w:p>
          <w:p>
            <w:pPr>
              <w:widowControl/>
              <w:spacing w:line="280" w:lineRule="exact"/>
              <w:jc w:val="center"/>
              <w:rPr>
                <w:rFonts w:ascii="Times New Roman" w:hAnsi="Times New Roman" w:eastAsia="黑体"/>
                <w:bCs/>
                <w:kern w:val="0"/>
                <w:sz w:val="28"/>
                <w:szCs w:val="28"/>
              </w:rPr>
            </w:pPr>
            <w:r>
              <w:rPr>
                <w:rFonts w:hint="eastAsia" w:ascii="Times New Roman" w:hAnsi="Times New Roman" w:eastAsia="楷体"/>
                <w:sz w:val="24"/>
                <w:lang w:val="en-US" w:eastAsia="zh-CN"/>
              </w:rPr>
              <w:t>五、</w:t>
            </w:r>
            <w:r>
              <w:rPr>
                <w:rFonts w:hint="eastAsia" w:ascii="楷体" w:hAnsi="楷体" w:eastAsia="楷体" w:cs="楷体"/>
                <w:bCs/>
                <w:kern w:val="0"/>
                <w:sz w:val="24"/>
                <w:szCs w:val="24"/>
              </w:rPr>
              <w:t>财政、税收、金融</w:t>
            </w:r>
          </w:p>
        </w:tc>
      </w:tr>
      <w:tr>
        <w:tblPrEx>
          <w:tblCellMar>
            <w:top w:w="0" w:type="dxa"/>
            <w:left w:w="108" w:type="dxa"/>
            <w:bottom w:w="0" w:type="dxa"/>
            <w:right w:w="108" w:type="dxa"/>
          </w:tblCellMar>
        </w:tblPrEx>
        <w:trPr>
          <w:trHeight w:val="90" w:hRule="atLeast"/>
          <w:jc w:val="center"/>
        </w:trPr>
        <w:tc>
          <w:tcPr>
            <w:tcW w:w="2037"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102" w:type="dxa"/>
            <w:gridSpan w:val="3"/>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blPrEx>
          <w:tblCellMar>
            <w:top w:w="0" w:type="dxa"/>
            <w:left w:w="108" w:type="dxa"/>
            <w:bottom w:w="0" w:type="dxa"/>
            <w:right w:w="108" w:type="dxa"/>
          </w:tblCellMar>
        </w:tblPrEx>
        <w:trPr>
          <w:trHeight w:val="491" w:hRule="atLeast"/>
          <w:jc w:val="center"/>
        </w:trPr>
        <w:tc>
          <w:tcPr>
            <w:tcW w:w="2037"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ascii="Times New Roman" w:hAnsi="Times New Roman"/>
                <w:kern w:val="0"/>
                <w:sz w:val="18"/>
                <w:szCs w:val="18"/>
              </w:rPr>
            </w:pPr>
            <w:r>
              <w:rPr>
                <w:rFonts w:ascii="Times New Roman" w:hAnsi="Times New Roman"/>
                <w:kern w:val="0"/>
                <w:sz w:val="18"/>
                <w:szCs w:val="18"/>
              </w:rPr>
              <w:t>指标名称</w:t>
            </w:r>
          </w:p>
        </w:tc>
        <w:tc>
          <w:tcPr>
            <w:tcW w:w="1188"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hint="eastAsia" w:ascii="Times New Roman" w:hAnsi="Times New Roman" w:eastAsia="宋体"/>
                <w:kern w:val="0"/>
                <w:sz w:val="18"/>
                <w:szCs w:val="18"/>
                <w:lang w:eastAsia="zh-CN"/>
              </w:rPr>
            </w:pPr>
            <w:r>
              <w:rPr>
                <w:rFonts w:hint="eastAsia" w:ascii="Times New Roman" w:hAnsi="Times New Roman"/>
                <w:kern w:val="0"/>
                <w:sz w:val="18"/>
                <w:szCs w:val="18"/>
                <w:lang w:val="en-US" w:eastAsia="zh-CN"/>
              </w:rPr>
              <w:t>12</w:t>
            </w:r>
            <w:r>
              <w:rPr>
                <w:rFonts w:ascii="Times New Roman" w:hAnsi="Times New Roman"/>
                <w:kern w:val="0"/>
                <w:sz w:val="18"/>
                <w:szCs w:val="18"/>
              </w:rPr>
              <w:t>月止</w:t>
            </w:r>
          </w:p>
          <w:p>
            <w:pPr>
              <w:widowControl/>
              <w:snapToGrid w:val="0"/>
              <w:spacing w:line="200" w:lineRule="exact"/>
              <w:jc w:val="center"/>
              <w:rPr>
                <w:rFonts w:ascii="Times New Roman" w:hAnsi="Times New Roman"/>
                <w:kern w:val="0"/>
                <w:sz w:val="18"/>
                <w:szCs w:val="18"/>
              </w:rPr>
            </w:pPr>
            <w:r>
              <w:rPr>
                <w:rFonts w:ascii="Times New Roman" w:hAnsi="Times New Roman"/>
                <w:kern w:val="0"/>
                <w:sz w:val="18"/>
                <w:szCs w:val="18"/>
              </w:rPr>
              <w:t>累计</w:t>
            </w:r>
          </w:p>
        </w:tc>
        <w:tc>
          <w:tcPr>
            <w:tcW w:w="1068"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18"/>
                <w:szCs w:val="18"/>
              </w:rPr>
            </w:pPr>
            <w:r>
              <w:rPr>
                <w:rFonts w:hint="eastAsia" w:ascii="Times New Roman" w:hAnsi="Times New Roman"/>
                <w:kern w:val="0"/>
                <w:sz w:val="18"/>
                <w:szCs w:val="18"/>
              </w:rPr>
              <w:t>比同期增减额</w:t>
            </w:r>
          </w:p>
        </w:tc>
        <w:tc>
          <w:tcPr>
            <w:tcW w:w="846" w:type="dxa"/>
            <w:tcBorders>
              <w:top w:val="single" w:color="auto" w:sz="12" w:space="0"/>
              <w:left w:val="nil"/>
              <w:bottom w:val="single" w:color="auto" w:sz="12" w:space="0"/>
              <w:right w:val="nil"/>
            </w:tcBorders>
            <w:vAlign w:val="center"/>
          </w:tcPr>
          <w:p>
            <w:pPr>
              <w:widowControl/>
              <w:snapToGrid w:val="0"/>
              <w:spacing w:line="200" w:lineRule="exact"/>
              <w:jc w:val="center"/>
              <w:rPr>
                <w:rFonts w:ascii="Times New Roman" w:hAnsi="Times New Roman"/>
                <w:kern w:val="0"/>
                <w:sz w:val="18"/>
                <w:szCs w:val="18"/>
              </w:rPr>
            </w:pPr>
            <w:r>
              <w:rPr>
                <w:rFonts w:ascii="Times New Roman" w:hAnsi="Times New Roman"/>
                <w:kern w:val="0"/>
                <w:sz w:val="18"/>
                <w:szCs w:val="18"/>
              </w:rPr>
              <w:t>比同期</w:t>
            </w:r>
          </w:p>
          <w:p>
            <w:pPr>
              <w:widowControl/>
              <w:snapToGrid w:val="0"/>
              <w:spacing w:line="200" w:lineRule="exact"/>
              <w:jc w:val="center"/>
              <w:rPr>
                <w:rFonts w:ascii="Times New Roman" w:hAnsi="Times New Roman"/>
                <w:kern w:val="0"/>
                <w:sz w:val="18"/>
                <w:szCs w:val="18"/>
              </w:rPr>
            </w:pPr>
            <w:r>
              <w:rPr>
                <w:rFonts w:ascii="Times New Roman" w:hAnsi="Times New Roman"/>
                <w:kern w:val="0"/>
                <w:sz w:val="18"/>
                <w:szCs w:val="18"/>
              </w:rPr>
              <w:t>累计±%</w:t>
            </w:r>
          </w:p>
        </w:tc>
      </w:tr>
      <w:tr>
        <w:tblPrEx>
          <w:tblCellMar>
            <w:top w:w="0" w:type="dxa"/>
            <w:left w:w="108" w:type="dxa"/>
            <w:bottom w:w="0" w:type="dxa"/>
            <w:right w:w="108" w:type="dxa"/>
          </w:tblCellMar>
        </w:tblPrEx>
        <w:trPr>
          <w:trHeight w:val="363" w:hRule="atLeast"/>
          <w:jc w:val="center"/>
        </w:trPr>
        <w:tc>
          <w:tcPr>
            <w:tcW w:w="2037" w:type="dxa"/>
            <w:tcBorders>
              <w:top w:val="single" w:color="auto" w:sz="12" w:space="0"/>
              <w:left w:val="nil"/>
              <w:bottom w:val="nil"/>
              <w:right w:val="single" w:color="auto" w:sz="4" w:space="0"/>
            </w:tcBorders>
            <w:noWrap/>
            <w:vAlign w:val="center"/>
          </w:tcPr>
          <w:p>
            <w:pPr>
              <w:rPr>
                <w:rFonts w:ascii="Times New Roman" w:hAnsi="Times New Roman"/>
                <w:bCs/>
                <w:sz w:val="18"/>
                <w:szCs w:val="18"/>
              </w:rPr>
            </w:pPr>
            <w:r>
              <w:rPr>
                <w:rFonts w:ascii="Times New Roman" w:hAnsi="Times New Roman"/>
                <w:b/>
                <w:sz w:val="18"/>
                <w:szCs w:val="18"/>
              </w:rPr>
              <w:t>一、地方财政收入</w:t>
            </w:r>
          </w:p>
        </w:tc>
        <w:tc>
          <w:tcPr>
            <w:tcW w:w="1188" w:type="dxa"/>
            <w:tcBorders>
              <w:top w:val="single" w:color="auto" w:sz="12" w:space="0"/>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165123</w:t>
            </w:r>
          </w:p>
        </w:tc>
        <w:tc>
          <w:tcPr>
            <w:tcW w:w="1068"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-7378</w:t>
            </w:r>
          </w:p>
        </w:tc>
        <w:tc>
          <w:tcPr>
            <w:tcW w:w="846" w:type="dxa"/>
            <w:tcBorders>
              <w:top w:val="single" w:color="auto" w:sz="12" w:space="0"/>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-4.3</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1、公共财政预算收入</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134614</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12163</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9.9</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 税收收入</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117933</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13321</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12.7</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增值税</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42126</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-2314</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-5.2</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ind w:firstLine="180" w:firstLineChars="100"/>
              <w:jc w:val="both"/>
              <w:rPr>
                <w:rFonts w:ascii="Times New Roman" w:hAnsi="Times New Roman"/>
                <w:sz w:val="18"/>
                <w:szCs w:val="18"/>
              </w:rPr>
            </w:pPr>
            <w:r>
              <w:rPr>
                <w:rFonts w:ascii="Times New Roman" w:hAnsi="Times New Roman"/>
                <w:sz w:val="18"/>
                <w:szCs w:val="18"/>
              </w:rPr>
              <w:t>企业所得税</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21761</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6494</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42.5</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ind w:firstLine="180" w:firstLineChars="100"/>
              <w:jc w:val="both"/>
              <w:rPr>
                <w:rFonts w:ascii="Times New Roman" w:hAnsi="Times New Roman"/>
                <w:sz w:val="18"/>
                <w:szCs w:val="18"/>
              </w:rPr>
            </w:pPr>
            <w:r>
              <w:rPr>
                <w:rFonts w:ascii="Times New Roman" w:hAnsi="Times New Roman"/>
                <w:sz w:val="18"/>
                <w:szCs w:val="18"/>
              </w:rPr>
              <w:t>个人所得税</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3340</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877</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35.6</w:t>
            </w:r>
          </w:p>
        </w:tc>
      </w:tr>
      <w:tr>
        <w:tblPrEx>
          <w:tblCellMar>
            <w:top w:w="0" w:type="dxa"/>
            <w:left w:w="108" w:type="dxa"/>
            <w:bottom w:w="0" w:type="dxa"/>
            <w:right w:w="108" w:type="dxa"/>
          </w:tblCellMar>
        </w:tblPrEx>
        <w:trPr>
          <w:trHeight w:val="352"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#非税收入</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16681</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-1158</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-6.5</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2、政府性基金收入</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30509</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-19541</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-39.0</w:t>
            </w:r>
          </w:p>
        </w:tc>
      </w:tr>
      <w:tr>
        <w:tblPrEx>
          <w:tblCellMar>
            <w:top w:w="0" w:type="dxa"/>
            <w:left w:w="108" w:type="dxa"/>
            <w:bottom w:w="0" w:type="dxa"/>
            <w:right w:w="108" w:type="dxa"/>
          </w:tblCellMar>
        </w:tblPrEx>
        <w:trPr>
          <w:trHeight w:val="353" w:hRule="atLeast"/>
          <w:jc w:val="center"/>
        </w:trPr>
        <w:tc>
          <w:tcPr>
            <w:tcW w:w="2037" w:type="dxa"/>
            <w:tcBorders>
              <w:top w:val="nil"/>
              <w:left w:val="nil"/>
              <w:bottom w:val="nil"/>
              <w:right w:val="single" w:color="auto" w:sz="4" w:space="0"/>
            </w:tcBorders>
            <w:noWrap/>
            <w:vAlign w:val="center"/>
          </w:tcPr>
          <w:p>
            <w:pPr>
              <w:rPr>
                <w:rFonts w:hint="eastAsia" w:ascii="Times New Roman" w:hAnsi="Times New Roman" w:eastAsia="宋体"/>
                <w:bCs/>
                <w:sz w:val="18"/>
                <w:szCs w:val="18"/>
                <w:lang w:val="en-US" w:eastAsia="zh-CN"/>
              </w:rPr>
            </w:pPr>
            <w:r>
              <w:rPr>
                <w:rFonts w:ascii="Times New Roman" w:hAnsi="Times New Roman"/>
                <w:b/>
                <w:sz w:val="18"/>
                <w:szCs w:val="18"/>
              </w:rPr>
              <w:t>二、地方财政支出</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273032</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-17425</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-6.0</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1、公共财政预算支出</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210536</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-9469</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-4.3</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ind w:firstLine="180" w:firstLineChars="100"/>
              <w:rPr>
                <w:rFonts w:ascii="Times New Roman" w:hAnsi="Times New Roman"/>
                <w:sz w:val="18"/>
                <w:szCs w:val="18"/>
              </w:rPr>
            </w:pPr>
            <w:r>
              <w:rPr>
                <w:rFonts w:ascii="Times New Roman" w:hAnsi="Times New Roman"/>
                <w:sz w:val="18"/>
                <w:szCs w:val="18"/>
              </w:rPr>
              <w:t xml:space="preserve"> #一般公共服务</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22321</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-1644</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-6.9</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#教育</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42201</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73</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0.2</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 xml:space="preserve"> #社会保障和就业</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29205</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3856</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15.2</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pacing w:val="-10"/>
                <w:sz w:val="18"/>
                <w:szCs w:val="18"/>
              </w:rPr>
            </w:pP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 xml:space="preserve"> #卫生</w:t>
            </w:r>
            <w:r>
              <w:rPr>
                <w:rFonts w:hint="eastAsia" w:ascii="Times New Roman" w:hAnsi="Times New Roman"/>
                <w:sz w:val="18"/>
                <w:szCs w:val="18"/>
              </w:rPr>
              <w:t>健康支出</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36541</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-6534</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-15.2</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ascii="Times New Roman" w:hAnsi="Times New Roman"/>
                <w:sz w:val="18"/>
                <w:szCs w:val="18"/>
              </w:rPr>
              <w:t># 农林水</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46346</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-707</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-1.5</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2、政府性基金支出</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62496</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-7956</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-11.3</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bCs/>
                <w:sz w:val="18"/>
                <w:szCs w:val="18"/>
              </w:rPr>
            </w:pPr>
            <w:r>
              <w:rPr>
                <w:rFonts w:ascii="Times New Roman" w:hAnsi="Times New Roman"/>
                <w:b/>
                <w:sz w:val="18"/>
                <w:szCs w:val="18"/>
              </w:rPr>
              <w:t>三、</w:t>
            </w:r>
            <w:r>
              <w:rPr>
                <w:rFonts w:ascii="Times New Roman" w:hAnsi="Times New Roman"/>
                <w:b/>
                <w:spacing w:val="-10"/>
                <w:sz w:val="18"/>
                <w:szCs w:val="18"/>
              </w:rPr>
              <w:t>税务局收入合计</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301683</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50134</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19.9</w:t>
            </w:r>
          </w:p>
        </w:tc>
      </w:tr>
      <w:tr>
        <w:tblPrEx>
          <w:tblCellMar>
            <w:top w:w="0" w:type="dxa"/>
            <w:left w:w="108" w:type="dxa"/>
            <w:bottom w:w="0" w:type="dxa"/>
            <w:right w:w="108" w:type="dxa"/>
          </w:tblCellMar>
        </w:tblPrEx>
        <w:trPr>
          <w:trHeight w:val="90"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hint="eastAsia" w:ascii="Times New Roman" w:hAnsi="Times New Roman"/>
                <w:sz w:val="18"/>
                <w:szCs w:val="18"/>
              </w:rPr>
              <w:t>其中：税收收入合计</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199115</w:t>
            </w:r>
          </w:p>
        </w:tc>
        <w:tc>
          <w:tcPr>
            <w:tcW w:w="1068" w:type="dxa"/>
            <w:tcBorders>
              <w:top w:val="nil"/>
              <w:left w:val="single" w:color="auto" w:sz="4" w:space="0"/>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22892</w:t>
            </w:r>
          </w:p>
        </w:tc>
        <w:tc>
          <w:tcPr>
            <w:tcW w:w="846" w:type="dxa"/>
            <w:tcBorders>
              <w:top w:val="nil"/>
              <w:left w:val="single" w:color="auto" w:sz="4" w:space="0"/>
              <w:bottom w:val="nil"/>
              <w:right w:val="nil"/>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13.0</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bCs/>
                <w:sz w:val="18"/>
                <w:szCs w:val="18"/>
              </w:rPr>
            </w:pPr>
            <w:r>
              <w:rPr>
                <w:rFonts w:hint="eastAsia" w:ascii="Times New Roman" w:hAnsi="Times New Roman"/>
                <w:b/>
                <w:sz w:val="18"/>
                <w:szCs w:val="18"/>
              </w:rPr>
              <w:t>四</w:t>
            </w:r>
            <w:r>
              <w:rPr>
                <w:rFonts w:ascii="Times New Roman" w:hAnsi="Times New Roman"/>
                <w:b/>
                <w:sz w:val="18"/>
                <w:szCs w:val="18"/>
              </w:rPr>
              <w:t>、各项存款余额</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1362316</w:t>
            </w:r>
          </w:p>
        </w:tc>
        <w:tc>
          <w:tcPr>
            <w:tcW w:w="1068" w:type="dxa"/>
            <w:tcBorders>
              <w:top w:val="nil"/>
              <w:left w:val="single" w:color="auto" w:sz="4" w:space="0"/>
              <w:bottom w:val="nil"/>
              <w:right w:val="single" w:color="auto" w:sz="4" w:space="0"/>
            </w:tcBorders>
            <w:vAlign w:val="bottom"/>
          </w:tcPr>
          <w:p>
            <w:pPr>
              <w:jc w:val="center"/>
              <w:rPr>
                <w:rFonts w:hint="eastAsia" w:ascii="Times New Roman" w:hAnsi="Times New Roman"/>
                <w:sz w:val="18"/>
                <w:szCs w:val="18"/>
                <w:lang w:val="en-US" w:eastAsia="zh-CN"/>
              </w:rPr>
            </w:pPr>
            <w:r>
              <w:rPr>
                <w:rFonts w:hint="eastAsia" w:ascii="Times New Roman" w:hAnsi="Times New Roman"/>
                <w:sz w:val="18"/>
                <w:szCs w:val="18"/>
                <w:lang w:val="en-US" w:eastAsia="zh-CN"/>
              </w:rPr>
              <w:t>92159</w:t>
            </w:r>
          </w:p>
        </w:tc>
        <w:tc>
          <w:tcPr>
            <w:tcW w:w="846" w:type="dxa"/>
            <w:tcBorders>
              <w:top w:val="nil"/>
              <w:left w:val="single" w:color="auto" w:sz="4" w:space="0"/>
              <w:bottom w:val="nil"/>
              <w:right w:val="nil"/>
            </w:tcBorders>
            <w:vAlign w:val="bottom"/>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7.3</w:t>
            </w:r>
          </w:p>
        </w:tc>
      </w:tr>
      <w:tr>
        <w:tblPrEx>
          <w:tblCellMar>
            <w:top w:w="0" w:type="dxa"/>
            <w:left w:w="108" w:type="dxa"/>
            <w:bottom w:w="0" w:type="dxa"/>
            <w:right w:w="108" w:type="dxa"/>
          </w:tblCellMar>
        </w:tblPrEx>
        <w:trPr>
          <w:trHeight w:val="363"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#储蓄存款余额</w:t>
            </w:r>
          </w:p>
        </w:tc>
        <w:tc>
          <w:tcPr>
            <w:tcW w:w="1188" w:type="dxa"/>
            <w:tcBorders>
              <w:top w:val="nil"/>
              <w:left w:val="nil"/>
              <w:bottom w:val="nil"/>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1130482</w:t>
            </w:r>
          </w:p>
        </w:tc>
        <w:tc>
          <w:tcPr>
            <w:tcW w:w="1068" w:type="dxa"/>
            <w:tcBorders>
              <w:top w:val="nil"/>
              <w:left w:val="single" w:color="auto" w:sz="4" w:space="0"/>
              <w:bottom w:val="nil"/>
              <w:right w:val="single" w:color="auto" w:sz="4" w:space="0"/>
            </w:tcBorders>
            <w:vAlign w:val="bottom"/>
          </w:tcPr>
          <w:p>
            <w:pPr>
              <w:jc w:val="center"/>
              <w:rPr>
                <w:rFonts w:hint="eastAsia" w:ascii="Times New Roman" w:hAnsi="Times New Roman"/>
                <w:sz w:val="18"/>
                <w:szCs w:val="18"/>
                <w:lang w:val="en-US" w:eastAsia="zh-CN"/>
              </w:rPr>
            </w:pPr>
            <w:r>
              <w:rPr>
                <w:rFonts w:hint="eastAsia" w:ascii="Times New Roman" w:hAnsi="Times New Roman"/>
                <w:sz w:val="18"/>
                <w:szCs w:val="18"/>
                <w:lang w:val="en-US" w:eastAsia="zh-CN"/>
              </w:rPr>
              <w:t>157244</w:t>
            </w:r>
          </w:p>
        </w:tc>
        <w:tc>
          <w:tcPr>
            <w:tcW w:w="846" w:type="dxa"/>
            <w:tcBorders>
              <w:top w:val="nil"/>
              <w:left w:val="single" w:color="auto" w:sz="4" w:space="0"/>
              <w:bottom w:val="nil"/>
              <w:right w:val="nil"/>
            </w:tcBorders>
            <w:vAlign w:val="bottom"/>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16.2</w:t>
            </w:r>
          </w:p>
        </w:tc>
      </w:tr>
      <w:tr>
        <w:tblPrEx>
          <w:tblCellMar>
            <w:top w:w="0" w:type="dxa"/>
            <w:left w:w="108" w:type="dxa"/>
            <w:bottom w:w="0" w:type="dxa"/>
            <w:right w:w="108" w:type="dxa"/>
          </w:tblCellMar>
        </w:tblPrEx>
        <w:trPr>
          <w:trHeight w:val="90" w:hRule="atLeast"/>
          <w:jc w:val="center"/>
        </w:trPr>
        <w:tc>
          <w:tcPr>
            <w:tcW w:w="2037" w:type="dxa"/>
            <w:tcBorders>
              <w:top w:val="nil"/>
              <w:left w:val="nil"/>
              <w:bottom w:val="nil"/>
              <w:right w:val="single" w:color="auto" w:sz="4" w:space="0"/>
            </w:tcBorders>
            <w:noWrap/>
            <w:vAlign w:val="center"/>
          </w:tcPr>
          <w:p>
            <w:pPr>
              <w:rPr>
                <w:rFonts w:ascii="Times New Roman" w:hAnsi="Times New Roman"/>
                <w:sz w:val="18"/>
                <w:szCs w:val="18"/>
              </w:rPr>
            </w:pPr>
            <w:r>
              <w:rPr>
                <w:rFonts w:ascii="Times New Roman" w:hAnsi="Times New Roman"/>
                <w:sz w:val="18"/>
                <w:szCs w:val="18"/>
              </w:rPr>
              <w:t xml:space="preserve">       # 农商行</w:t>
            </w:r>
          </w:p>
        </w:tc>
        <w:tc>
          <w:tcPr>
            <w:tcW w:w="1188" w:type="dxa"/>
            <w:tcBorders>
              <w:top w:val="nil"/>
              <w:left w:val="nil"/>
              <w:bottom w:val="nil"/>
              <w:right w:val="single" w:color="auto" w:sz="4" w:space="0"/>
            </w:tcBorders>
            <w:vAlign w:val="bottom"/>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621574</w:t>
            </w:r>
          </w:p>
        </w:tc>
        <w:tc>
          <w:tcPr>
            <w:tcW w:w="1068" w:type="dxa"/>
            <w:tcBorders>
              <w:top w:val="nil"/>
              <w:left w:val="single" w:color="auto" w:sz="4" w:space="0"/>
              <w:bottom w:val="nil"/>
              <w:right w:val="single" w:color="auto" w:sz="4" w:space="0"/>
            </w:tcBorders>
            <w:vAlign w:val="bottom"/>
          </w:tcPr>
          <w:p>
            <w:pPr>
              <w:jc w:val="center"/>
              <w:rPr>
                <w:rFonts w:hint="eastAsia" w:ascii="Times New Roman" w:hAnsi="Times New Roman"/>
                <w:sz w:val="18"/>
                <w:szCs w:val="18"/>
                <w:lang w:val="en-US" w:eastAsia="zh-CN"/>
              </w:rPr>
            </w:pPr>
            <w:r>
              <w:rPr>
                <w:rFonts w:hint="eastAsia" w:ascii="Times New Roman" w:hAnsi="Times New Roman"/>
                <w:sz w:val="18"/>
                <w:szCs w:val="18"/>
                <w:lang w:val="en-US" w:eastAsia="zh-CN"/>
              </w:rPr>
              <w:t>40644</w:t>
            </w:r>
          </w:p>
        </w:tc>
        <w:tc>
          <w:tcPr>
            <w:tcW w:w="846" w:type="dxa"/>
            <w:tcBorders>
              <w:top w:val="nil"/>
              <w:left w:val="single" w:color="auto" w:sz="4" w:space="0"/>
              <w:bottom w:val="nil"/>
              <w:right w:val="nil"/>
            </w:tcBorders>
            <w:vAlign w:val="bottom"/>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7.0</w:t>
            </w:r>
          </w:p>
        </w:tc>
      </w:tr>
      <w:tr>
        <w:tblPrEx>
          <w:tblCellMar>
            <w:top w:w="0" w:type="dxa"/>
            <w:left w:w="108" w:type="dxa"/>
            <w:bottom w:w="0" w:type="dxa"/>
            <w:right w:w="108" w:type="dxa"/>
          </w:tblCellMar>
        </w:tblPrEx>
        <w:trPr>
          <w:trHeight w:val="187" w:hRule="atLeast"/>
          <w:jc w:val="center"/>
        </w:trPr>
        <w:tc>
          <w:tcPr>
            <w:tcW w:w="2037" w:type="dxa"/>
            <w:tcBorders>
              <w:top w:val="nil"/>
              <w:left w:val="nil"/>
              <w:bottom w:val="single" w:color="auto" w:sz="12" w:space="0"/>
              <w:right w:val="single" w:color="auto" w:sz="4" w:space="0"/>
            </w:tcBorders>
            <w:noWrap/>
            <w:vAlign w:val="center"/>
          </w:tcPr>
          <w:p>
            <w:pPr>
              <w:rPr>
                <w:rFonts w:ascii="Times New Roman" w:hAnsi="Times New Roman"/>
                <w:bCs/>
                <w:sz w:val="18"/>
                <w:szCs w:val="18"/>
              </w:rPr>
            </w:pPr>
            <w:r>
              <w:rPr>
                <w:rFonts w:hint="eastAsia" w:ascii="Times New Roman" w:hAnsi="Times New Roman"/>
                <w:b/>
                <w:sz w:val="18"/>
                <w:szCs w:val="18"/>
              </w:rPr>
              <w:t>五</w:t>
            </w:r>
            <w:r>
              <w:rPr>
                <w:rFonts w:ascii="Times New Roman" w:hAnsi="Times New Roman"/>
                <w:b/>
                <w:sz w:val="18"/>
                <w:szCs w:val="18"/>
              </w:rPr>
              <w:t>、各项贷款余额</w:t>
            </w:r>
          </w:p>
        </w:tc>
        <w:tc>
          <w:tcPr>
            <w:tcW w:w="1188" w:type="dxa"/>
            <w:tcBorders>
              <w:top w:val="nil"/>
              <w:left w:val="nil"/>
              <w:bottom w:val="single" w:color="auto" w:sz="12" w:space="0"/>
              <w:right w:val="single" w:color="auto" w:sz="4" w:space="0"/>
            </w:tcBorders>
            <w:vAlign w:val="center"/>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1042016</w:t>
            </w:r>
          </w:p>
        </w:tc>
        <w:tc>
          <w:tcPr>
            <w:tcW w:w="1068" w:type="dxa"/>
            <w:tcBorders>
              <w:top w:val="nil"/>
              <w:left w:val="single" w:color="auto" w:sz="4" w:space="0"/>
              <w:bottom w:val="single" w:color="auto" w:sz="12" w:space="0"/>
              <w:right w:val="single" w:color="auto" w:sz="4" w:space="0"/>
            </w:tcBorders>
            <w:vAlign w:val="bottom"/>
          </w:tcPr>
          <w:p>
            <w:pPr>
              <w:jc w:val="center"/>
              <w:rPr>
                <w:rFonts w:hint="eastAsia" w:ascii="Times New Roman" w:hAnsi="Times New Roman"/>
                <w:sz w:val="18"/>
                <w:szCs w:val="18"/>
                <w:lang w:val="en-US" w:eastAsia="zh-CN"/>
              </w:rPr>
            </w:pPr>
            <w:r>
              <w:rPr>
                <w:rFonts w:hint="eastAsia" w:ascii="Times New Roman" w:hAnsi="Times New Roman"/>
                <w:sz w:val="18"/>
                <w:szCs w:val="18"/>
                <w:lang w:val="en-US" w:eastAsia="zh-CN"/>
              </w:rPr>
              <w:t>206713</w:t>
            </w:r>
          </w:p>
        </w:tc>
        <w:tc>
          <w:tcPr>
            <w:tcW w:w="846" w:type="dxa"/>
            <w:tcBorders>
              <w:top w:val="nil"/>
              <w:left w:val="single" w:color="auto" w:sz="4" w:space="0"/>
              <w:bottom w:val="single" w:color="auto" w:sz="12" w:space="0"/>
              <w:right w:val="nil"/>
            </w:tcBorders>
            <w:vAlign w:val="bottom"/>
          </w:tcPr>
          <w:p>
            <w:pPr>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24.8</w:t>
            </w:r>
          </w:p>
        </w:tc>
      </w:tr>
    </w:tbl>
    <w:p>
      <w:pPr>
        <w:spacing w:line="20" w:lineRule="exact"/>
      </w:pPr>
    </w:p>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县财政局提供的全口径</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Pr>
        <w:pStyle w:val="2"/>
      </w:pPr>
    </w:p>
    <w:p>
      <w:pPr>
        <w:widowControl/>
        <w:snapToGrid w:val="0"/>
        <w:spacing w:line="460" w:lineRule="exact"/>
        <w:jc w:val="center"/>
        <w:rPr>
          <w:rFonts w:ascii="楷体" w:hAnsi="楷体" w:eastAsia="楷体" w:cs="楷体"/>
          <w:bCs/>
          <w:kern w:val="0"/>
          <w:sz w:val="24"/>
          <w:szCs w:val="24"/>
        </w:rPr>
      </w:pPr>
      <w:r>
        <w:rPr>
          <w:rFonts w:hint="eastAsia" w:ascii="楷体" w:hAnsi="楷体" w:eastAsia="楷体" w:cs="楷体"/>
          <w:bCs/>
          <w:kern w:val="0"/>
          <w:sz w:val="24"/>
          <w:szCs w:val="24"/>
          <w:lang w:val="en-US" w:eastAsia="zh-CN"/>
        </w:rPr>
        <w:t>六、</w:t>
      </w:r>
      <w:r>
        <w:rPr>
          <w:rFonts w:hint="eastAsia" w:ascii="楷体" w:hAnsi="楷体" w:eastAsia="楷体" w:cs="楷体"/>
          <w:bCs/>
          <w:kern w:val="0"/>
          <w:sz w:val="24"/>
          <w:szCs w:val="24"/>
        </w:rPr>
        <w:t>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both"/>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6"/>
        <w:tblW w:w="5157" w:type="dxa"/>
        <w:jc w:val="center"/>
        <w:tblLayout w:type="autofit"/>
        <w:tblCellMar>
          <w:top w:w="0" w:type="dxa"/>
          <w:left w:w="108" w:type="dxa"/>
          <w:bottom w:w="0" w:type="dxa"/>
          <w:right w:w="108" w:type="dxa"/>
        </w:tblCellMar>
      </w:tblPr>
      <w:tblGrid>
        <w:gridCol w:w="2447"/>
        <w:gridCol w:w="949"/>
        <w:gridCol w:w="855"/>
        <w:gridCol w:w="906"/>
      </w:tblGrid>
      <w:tr>
        <w:tblPrEx>
          <w:tblCellMar>
            <w:top w:w="0" w:type="dxa"/>
            <w:left w:w="108" w:type="dxa"/>
            <w:bottom w:w="0" w:type="dxa"/>
            <w:right w:w="108" w:type="dxa"/>
          </w:tblCellMar>
        </w:tblPrEx>
        <w:trPr>
          <w:trHeight w:val="655"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指标名称</w:t>
            </w:r>
          </w:p>
        </w:tc>
        <w:tc>
          <w:tcPr>
            <w:tcW w:w="949" w:type="dxa"/>
            <w:tcBorders>
              <w:top w:val="single" w:color="auto" w:sz="12" w:space="0"/>
              <w:left w:val="nil"/>
              <w:bottom w:val="single" w:color="auto" w:sz="12" w:space="0"/>
              <w:right w:val="single" w:color="000000" w:sz="4" w:space="0"/>
            </w:tcBorders>
            <w:vAlign w:val="center"/>
          </w:tcPr>
          <w:p>
            <w:pPr>
              <w:widowControl/>
              <w:jc w:val="center"/>
              <w:rPr>
                <w:rFonts w:hint="eastAsia" w:ascii="Times New Roman" w:hAnsi="Times New Roman" w:eastAsia="宋体"/>
                <w:kern w:val="0"/>
                <w:sz w:val="18"/>
                <w:szCs w:val="18"/>
                <w:lang w:eastAsia="zh-CN"/>
              </w:rPr>
            </w:pPr>
            <w:r>
              <w:rPr>
                <w:rFonts w:ascii="Times New Roman" w:hAnsi="Times New Roman"/>
                <w:kern w:val="0"/>
                <w:sz w:val="18"/>
                <w:szCs w:val="18"/>
              </w:rPr>
              <w:t>计量</w:t>
            </w:r>
          </w:p>
          <w:p>
            <w:pPr>
              <w:widowControl/>
              <w:jc w:val="center"/>
              <w:rPr>
                <w:rFonts w:ascii="Times New Roman" w:hAnsi="Times New Roman"/>
                <w:kern w:val="0"/>
                <w:sz w:val="18"/>
                <w:szCs w:val="18"/>
              </w:rPr>
            </w:pPr>
            <w:r>
              <w:rPr>
                <w:rFonts w:ascii="Times New Roman" w:hAnsi="Times New Roman"/>
                <w:kern w:val="0"/>
                <w:sz w:val="18"/>
                <w:szCs w:val="18"/>
              </w:rPr>
              <w:t>单位</w:t>
            </w:r>
          </w:p>
        </w:tc>
        <w:tc>
          <w:tcPr>
            <w:tcW w:w="855"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w:t>
            </w:r>
            <w:r>
              <w:rPr>
                <w:rFonts w:hint="eastAsia" w:ascii="Times New Roman" w:hAnsi="Times New Roman"/>
                <w:kern w:val="0"/>
                <w:sz w:val="18"/>
                <w:szCs w:val="18"/>
                <w:lang w:val="en-US" w:eastAsia="zh-CN"/>
              </w:rPr>
              <w:t>12</w:t>
            </w:r>
            <w:r>
              <w:rPr>
                <w:rFonts w:ascii="Times New Roman" w:hAnsi="Times New Roman"/>
                <w:kern w:val="0"/>
                <w:sz w:val="18"/>
                <w:szCs w:val="18"/>
              </w:rPr>
              <w:t>月</w:t>
            </w:r>
          </w:p>
        </w:tc>
        <w:tc>
          <w:tcPr>
            <w:tcW w:w="906"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能源消费总量</w:t>
            </w:r>
          </w:p>
        </w:tc>
        <w:tc>
          <w:tcPr>
            <w:tcW w:w="949" w:type="dxa"/>
            <w:tcBorders>
              <w:top w:val="nil"/>
              <w:left w:val="nil"/>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吨标准煤</w:t>
            </w:r>
          </w:p>
        </w:tc>
        <w:tc>
          <w:tcPr>
            <w:tcW w:w="855" w:type="dxa"/>
            <w:tcBorders>
              <w:top w:val="nil"/>
              <w:left w:val="single" w:color="000000" w:sz="4" w:space="0"/>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478104 </w:t>
            </w:r>
          </w:p>
        </w:tc>
        <w:tc>
          <w:tcPr>
            <w:tcW w:w="906" w:type="dxa"/>
            <w:tcBorders>
              <w:top w:val="nil"/>
              <w:left w:val="nil"/>
              <w:bottom w:val="nil"/>
              <w:right w:val="nil"/>
            </w:tcBorders>
            <w:vAlign w:val="center"/>
          </w:tcPr>
          <w:p>
            <w:pPr>
              <w:spacing w:line="240" w:lineRule="auto"/>
              <w:jc w:val="center"/>
              <w:rPr>
                <w:rFonts w:ascii="Times New Roman" w:hAnsi="Times New Roman"/>
                <w:sz w:val="18"/>
                <w:szCs w:val="18"/>
                <w:highlight w:val="yellow"/>
              </w:rPr>
            </w:pPr>
            <w:r>
              <w:rPr>
                <w:rFonts w:hint="eastAsia" w:ascii="Times New Roman" w:hAnsi="Times New Roman"/>
                <w:sz w:val="18"/>
                <w:szCs w:val="18"/>
                <w:highlight w:val="none"/>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单位GDP能源消耗</w:t>
            </w:r>
            <w:r>
              <w:rPr>
                <w:rFonts w:hint="eastAsia" w:ascii="Times New Roman" w:hAnsi="Times New Roman"/>
                <w:kern w:val="0"/>
                <w:sz w:val="18"/>
                <w:szCs w:val="18"/>
              </w:rPr>
              <w:t>上升或下降</w:t>
            </w:r>
          </w:p>
        </w:tc>
        <w:tc>
          <w:tcPr>
            <w:tcW w:w="949" w:type="dxa"/>
            <w:tcBorders>
              <w:top w:val="nil"/>
              <w:left w:val="nil"/>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bottom w:val="nil"/>
              <w:right w:val="single" w:color="auto" w:sz="4" w:space="0"/>
            </w:tcBorders>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-1.9</w:t>
            </w:r>
          </w:p>
        </w:tc>
        <w:tc>
          <w:tcPr>
            <w:tcW w:w="906" w:type="dxa"/>
            <w:tcBorders>
              <w:top w:val="nil"/>
              <w:left w:val="nil"/>
              <w:bottom w:val="nil"/>
              <w:right w:val="nil"/>
            </w:tcBorders>
            <w:vAlign w:val="center"/>
          </w:tcPr>
          <w:p>
            <w:pPr>
              <w:jc w:val="center"/>
              <w:rPr>
                <w:rFonts w:ascii="Times New Roman" w:hAnsi="Times New Roman"/>
                <w:sz w:val="18"/>
                <w:szCs w:val="18"/>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三季度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单位工业增加值能耗</w:t>
            </w:r>
            <w:r>
              <w:rPr>
                <w:rFonts w:hint="eastAsia" w:ascii="Times New Roman" w:hAnsi="Times New Roman"/>
                <w:kern w:val="0"/>
                <w:sz w:val="18"/>
                <w:szCs w:val="18"/>
              </w:rPr>
              <w:t>上升或</w:t>
            </w:r>
            <w:r>
              <w:rPr>
                <w:rFonts w:ascii="Times New Roman" w:hAnsi="Times New Roman"/>
                <w:kern w:val="0"/>
                <w:sz w:val="18"/>
                <w:szCs w:val="18"/>
              </w:rPr>
              <w:t>下降</w:t>
            </w:r>
          </w:p>
        </w:tc>
        <w:tc>
          <w:tcPr>
            <w:tcW w:w="949" w:type="dxa"/>
            <w:tcBorders>
              <w:top w:val="nil"/>
              <w:left w:val="nil"/>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bottom w:val="nil"/>
              <w:right w:val="nil"/>
            </w:tcBorders>
            <w:vAlign w:val="center"/>
          </w:tcPr>
          <w:p>
            <w:pPr>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-12.6</w:t>
            </w:r>
          </w:p>
        </w:tc>
        <w:tc>
          <w:tcPr>
            <w:tcW w:w="906" w:type="dxa"/>
            <w:tcBorders>
              <w:top w:val="nil"/>
              <w:left w:val="single" w:color="000000" w:sz="4" w:space="0"/>
              <w:bottom w:val="nil"/>
              <w:right w:val="nil"/>
            </w:tcBorders>
            <w:vAlign w:val="center"/>
          </w:tcPr>
          <w:p>
            <w:pPr>
              <w:jc w:val="center"/>
              <w:rPr>
                <w:rFonts w:ascii="Times New Roman" w:hAnsi="Times New Roman"/>
                <w:sz w:val="18"/>
                <w:szCs w:val="18"/>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三季度</w:t>
            </w:r>
            <w:r>
              <w:rPr>
                <w:rFonts w:ascii="Times New Roman" w:hAnsi="Times New Roman"/>
                <w:color w:val="auto"/>
                <w:sz w:val="20"/>
                <w:szCs w:val="20"/>
                <w:highlight w:val="none"/>
              </w:rPr>
              <w:t xml:space="preserve">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用水总量</w:t>
            </w:r>
          </w:p>
        </w:tc>
        <w:tc>
          <w:tcPr>
            <w:tcW w:w="949" w:type="dxa"/>
            <w:tcBorders>
              <w:top w:val="nil"/>
              <w:left w:val="nil"/>
              <w:bottom w:val="nil"/>
              <w:right w:val="single" w:color="000000" w:sz="4" w:space="0"/>
            </w:tcBorders>
            <w:vAlign w:val="center"/>
          </w:tcPr>
          <w:p>
            <w:pPr>
              <w:spacing w:line="240" w:lineRule="auto"/>
              <w:jc w:val="center"/>
              <w:rPr>
                <w:rFonts w:hint="eastAsia" w:ascii="Times New Roman" w:hAnsi="Times New Roman" w:eastAsia="宋体"/>
                <w:sz w:val="18"/>
                <w:szCs w:val="18"/>
                <w:lang w:eastAsia="zh-CN"/>
              </w:rPr>
            </w:pPr>
            <w:r>
              <w:rPr>
                <w:rFonts w:hint="eastAsia" w:ascii="Times New Roman" w:hAnsi="Times New Roman"/>
                <w:sz w:val="18"/>
                <w:szCs w:val="18"/>
              </w:rPr>
              <w:t>万立</w:t>
            </w:r>
          </w:p>
          <w:p>
            <w:pPr>
              <w:spacing w:line="240" w:lineRule="auto"/>
              <w:jc w:val="center"/>
              <w:rPr>
                <w:rFonts w:ascii="Times New Roman" w:hAnsi="Times New Roman"/>
                <w:sz w:val="18"/>
                <w:szCs w:val="18"/>
              </w:rPr>
            </w:pPr>
            <w:r>
              <w:rPr>
                <w:rFonts w:hint="eastAsia" w:ascii="Times New Roman" w:hAnsi="Times New Roman"/>
                <w:sz w:val="18"/>
                <w:szCs w:val="18"/>
              </w:rPr>
              <w:t>方米</w:t>
            </w:r>
          </w:p>
        </w:tc>
        <w:tc>
          <w:tcPr>
            <w:tcW w:w="855" w:type="dxa"/>
            <w:tcBorders>
              <w:top w:val="nil"/>
              <w:left w:val="nil"/>
              <w:bottom w:val="nil"/>
              <w:right w:val="single" w:color="000000" w:sz="4" w:space="0"/>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18316</w:t>
            </w:r>
          </w:p>
        </w:tc>
        <w:tc>
          <w:tcPr>
            <w:tcW w:w="906" w:type="dxa"/>
            <w:tcBorders>
              <w:top w:val="nil"/>
              <w:left w:val="nil"/>
              <w:bottom w:val="nil"/>
              <w:right w:val="nil"/>
            </w:tcBorders>
            <w:vAlign w:val="center"/>
          </w:tcPr>
          <w:p>
            <w:pPr>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立方米</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105.63</w:t>
            </w:r>
          </w:p>
        </w:tc>
        <w:tc>
          <w:tcPr>
            <w:tcW w:w="906" w:type="dxa"/>
            <w:tcBorders>
              <w:top w:val="nil"/>
              <w:left w:val="single" w:color="000000" w:sz="4" w:space="0"/>
              <w:bottom w:val="nil"/>
              <w:right w:val="nil"/>
            </w:tcBorders>
            <w:vAlign w:val="center"/>
          </w:tcPr>
          <w:p>
            <w:pPr>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万元GDP用水量</w:t>
            </w:r>
          </w:p>
        </w:tc>
        <w:tc>
          <w:tcPr>
            <w:tcW w:w="949"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0.92</w:t>
            </w:r>
          </w:p>
        </w:tc>
        <w:tc>
          <w:tcPr>
            <w:tcW w:w="906" w:type="dxa"/>
            <w:tcBorders>
              <w:top w:val="nil"/>
              <w:left w:val="single" w:color="000000" w:sz="4" w:space="0"/>
              <w:bottom w:val="nil"/>
              <w:right w:val="nil"/>
            </w:tcBorders>
            <w:vAlign w:val="center"/>
          </w:tcPr>
          <w:p>
            <w:pPr>
              <w:jc w:val="center"/>
              <w:rPr>
                <w:rFonts w:hint="eastAsia" w:ascii="Times New Roman" w:hAnsi="Times New Roman"/>
                <w:color w:val="auto"/>
                <w:sz w:val="20"/>
                <w:szCs w:val="20"/>
                <w:highlight w:val="none"/>
                <w:lang w:val="en-US" w:eastAsia="zh-CN"/>
              </w:rPr>
            </w:pPr>
            <w:r>
              <w:rPr>
                <w:rFonts w:hint="eastAsia" w:ascii="Times New Roman" w:hAnsi="Times New Roman"/>
                <w:color w:val="auto"/>
                <w:sz w:val="20"/>
                <w:szCs w:val="20"/>
                <w:highlight w:val="none"/>
                <w:lang w:val="en-US" w:eastAsia="zh-CN"/>
              </w:rPr>
              <w:t>2022年较2021年比</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空气质量优良天数比率</w:t>
            </w:r>
          </w:p>
        </w:tc>
        <w:tc>
          <w:tcPr>
            <w:tcW w:w="949"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98.6</w:t>
            </w:r>
          </w:p>
        </w:tc>
        <w:tc>
          <w:tcPr>
            <w:tcW w:w="906"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细颗粒物（PM2.5）较上月±</w:t>
            </w:r>
          </w:p>
        </w:tc>
        <w:tc>
          <w:tcPr>
            <w:tcW w:w="949"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bottom w:val="nil"/>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5.4</w:t>
            </w:r>
          </w:p>
        </w:tc>
        <w:tc>
          <w:tcPr>
            <w:tcW w:w="906" w:type="dxa"/>
            <w:tcBorders>
              <w:top w:val="nil"/>
              <w:left w:val="single" w:color="000000" w:sz="4" w:space="0"/>
              <w:bottom w:val="nil"/>
              <w:right w:val="nil"/>
            </w:tcBorders>
            <w:vAlign w:val="center"/>
          </w:tcPr>
          <w:p>
            <w:pPr>
              <w:spacing w:line="240" w:lineRule="auto"/>
              <w:jc w:val="center"/>
              <w:rPr>
                <w:rFonts w:ascii="Times New Roman" w:hAnsi="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细颗粒物（PM2.5）较同期±</w:t>
            </w:r>
          </w:p>
        </w:tc>
        <w:tc>
          <w:tcPr>
            <w:tcW w:w="949" w:type="dxa"/>
            <w:tcBorders>
              <w:top w:val="nil"/>
              <w:left w:val="single" w:color="000000" w:sz="4" w:space="0"/>
              <w:right w:val="nil"/>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000000"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-5.3</w:t>
            </w:r>
          </w:p>
        </w:tc>
        <w:tc>
          <w:tcPr>
            <w:tcW w:w="906" w:type="dxa"/>
            <w:tcBorders>
              <w:top w:val="nil"/>
              <w:left w:val="single" w:color="000000" w:sz="4" w:space="0"/>
              <w:right w:val="nil"/>
            </w:tcBorders>
            <w:vAlign w:val="center"/>
          </w:tcPr>
          <w:p>
            <w:pPr>
              <w:spacing w:line="240" w:lineRule="auto"/>
              <w:jc w:val="center"/>
              <w:rPr>
                <w:rFonts w:ascii="Times New Roman" w:hAnsi="Times New Roman"/>
                <w:sz w:val="18"/>
                <w:szCs w:val="18"/>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地表水达到或优于</w:t>
            </w:r>
            <w:r>
              <w:rPr>
                <w:rFonts w:hint="eastAsia" w:ascii="宋体" w:hAnsi="宋体" w:cs="宋体"/>
                <w:kern w:val="0"/>
                <w:sz w:val="18"/>
                <w:szCs w:val="18"/>
              </w:rPr>
              <w:t>Ⅲ</w:t>
            </w:r>
            <w:r>
              <w:rPr>
                <w:rFonts w:ascii="Times New Roman" w:hAnsi="Times New Roman"/>
                <w:kern w:val="0"/>
                <w:sz w:val="18"/>
                <w:szCs w:val="18"/>
              </w:rPr>
              <w:t>类水体比例</w:t>
            </w:r>
          </w:p>
        </w:tc>
        <w:tc>
          <w:tcPr>
            <w:tcW w:w="949" w:type="dxa"/>
            <w:tcBorders>
              <w:top w:val="nil"/>
              <w:left w:val="single" w:color="000000" w:sz="4" w:space="0"/>
              <w:righ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auto" w:sz="4"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100</w:t>
            </w:r>
          </w:p>
        </w:tc>
        <w:tc>
          <w:tcPr>
            <w:tcW w:w="906" w:type="dxa"/>
            <w:tcBorders>
              <w:top w:val="nil"/>
              <w:left w:val="single" w:color="000000" w:sz="4" w:space="0"/>
              <w:right w:val="nil"/>
            </w:tcBorders>
            <w:vAlign w:val="center"/>
          </w:tcPr>
          <w:p>
            <w:pPr>
              <w:spacing w:line="240" w:lineRule="auto"/>
              <w:jc w:val="center"/>
              <w:rPr>
                <w:rFonts w:ascii="Times New Roman" w:hAnsi="Times New Roman"/>
                <w:sz w:val="18"/>
                <w:szCs w:val="18"/>
              </w:rPr>
            </w:pPr>
          </w:p>
        </w:tc>
      </w:tr>
      <w:tr>
        <w:trPr>
          <w:trHeight w:val="488" w:hRule="atLeast"/>
          <w:jc w:val="center"/>
        </w:trPr>
        <w:tc>
          <w:tcPr>
            <w:tcW w:w="2447" w:type="dxa"/>
            <w:tcBorders>
              <w:top w:val="nil"/>
              <w:left w:val="nil"/>
              <w:bottom w:val="single" w:color="auto" w:sz="12" w:space="0"/>
              <w:right w:val="single" w:color="auto" w:sz="4" w:space="0"/>
            </w:tcBorders>
            <w:vAlign w:val="center"/>
          </w:tcPr>
          <w:p>
            <w:pPr>
              <w:widowControl/>
              <w:spacing w:line="240" w:lineRule="auto"/>
              <w:jc w:val="left"/>
              <w:rPr>
                <w:rFonts w:ascii="Times New Roman" w:hAnsi="Times New Roman"/>
                <w:kern w:val="0"/>
                <w:sz w:val="18"/>
                <w:szCs w:val="18"/>
              </w:rPr>
            </w:pPr>
            <w:r>
              <w:rPr>
                <w:rFonts w:ascii="Times New Roman" w:hAnsi="Times New Roman"/>
                <w:kern w:val="0"/>
                <w:sz w:val="18"/>
                <w:szCs w:val="18"/>
              </w:rPr>
              <w:t>地表水劣V</w:t>
            </w:r>
            <w:r>
              <w:rPr>
                <w:rFonts w:hint="eastAsia" w:ascii="Times New Roman" w:hAnsi="Times New Roman"/>
                <w:kern w:val="0"/>
                <w:sz w:val="18"/>
                <w:szCs w:val="18"/>
              </w:rPr>
              <w:t>类</w:t>
            </w:r>
            <w:r>
              <w:rPr>
                <w:rFonts w:ascii="Times New Roman" w:hAnsi="Times New Roman"/>
                <w:kern w:val="0"/>
                <w:sz w:val="18"/>
                <w:szCs w:val="18"/>
              </w:rPr>
              <w:t>水体比例</w:t>
            </w:r>
          </w:p>
        </w:tc>
        <w:tc>
          <w:tcPr>
            <w:tcW w:w="949" w:type="dxa"/>
            <w:tcBorders>
              <w:top w:val="nil"/>
              <w:left w:val="single" w:color="000000" w:sz="4" w:space="0"/>
              <w:bottom w:val="single" w:color="auto" w:sz="12" w:space="0"/>
              <w:righ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p>
        </w:tc>
        <w:tc>
          <w:tcPr>
            <w:tcW w:w="855" w:type="dxa"/>
            <w:tcBorders>
              <w:top w:val="nil"/>
              <w:left w:val="single" w:color="auto" w:sz="4" w:space="0"/>
              <w:bottom w:val="single" w:color="auto" w:sz="12" w:space="0"/>
              <w:right w:val="nil"/>
            </w:tcBorders>
            <w:vAlign w:val="center"/>
          </w:tcPr>
          <w:p>
            <w:pPr>
              <w:spacing w:line="240" w:lineRule="auto"/>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w:t>
            </w:r>
          </w:p>
        </w:tc>
        <w:tc>
          <w:tcPr>
            <w:tcW w:w="906" w:type="dxa"/>
            <w:tcBorders>
              <w:top w:val="nil"/>
              <w:left w:val="single" w:color="000000" w:sz="4" w:space="0"/>
              <w:bottom w:val="single" w:color="auto" w:sz="12" w:space="0"/>
              <w:right w:val="nil"/>
            </w:tcBorders>
            <w:vAlign w:val="center"/>
          </w:tcPr>
          <w:p>
            <w:pPr>
              <w:spacing w:line="240" w:lineRule="auto"/>
              <w:jc w:val="center"/>
              <w:rPr>
                <w:rFonts w:ascii="Times New Roman" w:hAnsi="Times New Roman"/>
                <w:sz w:val="18"/>
                <w:szCs w:val="18"/>
              </w:rPr>
            </w:pPr>
          </w:p>
        </w:tc>
      </w:tr>
    </w:tbl>
    <w:p>
      <w:pPr>
        <w:rPr>
          <w:rFonts w:ascii="Times New Roman" w:hAnsi="Times New Roman" w:eastAsia="方正小标宋简体"/>
          <w:bCs/>
          <w:kern w:val="0"/>
          <w:sz w:val="30"/>
          <w:szCs w:val="30"/>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
      <w:pPr>
        <w:jc w:val="center"/>
        <w:rPr>
          <w:rFonts w:ascii="Times New Roman" w:hAnsi="Times New Roman" w:eastAsia="方正小标宋简体"/>
          <w:sz w:val="24"/>
          <w:szCs w:val="28"/>
        </w:rPr>
      </w:pPr>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szCs w:val="21"/>
        </w:rPr>
      </w:pPr>
      <w:r>
        <w:rPr>
          <w:rFonts w:ascii="Times New Roman" w:hAnsi="Times New Roman"/>
          <w:szCs w:val="21"/>
        </w:rPr>
        <w:t>国家有计划地推进县级以上人民政府统计机构和有关部门通过向社会购买服务组织实施统计调查和资料开发。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p>
      <w:pPr>
        <w:pStyle w:val="2"/>
        <w:rPr>
          <w:rFonts w:ascii="Times New Roman" w:hAnsi="Times New Roman"/>
          <w:szCs w:val="21"/>
        </w:rPr>
      </w:pPr>
    </w:p>
    <w:p>
      <w:pPr>
        <w:rPr>
          <w:rFonts w:ascii="Times New Roman" w:hAnsi="Times New Roman"/>
          <w:szCs w:val="21"/>
        </w:rPr>
      </w:pPr>
    </w:p>
    <w:p>
      <w:pPr>
        <w:pStyle w:val="2"/>
        <w:rPr>
          <w:rFonts w:ascii="Times New Roman" w:hAnsi="Times New Roman"/>
          <w:szCs w:val="21"/>
        </w:rPr>
      </w:pPr>
    </w:p>
    <w:p>
      <w:pPr>
        <w:rPr>
          <w:rFonts w:ascii="Times New Roman" w:hAnsi="Times New Roman"/>
          <w:szCs w:val="21"/>
        </w:rPr>
      </w:pPr>
    </w:p>
    <w:p>
      <w:pPr>
        <w:pStyle w:val="2"/>
        <w:rPr>
          <w:rFonts w:ascii="Times New Roman" w:hAnsi="Times New Roman"/>
          <w:szCs w:val="21"/>
        </w:rPr>
      </w:pPr>
    </w:p>
    <w:p>
      <w:pPr>
        <w:rPr>
          <w:rFonts w:ascii="Times New Roman" w:hAnsi="Times New Roman"/>
          <w:szCs w:val="21"/>
        </w:rPr>
      </w:pPr>
    </w:p>
    <w:p>
      <w:pPr>
        <w:pStyle w:val="2"/>
        <w:rPr>
          <w:rFonts w:ascii="Times New Roman" w:hAnsi="Times New Roman"/>
          <w:szCs w:val="21"/>
        </w:rPr>
      </w:pPr>
    </w:p>
    <w:p>
      <w:pPr>
        <w:rPr>
          <w:rFonts w:ascii="Times New Roman" w:hAnsi="Times New Roman"/>
          <w:szCs w:val="21"/>
        </w:rPr>
      </w:pPr>
    </w:p>
    <w:p>
      <w:pPr>
        <w:pStyle w:val="2"/>
        <w:rPr>
          <w:rFonts w:ascii="Times New Roman" w:hAnsi="Times New Roman"/>
          <w:szCs w:val="21"/>
        </w:rPr>
      </w:pPr>
    </w:p>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2B4"/>
    <w:rsid w:val="000F4A0D"/>
    <w:rsid w:val="000F67D1"/>
    <w:rsid w:val="000F6F20"/>
    <w:rsid w:val="0010132E"/>
    <w:rsid w:val="00102681"/>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21"/>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77647"/>
    <w:rsid w:val="0028588B"/>
    <w:rsid w:val="00286493"/>
    <w:rsid w:val="00286889"/>
    <w:rsid w:val="00286B6E"/>
    <w:rsid w:val="00290414"/>
    <w:rsid w:val="002958FB"/>
    <w:rsid w:val="00296405"/>
    <w:rsid w:val="00296B53"/>
    <w:rsid w:val="002970F8"/>
    <w:rsid w:val="002972DA"/>
    <w:rsid w:val="002A04AF"/>
    <w:rsid w:val="002A210C"/>
    <w:rsid w:val="002A3A0E"/>
    <w:rsid w:val="002A68DE"/>
    <w:rsid w:val="002A69B9"/>
    <w:rsid w:val="002B0300"/>
    <w:rsid w:val="002B25BC"/>
    <w:rsid w:val="002C19CB"/>
    <w:rsid w:val="002C431A"/>
    <w:rsid w:val="002C5709"/>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5B9"/>
    <w:rsid w:val="0035781D"/>
    <w:rsid w:val="00360294"/>
    <w:rsid w:val="00361D14"/>
    <w:rsid w:val="00362FE3"/>
    <w:rsid w:val="00363439"/>
    <w:rsid w:val="003638F9"/>
    <w:rsid w:val="00363B5B"/>
    <w:rsid w:val="003642E2"/>
    <w:rsid w:val="00365739"/>
    <w:rsid w:val="00370D0E"/>
    <w:rsid w:val="00373987"/>
    <w:rsid w:val="003739B3"/>
    <w:rsid w:val="0037672F"/>
    <w:rsid w:val="003768B0"/>
    <w:rsid w:val="00381D91"/>
    <w:rsid w:val="0038511C"/>
    <w:rsid w:val="00386145"/>
    <w:rsid w:val="00387242"/>
    <w:rsid w:val="00387461"/>
    <w:rsid w:val="0039076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203F0"/>
    <w:rsid w:val="004244A5"/>
    <w:rsid w:val="0042466A"/>
    <w:rsid w:val="00426BF3"/>
    <w:rsid w:val="00430877"/>
    <w:rsid w:val="00430F80"/>
    <w:rsid w:val="00431D32"/>
    <w:rsid w:val="00434FC3"/>
    <w:rsid w:val="00436804"/>
    <w:rsid w:val="0044008F"/>
    <w:rsid w:val="00442F56"/>
    <w:rsid w:val="00443C2B"/>
    <w:rsid w:val="00444E15"/>
    <w:rsid w:val="004602A8"/>
    <w:rsid w:val="004603B1"/>
    <w:rsid w:val="004603CE"/>
    <w:rsid w:val="00462900"/>
    <w:rsid w:val="0046458C"/>
    <w:rsid w:val="00466F0B"/>
    <w:rsid w:val="0047340C"/>
    <w:rsid w:val="00474B72"/>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27BE2"/>
    <w:rsid w:val="0053030B"/>
    <w:rsid w:val="0053103D"/>
    <w:rsid w:val="00531A2D"/>
    <w:rsid w:val="00535FEB"/>
    <w:rsid w:val="0053639E"/>
    <w:rsid w:val="00536C5F"/>
    <w:rsid w:val="00536CB2"/>
    <w:rsid w:val="005376A8"/>
    <w:rsid w:val="00537F36"/>
    <w:rsid w:val="00542A16"/>
    <w:rsid w:val="00543428"/>
    <w:rsid w:val="00543FBE"/>
    <w:rsid w:val="0054528B"/>
    <w:rsid w:val="00545843"/>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14FD"/>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63EE"/>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44070"/>
    <w:rsid w:val="00752582"/>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565C"/>
    <w:rsid w:val="00795BB1"/>
    <w:rsid w:val="00797721"/>
    <w:rsid w:val="007A106D"/>
    <w:rsid w:val="007A3A4B"/>
    <w:rsid w:val="007A4299"/>
    <w:rsid w:val="007A6913"/>
    <w:rsid w:val="007B0C48"/>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6B2"/>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B1318"/>
    <w:rsid w:val="008B2E5B"/>
    <w:rsid w:val="008B61D9"/>
    <w:rsid w:val="008C2164"/>
    <w:rsid w:val="008C24FC"/>
    <w:rsid w:val="008D18E8"/>
    <w:rsid w:val="008D56B8"/>
    <w:rsid w:val="008D5AC8"/>
    <w:rsid w:val="008E06D9"/>
    <w:rsid w:val="008E36B0"/>
    <w:rsid w:val="008E396A"/>
    <w:rsid w:val="008E4147"/>
    <w:rsid w:val="008E6F7A"/>
    <w:rsid w:val="008F19C2"/>
    <w:rsid w:val="008F1FCB"/>
    <w:rsid w:val="008F34EB"/>
    <w:rsid w:val="008F6207"/>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8169A"/>
    <w:rsid w:val="00983373"/>
    <w:rsid w:val="009838FB"/>
    <w:rsid w:val="00985350"/>
    <w:rsid w:val="00987FD4"/>
    <w:rsid w:val="0099057D"/>
    <w:rsid w:val="0099196A"/>
    <w:rsid w:val="009932F8"/>
    <w:rsid w:val="00997829"/>
    <w:rsid w:val="009A191E"/>
    <w:rsid w:val="009A30CC"/>
    <w:rsid w:val="009A7D86"/>
    <w:rsid w:val="009B0C8E"/>
    <w:rsid w:val="009B3EA9"/>
    <w:rsid w:val="009B4378"/>
    <w:rsid w:val="009B4553"/>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6E65"/>
    <w:rsid w:val="00CC0B44"/>
    <w:rsid w:val="00CC132F"/>
    <w:rsid w:val="00CC2D89"/>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660B"/>
    <w:rsid w:val="00D60166"/>
    <w:rsid w:val="00D62300"/>
    <w:rsid w:val="00D638D6"/>
    <w:rsid w:val="00D650FB"/>
    <w:rsid w:val="00D652A1"/>
    <w:rsid w:val="00D708CA"/>
    <w:rsid w:val="00D72B2B"/>
    <w:rsid w:val="00D7375C"/>
    <w:rsid w:val="00D749EF"/>
    <w:rsid w:val="00D766C6"/>
    <w:rsid w:val="00D82950"/>
    <w:rsid w:val="00D83623"/>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0B81"/>
    <w:rsid w:val="00F12006"/>
    <w:rsid w:val="00F12360"/>
    <w:rsid w:val="00F15519"/>
    <w:rsid w:val="00F15627"/>
    <w:rsid w:val="00F21358"/>
    <w:rsid w:val="00F22DE1"/>
    <w:rsid w:val="00F24095"/>
    <w:rsid w:val="00F24660"/>
    <w:rsid w:val="00F26017"/>
    <w:rsid w:val="00F30D11"/>
    <w:rsid w:val="00F32D74"/>
    <w:rsid w:val="00F353B3"/>
    <w:rsid w:val="00F43412"/>
    <w:rsid w:val="00F44791"/>
    <w:rsid w:val="00F45151"/>
    <w:rsid w:val="00F471A0"/>
    <w:rsid w:val="00F532F8"/>
    <w:rsid w:val="00F55F8C"/>
    <w:rsid w:val="00F5708A"/>
    <w:rsid w:val="00F608CA"/>
    <w:rsid w:val="00F6202D"/>
    <w:rsid w:val="00F6484A"/>
    <w:rsid w:val="00F66571"/>
    <w:rsid w:val="00F72284"/>
    <w:rsid w:val="00F72ADF"/>
    <w:rsid w:val="00F733DD"/>
    <w:rsid w:val="00F751A2"/>
    <w:rsid w:val="00F82BB3"/>
    <w:rsid w:val="00F831C8"/>
    <w:rsid w:val="00F84F57"/>
    <w:rsid w:val="00F85FDB"/>
    <w:rsid w:val="00F931AB"/>
    <w:rsid w:val="00F94BF2"/>
    <w:rsid w:val="00F96B82"/>
    <w:rsid w:val="00F97FB6"/>
    <w:rsid w:val="00FA12CD"/>
    <w:rsid w:val="00FA54F1"/>
    <w:rsid w:val="00FB0504"/>
    <w:rsid w:val="00FB45FD"/>
    <w:rsid w:val="00FB51EB"/>
    <w:rsid w:val="00FC0AB8"/>
    <w:rsid w:val="00FC3F9B"/>
    <w:rsid w:val="00FC4F9B"/>
    <w:rsid w:val="00FD4827"/>
    <w:rsid w:val="00FD658B"/>
    <w:rsid w:val="00FD78AF"/>
    <w:rsid w:val="00FE1B5A"/>
    <w:rsid w:val="00FE7FEF"/>
    <w:rsid w:val="00FF09F4"/>
    <w:rsid w:val="00FF2015"/>
    <w:rsid w:val="00FF4CA2"/>
    <w:rsid w:val="00FF5C27"/>
    <w:rsid w:val="00FF71EF"/>
    <w:rsid w:val="00FF7A64"/>
    <w:rsid w:val="00FF7E19"/>
    <w:rsid w:val="00FF7E4E"/>
    <w:rsid w:val="010001C2"/>
    <w:rsid w:val="01953EAD"/>
    <w:rsid w:val="024A45D5"/>
    <w:rsid w:val="028A739D"/>
    <w:rsid w:val="038F6003"/>
    <w:rsid w:val="03922AFB"/>
    <w:rsid w:val="039D22EC"/>
    <w:rsid w:val="046104B3"/>
    <w:rsid w:val="05CB0FCA"/>
    <w:rsid w:val="05E6749B"/>
    <w:rsid w:val="08DF6E85"/>
    <w:rsid w:val="08FC0FEE"/>
    <w:rsid w:val="097053A7"/>
    <w:rsid w:val="09815B5E"/>
    <w:rsid w:val="0981638B"/>
    <w:rsid w:val="09A77172"/>
    <w:rsid w:val="09FC4D29"/>
    <w:rsid w:val="0A465EB4"/>
    <w:rsid w:val="0BCF2B24"/>
    <w:rsid w:val="0E570A4E"/>
    <w:rsid w:val="0EFD592E"/>
    <w:rsid w:val="0FCD68B7"/>
    <w:rsid w:val="0FED6CEB"/>
    <w:rsid w:val="1199734A"/>
    <w:rsid w:val="12233D34"/>
    <w:rsid w:val="12C30C3D"/>
    <w:rsid w:val="139B2A70"/>
    <w:rsid w:val="149837EB"/>
    <w:rsid w:val="14F640E8"/>
    <w:rsid w:val="15082EF2"/>
    <w:rsid w:val="15A621DC"/>
    <w:rsid w:val="17030245"/>
    <w:rsid w:val="17620028"/>
    <w:rsid w:val="177C79D8"/>
    <w:rsid w:val="17B80CDF"/>
    <w:rsid w:val="18FC6F38"/>
    <w:rsid w:val="19024B06"/>
    <w:rsid w:val="1A5A37E2"/>
    <w:rsid w:val="1ABD4730"/>
    <w:rsid w:val="1AE3765C"/>
    <w:rsid w:val="1C596C9A"/>
    <w:rsid w:val="1CCB05BD"/>
    <w:rsid w:val="1D2F1201"/>
    <w:rsid w:val="1DC3515C"/>
    <w:rsid w:val="1EF079C1"/>
    <w:rsid w:val="1F831EB1"/>
    <w:rsid w:val="1FDE0B24"/>
    <w:rsid w:val="1FE314E3"/>
    <w:rsid w:val="222029A2"/>
    <w:rsid w:val="22D427D7"/>
    <w:rsid w:val="22D85027"/>
    <w:rsid w:val="22EA002B"/>
    <w:rsid w:val="2367070B"/>
    <w:rsid w:val="23840F61"/>
    <w:rsid w:val="24EC0CB8"/>
    <w:rsid w:val="25947FC3"/>
    <w:rsid w:val="259F3CD2"/>
    <w:rsid w:val="25DB0928"/>
    <w:rsid w:val="25F734F0"/>
    <w:rsid w:val="265D1249"/>
    <w:rsid w:val="26D2359A"/>
    <w:rsid w:val="27AE1AFE"/>
    <w:rsid w:val="28457F01"/>
    <w:rsid w:val="287C1DE0"/>
    <w:rsid w:val="290A3A6A"/>
    <w:rsid w:val="29127F7D"/>
    <w:rsid w:val="29BC215F"/>
    <w:rsid w:val="29C726B7"/>
    <w:rsid w:val="2B9B5FA5"/>
    <w:rsid w:val="2C806636"/>
    <w:rsid w:val="2CAA34FB"/>
    <w:rsid w:val="2E745951"/>
    <w:rsid w:val="2EA242B8"/>
    <w:rsid w:val="2EB64C86"/>
    <w:rsid w:val="2F447837"/>
    <w:rsid w:val="2FB04983"/>
    <w:rsid w:val="30046C3B"/>
    <w:rsid w:val="319975AD"/>
    <w:rsid w:val="31E4080E"/>
    <w:rsid w:val="31EB3586"/>
    <w:rsid w:val="331F55C4"/>
    <w:rsid w:val="33FF0529"/>
    <w:rsid w:val="340D2486"/>
    <w:rsid w:val="34735182"/>
    <w:rsid w:val="34D7722C"/>
    <w:rsid w:val="354B4322"/>
    <w:rsid w:val="3557554B"/>
    <w:rsid w:val="359F1D83"/>
    <w:rsid w:val="35D90917"/>
    <w:rsid w:val="36541B8D"/>
    <w:rsid w:val="365F1CA3"/>
    <w:rsid w:val="371A25BA"/>
    <w:rsid w:val="37674D41"/>
    <w:rsid w:val="37A06683"/>
    <w:rsid w:val="37A75F0A"/>
    <w:rsid w:val="38020E8A"/>
    <w:rsid w:val="38BE762D"/>
    <w:rsid w:val="39243B23"/>
    <w:rsid w:val="3A3E0B06"/>
    <w:rsid w:val="3B077816"/>
    <w:rsid w:val="3B320202"/>
    <w:rsid w:val="3B750DC8"/>
    <w:rsid w:val="3B973616"/>
    <w:rsid w:val="3C1817B9"/>
    <w:rsid w:val="3C493033"/>
    <w:rsid w:val="3D3806AC"/>
    <w:rsid w:val="3D706C8D"/>
    <w:rsid w:val="3DBF5895"/>
    <w:rsid w:val="3E2D2238"/>
    <w:rsid w:val="3E6842C3"/>
    <w:rsid w:val="3EA415C2"/>
    <w:rsid w:val="3EE654C4"/>
    <w:rsid w:val="3F0025CC"/>
    <w:rsid w:val="3F311B07"/>
    <w:rsid w:val="4049300E"/>
    <w:rsid w:val="418C5406"/>
    <w:rsid w:val="41CC7482"/>
    <w:rsid w:val="427C74BF"/>
    <w:rsid w:val="42B71AB8"/>
    <w:rsid w:val="42E86108"/>
    <w:rsid w:val="439D580B"/>
    <w:rsid w:val="43C05717"/>
    <w:rsid w:val="44D37DBB"/>
    <w:rsid w:val="455858BC"/>
    <w:rsid w:val="458968B2"/>
    <w:rsid w:val="45A26760"/>
    <w:rsid w:val="45F8713D"/>
    <w:rsid w:val="4632415E"/>
    <w:rsid w:val="48AC7C25"/>
    <w:rsid w:val="48B55BC4"/>
    <w:rsid w:val="49FA7867"/>
    <w:rsid w:val="4AC9529B"/>
    <w:rsid w:val="4ACA3F60"/>
    <w:rsid w:val="4B0F26B5"/>
    <w:rsid w:val="4B7F084E"/>
    <w:rsid w:val="4BAB1EE9"/>
    <w:rsid w:val="4C1F5BCA"/>
    <w:rsid w:val="4EA36A0D"/>
    <w:rsid w:val="4F3E25BD"/>
    <w:rsid w:val="4FD777AC"/>
    <w:rsid w:val="50AC015B"/>
    <w:rsid w:val="50DB69AC"/>
    <w:rsid w:val="511B225F"/>
    <w:rsid w:val="527E4A6D"/>
    <w:rsid w:val="52A40083"/>
    <w:rsid w:val="543736CF"/>
    <w:rsid w:val="55963E64"/>
    <w:rsid w:val="56C10AC2"/>
    <w:rsid w:val="57641C7C"/>
    <w:rsid w:val="57CA2D78"/>
    <w:rsid w:val="5AC53B83"/>
    <w:rsid w:val="5AF96CF7"/>
    <w:rsid w:val="5B36382E"/>
    <w:rsid w:val="5B45115F"/>
    <w:rsid w:val="5B5E258C"/>
    <w:rsid w:val="5B621F5A"/>
    <w:rsid w:val="5B63018F"/>
    <w:rsid w:val="5C8C6CA6"/>
    <w:rsid w:val="5CA55DDC"/>
    <w:rsid w:val="5E40273F"/>
    <w:rsid w:val="5E617382"/>
    <w:rsid w:val="5F072262"/>
    <w:rsid w:val="5F73711B"/>
    <w:rsid w:val="604257B4"/>
    <w:rsid w:val="617A2C54"/>
    <w:rsid w:val="621E68E1"/>
    <w:rsid w:val="62370DE2"/>
    <w:rsid w:val="637C3066"/>
    <w:rsid w:val="63A04752"/>
    <w:rsid w:val="63CE7D55"/>
    <w:rsid w:val="648C33CD"/>
    <w:rsid w:val="64925F08"/>
    <w:rsid w:val="64F323F5"/>
    <w:rsid w:val="652C5A68"/>
    <w:rsid w:val="664B2A1E"/>
    <w:rsid w:val="66E73DA9"/>
    <w:rsid w:val="672F1827"/>
    <w:rsid w:val="692319FB"/>
    <w:rsid w:val="6A463DB6"/>
    <w:rsid w:val="6A73409B"/>
    <w:rsid w:val="6B8E5275"/>
    <w:rsid w:val="6BAE184E"/>
    <w:rsid w:val="6C333965"/>
    <w:rsid w:val="6D7D5F02"/>
    <w:rsid w:val="6DE24C90"/>
    <w:rsid w:val="6DF162C1"/>
    <w:rsid w:val="6EFF55E5"/>
    <w:rsid w:val="6F343481"/>
    <w:rsid w:val="6FEF2002"/>
    <w:rsid w:val="701C1E50"/>
    <w:rsid w:val="70256FA8"/>
    <w:rsid w:val="704E3BB2"/>
    <w:rsid w:val="70A27619"/>
    <w:rsid w:val="70AC4AE3"/>
    <w:rsid w:val="70F066EF"/>
    <w:rsid w:val="726B3A9E"/>
    <w:rsid w:val="729B3299"/>
    <w:rsid w:val="74462439"/>
    <w:rsid w:val="7506309C"/>
    <w:rsid w:val="75831884"/>
    <w:rsid w:val="7617548B"/>
    <w:rsid w:val="7620575D"/>
    <w:rsid w:val="765664D1"/>
    <w:rsid w:val="767B5A4D"/>
    <w:rsid w:val="76D559A2"/>
    <w:rsid w:val="778C1BEF"/>
    <w:rsid w:val="781E6A5B"/>
    <w:rsid w:val="78857244"/>
    <w:rsid w:val="79983940"/>
    <w:rsid w:val="79A74F98"/>
    <w:rsid w:val="7A286F99"/>
    <w:rsid w:val="7A2D6F3B"/>
    <w:rsid w:val="7B886ED2"/>
    <w:rsid w:val="7C1D3745"/>
    <w:rsid w:val="7CF125CA"/>
    <w:rsid w:val="7D2F6901"/>
    <w:rsid w:val="7D772670"/>
    <w:rsid w:val="7D7F7EE1"/>
    <w:rsid w:val="7DDE6600"/>
    <w:rsid w:val="7FC06DBC"/>
    <w:rsid w:val="7FF44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Balloon Text"/>
    <w:basedOn w:val="1"/>
    <w:link w:val="10"/>
    <w:semiHidden/>
    <w:qFormat/>
    <w:uiPriority w:val="99"/>
    <w:rPr>
      <w:sz w:val="18"/>
      <w:szCs w:val="20"/>
    </w:rPr>
  </w:style>
  <w:style w:type="paragraph" w:styleId="4">
    <w:name w:val="footer"/>
    <w:basedOn w:val="1"/>
    <w:link w:val="9"/>
    <w:qFormat/>
    <w:uiPriority w:val="99"/>
    <w:pPr>
      <w:tabs>
        <w:tab w:val="center" w:pos="4153"/>
        <w:tab w:val="right" w:pos="8306"/>
      </w:tabs>
      <w:snapToGrid w:val="0"/>
      <w:jc w:val="left"/>
    </w:pPr>
    <w:rPr>
      <w:sz w:val="18"/>
      <w:szCs w:val="20"/>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页眉 字符"/>
    <w:link w:val="5"/>
    <w:qFormat/>
    <w:locked/>
    <w:uiPriority w:val="99"/>
    <w:rPr>
      <w:rFonts w:cs="Times New Roman"/>
      <w:kern w:val="2"/>
      <w:sz w:val="18"/>
    </w:rPr>
  </w:style>
  <w:style w:type="character" w:customStyle="1" w:styleId="9">
    <w:name w:val="页脚 字符"/>
    <w:link w:val="4"/>
    <w:qFormat/>
    <w:locked/>
    <w:uiPriority w:val="99"/>
    <w:rPr>
      <w:rFonts w:cs="Times New Roman"/>
      <w:kern w:val="2"/>
      <w:sz w:val="18"/>
    </w:rPr>
  </w:style>
  <w:style w:type="character" w:customStyle="1" w:styleId="10">
    <w:name w:val="批注框文本 字符"/>
    <w:link w:val="3"/>
    <w:semiHidden/>
    <w:qFormat/>
    <w:locked/>
    <w:uiPriority w:val="99"/>
    <w:rPr>
      <w:rFonts w:cs="Times New Roman"/>
      <w:kern w:val="2"/>
      <w:sz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45FC-8895-40D8-8448-8DC62142234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36</Pages>
  <Words>5925</Words>
  <Characters>8056</Characters>
  <Lines>38</Lines>
  <Paragraphs>19</Paragraphs>
  <TotalTime>113</TotalTime>
  <ScaleCrop>false</ScaleCrop>
  <LinksUpToDate>false</LinksUpToDate>
  <CharactersWithSpaces>8492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2022-02-15T06:43:00Z</cp:lastPrinted>
  <dcterms:modified xsi:type="dcterms:W3CDTF">2023-02-24T07:57:12Z</dcterms:modified>
  <dc:title>2015</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3E98690F90964380A66B5CA27EF9C00A</vt:lpwstr>
  </property>
</Properties>
</file>