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  <w:bookmarkStart w:id="0" w:name="_Toc15306267"/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000000"/>
          <w:sz w:val="72"/>
          <w:szCs w:val="72"/>
        </w:rPr>
      </w:pPr>
    </w:p>
    <w:bookmarkEnd w:id="0"/>
    <w:p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宋体" w:eastAsia="方正小标宋简体"/>
          <w:color w:val="000000"/>
          <w:sz w:val="52"/>
          <w:szCs w:val="52"/>
          <w:lang w:eastAsia="zh-CN"/>
        </w:rPr>
      </w:pPr>
      <w:bookmarkStart w:id="1" w:name="_Toc15396603"/>
      <w:bookmarkStart w:id="2" w:name="_Toc15377205"/>
      <w:r>
        <w:rPr>
          <w:rFonts w:hint="eastAsia" w:ascii="方正小标宋简体" w:hAnsi="宋体" w:eastAsia="方正小标宋简体"/>
          <w:color w:val="000000"/>
          <w:sz w:val="52"/>
          <w:szCs w:val="52"/>
          <w:lang w:eastAsia="zh-CN"/>
        </w:rPr>
        <w:t>米易县白马镇人民政府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宋体" w:eastAsia="方正小标宋简体"/>
          <w:color w:val="000000"/>
          <w:sz w:val="52"/>
          <w:szCs w:val="52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52"/>
          <w:szCs w:val="52"/>
          <w:lang w:eastAsia="zh-CN"/>
        </w:rPr>
        <w:t>2018年政府决算情况的报告</w:t>
      </w:r>
    </w:p>
    <w:p>
      <w:pPr>
        <w:pStyle w:val="4"/>
        <w:numPr>
          <w:ilvl w:val="0"/>
          <w:numId w:val="0"/>
        </w:numPr>
        <w:ind w:leftChars="0"/>
        <w:rPr>
          <w:rStyle w:val="18"/>
          <w:rFonts w:ascii="黑体" w:hAnsi="黑体" w:eastAsia="黑体"/>
          <w:b w:val="0"/>
          <w:bCs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color w:val="000000"/>
          <w:sz w:val="32"/>
          <w:szCs w:val="32"/>
        </w:rPr>
        <w:t>收</w:t>
      </w:r>
      <w:r>
        <w:rPr>
          <w:rStyle w:val="18"/>
          <w:rFonts w:hint="eastAsia" w:ascii="黑体" w:hAnsi="黑体" w:eastAsia="黑体"/>
          <w:b w:val="0"/>
          <w:bCs/>
        </w:rPr>
        <w:t>入支出决算总体情况</w:t>
      </w:r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textAlignment w:val="auto"/>
        <w:outlineLvl w:val="9"/>
        <w:rPr>
          <w:rFonts w:hint="eastAsia" w:ascii="仿宋_GB2312" w:eastAsia="仿宋_GB2312"/>
          <w:spacing w:val="2"/>
          <w:kern w:val="11"/>
          <w:position w:val="12"/>
          <w:sz w:val="32"/>
          <w:lang w:val="en-US" w:eastAsia="zh-CN"/>
        </w:rPr>
      </w:pPr>
      <w:r>
        <w:rPr>
          <w:rFonts w:hint="eastAsia" w:ascii="仿宋_GB2312" w:eastAsia="仿宋_GB2312"/>
          <w:spacing w:val="2"/>
          <w:kern w:val="11"/>
          <w:position w:val="12"/>
          <w:sz w:val="32"/>
          <w:lang w:val="en-US" w:eastAsia="zh-CN"/>
        </w:rPr>
        <w:t>2018年白马镇财政拨款收入3724.67万元，与上年同比增长了86.88%。其中：</w:t>
      </w:r>
      <w:r>
        <w:rPr>
          <w:rFonts w:hint="eastAsia" w:ascii="仿宋_GB2312" w:eastAsia="仿宋_GB2312"/>
          <w:spacing w:val="2"/>
          <w:kern w:val="11"/>
          <w:position w:val="12"/>
          <w:sz w:val="32"/>
          <w:lang w:eastAsia="zh-CN"/>
        </w:rPr>
        <w:t>一般公共预算拨款收入</w:t>
      </w:r>
      <w:r>
        <w:rPr>
          <w:rFonts w:hint="eastAsia" w:ascii="仿宋_GB2312" w:eastAsia="仿宋_GB2312"/>
          <w:spacing w:val="2"/>
          <w:kern w:val="11"/>
          <w:position w:val="12"/>
          <w:sz w:val="32"/>
          <w:lang w:val="en-US" w:eastAsia="zh-CN"/>
        </w:rPr>
        <w:t>1607.43万元，与上年同比增长了7.63%，变动的主要原因是因经济稳步回升，一般公共预算收入略有增长；基金预算收入2117.24万元，与上年同比增长了323.77%，变动的主要原因是固定资产投资大幅度增加，政府性基金收入增加。年初财政拨款结转和结余3.17万元，总计收入3727.84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textAlignment w:val="auto"/>
        <w:outlineLvl w:val="9"/>
        <w:rPr>
          <w:rFonts w:hint="eastAsia" w:ascii="仿宋_GB2312" w:eastAsia="仿宋_GB2312"/>
          <w:spacing w:val="2"/>
          <w:kern w:val="11"/>
          <w:position w:val="12"/>
          <w:sz w:val="32"/>
        </w:rPr>
      </w:pPr>
      <w:r>
        <w:rPr>
          <w:rFonts w:hint="eastAsia" w:ascii="仿宋_GB2312" w:eastAsia="仿宋_GB2312"/>
          <w:spacing w:val="2"/>
          <w:kern w:val="11"/>
          <w:position w:val="12"/>
          <w:sz w:val="32"/>
          <w:lang w:val="en-US" w:eastAsia="zh-CN"/>
        </w:rPr>
        <w:t>2018年白马镇财政拨款支出3718.57万元，与上年同比增长了76.89%。其中：一般预算支出决算总额为1601.33万元，与上年同比下降了0.08%，主要原因是人员的增减变动相应的经费略有变动。</w:t>
      </w:r>
      <w:r>
        <w:rPr>
          <w:rFonts w:hint="eastAsia" w:ascii="仿宋_GB2312" w:eastAsia="仿宋_GB2312"/>
          <w:spacing w:val="2"/>
          <w:kern w:val="11"/>
          <w:position w:val="12"/>
          <w:sz w:val="32"/>
          <w:lang w:eastAsia="zh-CN"/>
        </w:rPr>
        <w:t>基金预算支出</w:t>
      </w:r>
      <w:r>
        <w:rPr>
          <w:rFonts w:hint="eastAsia" w:ascii="仿宋_GB2312" w:eastAsia="仿宋_GB2312"/>
          <w:spacing w:val="2"/>
          <w:kern w:val="11"/>
          <w:position w:val="12"/>
          <w:sz w:val="32"/>
          <w:lang w:val="en-US" w:eastAsia="zh-CN"/>
        </w:rPr>
        <w:t>2117.24</w:t>
      </w:r>
      <w:r>
        <w:rPr>
          <w:rFonts w:hint="eastAsia" w:ascii="仿宋_GB2312" w:eastAsia="仿宋_GB2312"/>
          <w:spacing w:val="2"/>
          <w:kern w:val="11"/>
          <w:position w:val="12"/>
          <w:sz w:val="32"/>
          <w:lang w:eastAsia="zh-CN"/>
        </w:rPr>
        <w:t>万元，</w:t>
      </w:r>
      <w:r>
        <w:rPr>
          <w:rFonts w:hint="eastAsia" w:ascii="仿宋_GB2312" w:eastAsia="仿宋_GB2312"/>
          <w:spacing w:val="2"/>
          <w:kern w:val="11"/>
          <w:position w:val="12"/>
          <w:sz w:val="32"/>
        </w:rPr>
        <w:t>比上年同期</w:t>
      </w:r>
      <w:r>
        <w:rPr>
          <w:rFonts w:hint="eastAsia" w:ascii="仿宋_GB2312" w:eastAsia="仿宋_GB2312"/>
          <w:spacing w:val="2"/>
          <w:kern w:val="11"/>
          <w:position w:val="12"/>
          <w:sz w:val="32"/>
          <w:lang w:eastAsia="zh-CN"/>
        </w:rPr>
        <w:t>增长</w:t>
      </w:r>
      <w:r>
        <w:rPr>
          <w:rFonts w:hint="eastAsia" w:ascii="仿宋_GB2312" w:eastAsia="仿宋_GB2312"/>
          <w:spacing w:val="2"/>
          <w:kern w:val="11"/>
          <w:position w:val="12"/>
          <w:sz w:val="32"/>
          <w:lang w:val="en-US" w:eastAsia="zh-CN"/>
        </w:rPr>
        <w:t>323.77</w:t>
      </w:r>
      <w:r>
        <w:rPr>
          <w:rFonts w:hint="eastAsia" w:ascii="仿宋_GB2312" w:eastAsia="仿宋_GB2312"/>
          <w:spacing w:val="2"/>
          <w:kern w:val="11"/>
          <w:position w:val="12"/>
          <w:sz w:val="32"/>
        </w:rPr>
        <w:t xml:space="preserve">% </w:t>
      </w:r>
      <w:r>
        <w:rPr>
          <w:rFonts w:hint="eastAsia" w:ascii="仿宋_GB2312" w:eastAsia="仿宋_GB2312"/>
          <w:spacing w:val="2"/>
          <w:kern w:val="11"/>
          <w:position w:val="12"/>
          <w:sz w:val="32"/>
          <w:lang w:eastAsia="zh-CN"/>
        </w:rPr>
        <w:t>，</w:t>
      </w:r>
      <w:r>
        <w:rPr>
          <w:rFonts w:hint="eastAsia" w:ascii="仿宋_GB2312" w:eastAsia="仿宋_GB2312"/>
          <w:spacing w:val="2"/>
          <w:kern w:val="11"/>
          <w:position w:val="12"/>
          <w:sz w:val="32"/>
          <w:lang w:val="en-US" w:eastAsia="zh-CN"/>
        </w:rPr>
        <w:t>变动的主要原因是白马铁矿二期三期征地拆迁安置支出大幅度增加。2018年年末财政拨款结转和结余9.27万元</w:t>
      </w:r>
      <w:r>
        <w:rPr>
          <w:rFonts w:hint="eastAsia" w:ascii="仿宋_GB2312" w:eastAsia="仿宋_GB2312"/>
          <w:spacing w:val="2"/>
          <w:kern w:val="11"/>
          <w:position w:val="12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textAlignment w:val="auto"/>
        <w:outlineLvl w:val="9"/>
        <w:rPr>
          <w:rFonts w:hint="eastAsia" w:ascii="仿宋_GB2312" w:eastAsia="仿宋_GB2312"/>
          <w:spacing w:val="2"/>
          <w:kern w:val="11"/>
          <w:position w:val="12"/>
          <w:sz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（图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：收、支决算总计变动情况图）（柱状图）</w:t>
      </w:r>
    </w:p>
    <w:p>
      <w:pPr>
        <w:pStyle w:val="2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4566285" cy="2258060"/>
            <wp:effectExtent l="4445" t="5080" r="20320" b="2286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27"/>
        <w:numPr>
          <w:ilvl w:val="0"/>
          <w:numId w:val="1"/>
        </w:numPr>
        <w:spacing w:line="600" w:lineRule="exact"/>
        <w:ind w:firstLineChars="0"/>
        <w:outlineLvl w:val="1"/>
        <w:rPr>
          <w:rStyle w:val="18"/>
          <w:rFonts w:ascii="黑体" w:hAnsi="黑体" w:eastAsia="黑体"/>
          <w:b w:val="0"/>
        </w:rPr>
      </w:pPr>
      <w:bookmarkStart w:id="3" w:name="_Toc15396604"/>
      <w:bookmarkStart w:id="4" w:name="_Toc15377206"/>
      <w:r>
        <w:rPr>
          <w:rFonts w:hint="eastAsia" w:ascii="黑体" w:hAnsi="黑体" w:eastAsia="黑体"/>
          <w:color w:val="000000"/>
          <w:sz w:val="32"/>
          <w:szCs w:val="32"/>
        </w:rPr>
        <w:t>收</w:t>
      </w:r>
      <w:r>
        <w:rPr>
          <w:rStyle w:val="18"/>
          <w:rFonts w:hint="eastAsia" w:ascii="黑体" w:hAnsi="黑体" w:eastAsia="黑体"/>
          <w:b w:val="0"/>
        </w:rPr>
        <w:t>入决算情况</w:t>
      </w:r>
      <w:bookmarkEnd w:id="3"/>
      <w:bookmarkEnd w:id="4"/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hint="eastAsia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2018年本年收入合计3724.67万元，其中：一般公共预算财政拨款收入1607.43万元，</w:t>
      </w:r>
      <w:r>
        <w:rPr>
          <w:rFonts w:hint="eastAsia" w:ascii="仿宋_GB2312" w:eastAsia="仿宋_GB2312"/>
          <w:sz w:val="32"/>
          <w:szCs w:val="32"/>
          <w:lang w:eastAsia="zh-CN"/>
        </w:rPr>
        <w:t>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43.16%，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政府性基金预算财政拨款收入2117.24万元，</w:t>
      </w:r>
      <w:r>
        <w:rPr>
          <w:rFonts w:hint="eastAsia" w:ascii="仿宋_GB2312" w:eastAsia="仿宋_GB2312"/>
          <w:sz w:val="32"/>
          <w:szCs w:val="32"/>
          <w:lang w:eastAsia="zh-CN"/>
        </w:rPr>
        <w:t>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56.84%。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（图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：收入决算结构图）（饼状图）</w:t>
      </w:r>
    </w:p>
    <w:p>
      <w:pPr>
        <w:pStyle w:val="2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4507865" cy="2418715"/>
            <wp:effectExtent l="4445" t="4445" r="21590" b="1524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</w:p>
    <w:p>
      <w:pPr>
        <w:pStyle w:val="27"/>
        <w:numPr>
          <w:ilvl w:val="0"/>
          <w:numId w:val="1"/>
        </w:numPr>
        <w:spacing w:line="600" w:lineRule="exact"/>
        <w:ind w:firstLineChars="0"/>
        <w:outlineLvl w:val="1"/>
        <w:rPr>
          <w:rStyle w:val="18"/>
          <w:rFonts w:ascii="黑体" w:hAnsi="黑体" w:eastAsia="黑体"/>
          <w:b w:val="0"/>
        </w:rPr>
      </w:pPr>
      <w:bookmarkStart w:id="5" w:name="_Toc15396605"/>
      <w:bookmarkStart w:id="6" w:name="_Toc15377207"/>
      <w:r>
        <w:rPr>
          <w:rFonts w:hint="eastAsia" w:ascii="黑体" w:hAnsi="黑体" w:eastAsia="黑体"/>
          <w:color w:val="000000"/>
          <w:sz w:val="32"/>
          <w:szCs w:val="32"/>
        </w:rPr>
        <w:t>支</w:t>
      </w:r>
      <w:r>
        <w:rPr>
          <w:rStyle w:val="18"/>
          <w:rFonts w:hint="eastAsia" w:ascii="黑体" w:hAnsi="黑体" w:eastAsia="黑体"/>
          <w:b w:val="0"/>
        </w:rPr>
        <w:t>出决算情况</w:t>
      </w:r>
      <w:bookmarkEnd w:id="5"/>
      <w:bookmarkEnd w:id="6"/>
      <w:bookmarkStart w:id="7" w:name="_GoBack"/>
      <w:bookmarkEnd w:id="7"/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hint="eastAsia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2018年本年支出合计3718.57万元，其中：一般公共预算财政拨款支出1601.33万元，</w:t>
      </w:r>
      <w:r>
        <w:rPr>
          <w:rFonts w:hint="eastAsia" w:ascii="仿宋_GB2312" w:eastAsia="仿宋_GB2312"/>
          <w:sz w:val="32"/>
          <w:szCs w:val="32"/>
          <w:lang w:eastAsia="zh-CN"/>
        </w:rPr>
        <w:t>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43.06%，</w:t>
      </w:r>
      <w:r>
        <w:rPr>
          <w:rFonts w:hint="eastAsia" w:ascii="仿宋_GB2312" w:hAnsi="宋体" w:eastAsia="仿宋_GB2312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政府性基金预算财政拨款支出2117.24万元，</w:t>
      </w:r>
      <w:r>
        <w:rPr>
          <w:rFonts w:hint="eastAsia" w:ascii="仿宋_GB2312" w:eastAsia="仿宋_GB2312"/>
          <w:sz w:val="32"/>
          <w:szCs w:val="32"/>
          <w:lang w:eastAsia="zh-CN"/>
        </w:rPr>
        <w:t>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56.94%。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（图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：支出决算结构图）（饼状图）</w:t>
      </w:r>
    </w:p>
    <w:p>
      <w:pPr>
        <w:pStyle w:val="2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4728210" cy="3087370"/>
            <wp:effectExtent l="4445" t="4445" r="10795" b="1333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??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1C"/>
    <w:rsid w:val="000222C6"/>
    <w:rsid w:val="0002549F"/>
    <w:rsid w:val="0006487A"/>
    <w:rsid w:val="00065F8F"/>
    <w:rsid w:val="000768F2"/>
    <w:rsid w:val="0009184B"/>
    <w:rsid w:val="0009593C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729F"/>
    <w:rsid w:val="00157BAB"/>
    <w:rsid w:val="001654D1"/>
    <w:rsid w:val="0018106D"/>
    <w:rsid w:val="001877A7"/>
    <w:rsid w:val="00191536"/>
    <w:rsid w:val="00196687"/>
    <w:rsid w:val="001C0962"/>
    <w:rsid w:val="001D7531"/>
    <w:rsid w:val="001E737D"/>
    <w:rsid w:val="001F0592"/>
    <w:rsid w:val="001F2300"/>
    <w:rsid w:val="001F7506"/>
    <w:rsid w:val="002006CD"/>
    <w:rsid w:val="00202B36"/>
    <w:rsid w:val="00204B7A"/>
    <w:rsid w:val="0021101A"/>
    <w:rsid w:val="00220536"/>
    <w:rsid w:val="00235629"/>
    <w:rsid w:val="00260C38"/>
    <w:rsid w:val="002616C0"/>
    <w:rsid w:val="002662AA"/>
    <w:rsid w:val="00280496"/>
    <w:rsid w:val="00286230"/>
    <w:rsid w:val="00295495"/>
    <w:rsid w:val="002B2613"/>
    <w:rsid w:val="002F1818"/>
    <w:rsid w:val="002F567B"/>
    <w:rsid w:val="003216A9"/>
    <w:rsid w:val="0037013F"/>
    <w:rsid w:val="00380C92"/>
    <w:rsid w:val="003A484F"/>
    <w:rsid w:val="003B0BE0"/>
    <w:rsid w:val="003B0C1B"/>
    <w:rsid w:val="003B688C"/>
    <w:rsid w:val="003C0291"/>
    <w:rsid w:val="003C39AE"/>
    <w:rsid w:val="003C7B60"/>
    <w:rsid w:val="003D1FB2"/>
    <w:rsid w:val="003D66DA"/>
    <w:rsid w:val="003E1310"/>
    <w:rsid w:val="003E6F55"/>
    <w:rsid w:val="003F1A19"/>
    <w:rsid w:val="00406254"/>
    <w:rsid w:val="004223DE"/>
    <w:rsid w:val="00434489"/>
    <w:rsid w:val="00437085"/>
    <w:rsid w:val="00443880"/>
    <w:rsid w:val="00444D2D"/>
    <w:rsid w:val="004464F4"/>
    <w:rsid w:val="00471401"/>
    <w:rsid w:val="00473F31"/>
    <w:rsid w:val="0048263A"/>
    <w:rsid w:val="00487E5D"/>
    <w:rsid w:val="004A711F"/>
    <w:rsid w:val="004B199D"/>
    <w:rsid w:val="004B4690"/>
    <w:rsid w:val="004E0A2D"/>
    <w:rsid w:val="004E206B"/>
    <w:rsid w:val="004E6DF7"/>
    <w:rsid w:val="004F0FBD"/>
    <w:rsid w:val="00505A47"/>
    <w:rsid w:val="00510901"/>
    <w:rsid w:val="00512FDA"/>
    <w:rsid w:val="00520DA0"/>
    <w:rsid w:val="005664BB"/>
    <w:rsid w:val="0057481D"/>
    <w:rsid w:val="0058486E"/>
    <w:rsid w:val="005D1C8B"/>
    <w:rsid w:val="005D5CED"/>
    <w:rsid w:val="005F1A4C"/>
    <w:rsid w:val="00605688"/>
    <w:rsid w:val="006070AF"/>
    <w:rsid w:val="00607E6C"/>
    <w:rsid w:val="006101B1"/>
    <w:rsid w:val="00614E44"/>
    <w:rsid w:val="00622830"/>
    <w:rsid w:val="00630AEF"/>
    <w:rsid w:val="006325F8"/>
    <w:rsid w:val="00634C9A"/>
    <w:rsid w:val="006440E4"/>
    <w:rsid w:val="0066343B"/>
    <w:rsid w:val="00664777"/>
    <w:rsid w:val="006748A4"/>
    <w:rsid w:val="00683E73"/>
    <w:rsid w:val="006A04B6"/>
    <w:rsid w:val="006A3141"/>
    <w:rsid w:val="006A5E34"/>
    <w:rsid w:val="006B2422"/>
    <w:rsid w:val="006B2B9A"/>
    <w:rsid w:val="006C1937"/>
    <w:rsid w:val="006F020C"/>
    <w:rsid w:val="007127B7"/>
    <w:rsid w:val="007416B6"/>
    <w:rsid w:val="00741EDC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B2997"/>
    <w:rsid w:val="007B69AD"/>
    <w:rsid w:val="007D312A"/>
    <w:rsid w:val="007D3F19"/>
    <w:rsid w:val="007E23B0"/>
    <w:rsid w:val="007F1991"/>
    <w:rsid w:val="007F2C2F"/>
    <w:rsid w:val="007F55FC"/>
    <w:rsid w:val="007F5665"/>
    <w:rsid w:val="00800112"/>
    <w:rsid w:val="008253BB"/>
    <w:rsid w:val="0083706E"/>
    <w:rsid w:val="008423A5"/>
    <w:rsid w:val="00850625"/>
    <w:rsid w:val="0085190B"/>
    <w:rsid w:val="00853718"/>
    <w:rsid w:val="00855221"/>
    <w:rsid w:val="00860645"/>
    <w:rsid w:val="00871F71"/>
    <w:rsid w:val="00885AF4"/>
    <w:rsid w:val="008939CD"/>
    <w:rsid w:val="008A1AC1"/>
    <w:rsid w:val="008B06FB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46945"/>
    <w:rsid w:val="00951248"/>
    <w:rsid w:val="0095152F"/>
    <w:rsid w:val="00954C49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E98"/>
    <w:rsid w:val="009D3447"/>
    <w:rsid w:val="009D4711"/>
    <w:rsid w:val="009F1185"/>
    <w:rsid w:val="009F18CD"/>
    <w:rsid w:val="009F2A13"/>
    <w:rsid w:val="00A04EB0"/>
    <w:rsid w:val="00A13CC1"/>
    <w:rsid w:val="00A16847"/>
    <w:rsid w:val="00A237D8"/>
    <w:rsid w:val="00A268C4"/>
    <w:rsid w:val="00A307CD"/>
    <w:rsid w:val="00A40A00"/>
    <w:rsid w:val="00A4142F"/>
    <w:rsid w:val="00A56DF2"/>
    <w:rsid w:val="00A67AB5"/>
    <w:rsid w:val="00A91760"/>
    <w:rsid w:val="00A93B00"/>
    <w:rsid w:val="00A93C21"/>
    <w:rsid w:val="00AC3C6A"/>
    <w:rsid w:val="00AD5620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77EA6"/>
    <w:rsid w:val="00B81598"/>
    <w:rsid w:val="00B841F1"/>
    <w:rsid w:val="00B944D6"/>
    <w:rsid w:val="00BB4DF0"/>
    <w:rsid w:val="00BC289F"/>
    <w:rsid w:val="00BC5361"/>
    <w:rsid w:val="00BC5460"/>
    <w:rsid w:val="00BC6B50"/>
    <w:rsid w:val="00BD0E25"/>
    <w:rsid w:val="00BF27F4"/>
    <w:rsid w:val="00BF5BD6"/>
    <w:rsid w:val="00C03E31"/>
    <w:rsid w:val="00C33E72"/>
    <w:rsid w:val="00C354B2"/>
    <w:rsid w:val="00C35554"/>
    <w:rsid w:val="00C42709"/>
    <w:rsid w:val="00C533CC"/>
    <w:rsid w:val="00C5751C"/>
    <w:rsid w:val="00C61BFC"/>
    <w:rsid w:val="00C62B85"/>
    <w:rsid w:val="00C65438"/>
    <w:rsid w:val="00C91CBB"/>
    <w:rsid w:val="00CC09B6"/>
    <w:rsid w:val="00CC666F"/>
    <w:rsid w:val="00CD1E3F"/>
    <w:rsid w:val="00CE44F6"/>
    <w:rsid w:val="00CE49DA"/>
    <w:rsid w:val="00CE7B61"/>
    <w:rsid w:val="00D00095"/>
    <w:rsid w:val="00D20620"/>
    <w:rsid w:val="00D26091"/>
    <w:rsid w:val="00D34E7C"/>
    <w:rsid w:val="00D35489"/>
    <w:rsid w:val="00D51276"/>
    <w:rsid w:val="00D7035F"/>
    <w:rsid w:val="00DA65AC"/>
    <w:rsid w:val="00DB0F51"/>
    <w:rsid w:val="00DB1913"/>
    <w:rsid w:val="00DC410D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50624"/>
    <w:rsid w:val="00E568DF"/>
    <w:rsid w:val="00E64269"/>
    <w:rsid w:val="00E82267"/>
    <w:rsid w:val="00EA010F"/>
    <w:rsid w:val="00ED1B63"/>
    <w:rsid w:val="00ED3C1F"/>
    <w:rsid w:val="00ED4085"/>
    <w:rsid w:val="00ED420E"/>
    <w:rsid w:val="00EE2F57"/>
    <w:rsid w:val="00EF4C34"/>
    <w:rsid w:val="00EF77C6"/>
    <w:rsid w:val="00F05438"/>
    <w:rsid w:val="00F12C74"/>
    <w:rsid w:val="00F1361C"/>
    <w:rsid w:val="00F160C7"/>
    <w:rsid w:val="00F34AF5"/>
    <w:rsid w:val="00F36D8F"/>
    <w:rsid w:val="00F417B1"/>
    <w:rsid w:val="00F602DF"/>
    <w:rsid w:val="00F81FD9"/>
    <w:rsid w:val="00F841AA"/>
    <w:rsid w:val="00FA23E8"/>
    <w:rsid w:val="00FD3CC1"/>
    <w:rsid w:val="00FF1E02"/>
    <w:rsid w:val="00FF30B4"/>
    <w:rsid w:val="01AF7394"/>
    <w:rsid w:val="02920331"/>
    <w:rsid w:val="05922579"/>
    <w:rsid w:val="05AF1E68"/>
    <w:rsid w:val="08287614"/>
    <w:rsid w:val="088A22F6"/>
    <w:rsid w:val="08F36ED9"/>
    <w:rsid w:val="0A7D06D6"/>
    <w:rsid w:val="0B2F6BC0"/>
    <w:rsid w:val="0D79010C"/>
    <w:rsid w:val="0F62200C"/>
    <w:rsid w:val="10044243"/>
    <w:rsid w:val="10C055FF"/>
    <w:rsid w:val="10F552EF"/>
    <w:rsid w:val="12A777A2"/>
    <w:rsid w:val="13330ACC"/>
    <w:rsid w:val="13784BB5"/>
    <w:rsid w:val="13F434C4"/>
    <w:rsid w:val="142D73DE"/>
    <w:rsid w:val="14852AF3"/>
    <w:rsid w:val="14857920"/>
    <w:rsid w:val="15682940"/>
    <w:rsid w:val="162F1196"/>
    <w:rsid w:val="167B7F3C"/>
    <w:rsid w:val="16BB723D"/>
    <w:rsid w:val="16E43A61"/>
    <w:rsid w:val="175B31AA"/>
    <w:rsid w:val="1BB570BD"/>
    <w:rsid w:val="1D4B6339"/>
    <w:rsid w:val="205C68E6"/>
    <w:rsid w:val="21A00365"/>
    <w:rsid w:val="22602728"/>
    <w:rsid w:val="23C92298"/>
    <w:rsid w:val="23EA55E6"/>
    <w:rsid w:val="240371BF"/>
    <w:rsid w:val="24914705"/>
    <w:rsid w:val="24F52431"/>
    <w:rsid w:val="28ED7AAF"/>
    <w:rsid w:val="29FD04D3"/>
    <w:rsid w:val="2A500569"/>
    <w:rsid w:val="2CDD02F4"/>
    <w:rsid w:val="2CFC4C83"/>
    <w:rsid w:val="2E63135E"/>
    <w:rsid w:val="2EB70695"/>
    <w:rsid w:val="2F443CFE"/>
    <w:rsid w:val="30245E0D"/>
    <w:rsid w:val="3092146A"/>
    <w:rsid w:val="319F7F4E"/>
    <w:rsid w:val="32F3560C"/>
    <w:rsid w:val="351258A8"/>
    <w:rsid w:val="359F67CA"/>
    <w:rsid w:val="366D3E9B"/>
    <w:rsid w:val="36BD7C03"/>
    <w:rsid w:val="38940678"/>
    <w:rsid w:val="3AB1024C"/>
    <w:rsid w:val="3AFF474A"/>
    <w:rsid w:val="3FCC0910"/>
    <w:rsid w:val="40686975"/>
    <w:rsid w:val="40CE423F"/>
    <w:rsid w:val="42DA2FAE"/>
    <w:rsid w:val="43B55A87"/>
    <w:rsid w:val="448E08AC"/>
    <w:rsid w:val="450C57DF"/>
    <w:rsid w:val="45707599"/>
    <w:rsid w:val="46312E7B"/>
    <w:rsid w:val="484D3865"/>
    <w:rsid w:val="4A2866B0"/>
    <w:rsid w:val="4B0B508A"/>
    <w:rsid w:val="4D8B01DE"/>
    <w:rsid w:val="4EB631AC"/>
    <w:rsid w:val="4EF1428C"/>
    <w:rsid w:val="501D56F2"/>
    <w:rsid w:val="50843F68"/>
    <w:rsid w:val="513A5A34"/>
    <w:rsid w:val="51691BAF"/>
    <w:rsid w:val="52E31CB5"/>
    <w:rsid w:val="55A63CC5"/>
    <w:rsid w:val="582A437B"/>
    <w:rsid w:val="59654102"/>
    <w:rsid w:val="5B4B0ADE"/>
    <w:rsid w:val="5C5F24D9"/>
    <w:rsid w:val="5C8F2857"/>
    <w:rsid w:val="61B82400"/>
    <w:rsid w:val="633E7943"/>
    <w:rsid w:val="63E93807"/>
    <w:rsid w:val="64422F60"/>
    <w:rsid w:val="64576E05"/>
    <w:rsid w:val="652C741B"/>
    <w:rsid w:val="65403858"/>
    <w:rsid w:val="6675235D"/>
    <w:rsid w:val="683D212C"/>
    <w:rsid w:val="686C099C"/>
    <w:rsid w:val="686F1B24"/>
    <w:rsid w:val="68730ED9"/>
    <w:rsid w:val="699803B9"/>
    <w:rsid w:val="69BB6548"/>
    <w:rsid w:val="6B9965CA"/>
    <w:rsid w:val="6BD53843"/>
    <w:rsid w:val="6D8A6F1E"/>
    <w:rsid w:val="6D904CE7"/>
    <w:rsid w:val="6FEA318D"/>
    <w:rsid w:val="706F2EA8"/>
    <w:rsid w:val="707153C6"/>
    <w:rsid w:val="72A42A50"/>
    <w:rsid w:val="73A85EB6"/>
    <w:rsid w:val="748B7E66"/>
    <w:rsid w:val="74C321D2"/>
    <w:rsid w:val="74F772DE"/>
    <w:rsid w:val="75B24B25"/>
    <w:rsid w:val="7665356D"/>
    <w:rsid w:val="772071C7"/>
    <w:rsid w:val="777F4525"/>
    <w:rsid w:val="79166A58"/>
    <w:rsid w:val="79933ACA"/>
    <w:rsid w:val="79A413AF"/>
    <w:rsid w:val="7ADB4D2F"/>
    <w:rsid w:val="7B127596"/>
    <w:rsid w:val="7BAF55C4"/>
    <w:rsid w:val="7C200C73"/>
    <w:rsid w:val="7D310054"/>
    <w:rsid w:val="7D3D45BE"/>
    <w:rsid w:val="7D8648C6"/>
    <w:rsid w:val="7DB01ED2"/>
    <w:rsid w:val="7E3B239E"/>
    <w:rsid w:val="7E606839"/>
    <w:rsid w:val="7EFC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semiHidden="0" w:name="toc 1"/>
    <w:lsdException w:unhideWhenUsed="0" w:uiPriority="99" w:semiHidden="0" w:name="toc 2"/>
    <w:lsdException w:qFormat="1" w:unhideWhenUsed="0" w:uiPriority="99" w:semiHidden="0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默认"/>
    <w:basedOn w:val="1"/>
    <w:next w:val="1"/>
    <w:qFormat/>
    <w:uiPriority w:val="0"/>
    <w:pPr>
      <w:widowControl/>
    </w:pPr>
    <w:rPr>
      <w:rFonts w:ascii="Helvetica Neue" w:hAnsi="Helvetica Neue" w:eastAsia="Arial Unicode MS" w:cs="Arial Unicode MS"/>
      <w:color w:val="000000"/>
      <w:sz w:val="22"/>
    </w:rPr>
  </w:style>
  <w:style w:type="paragraph" w:styleId="6">
    <w:name w:val="Body Text"/>
    <w:basedOn w:val="1"/>
    <w:link w:val="25"/>
    <w:qFormat/>
    <w:uiPriority w:val="99"/>
    <w:pPr>
      <w:spacing w:beforeLines="30"/>
    </w:pPr>
    <w:rPr>
      <w:rFonts w:ascii="仿宋_GB2312" w:eastAsia="仿宋_GB2312"/>
      <w:kern w:val="0"/>
      <w:sz w:val="24"/>
      <w:szCs w:val="20"/>
    </w:rPr>
  </w:style>
  <w:style w:type="paragraph" w:styleId="7">
    <w:name w:val="toc 3"/>
    <w:basedOn w:val="1"/>
    <w:next w:val="1"/>
    <w:qFormat/>
    <w:uiPriority w:val="99"/>
    <w:pPr>
      <w:tabs>
        <w:tab w:val="right" w:leader="dot" w:pos="8296"/>
      </w:tabs>
      <w:ind w:left="840" w:leftChars="400"/>
    </w:pPr>
  </w:style>
  <w:style w:type="paragraph" w:styleId="8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10">
    <w:name w:val="header"/>
    <w:basedOn w:val="1"/>
    <w:link w:val="2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paragraph" w:styleId="11">
    <w:name w:val="toc 1"/>
    <w:basedOn w:val="1"/>
    <w:next w:val="1"/>
    <w:uiPriority w:val="9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2">
    <w:name w:val="toc 2"/>
    <w:basedOn w:val="1"/>
    <w:next w:val="1"/>
    <w:uiPriority w:val="99"/>
    <w:pPr>
      <w:tabs>
        <w:tab w:val="right" w:leader="dot" w:pos="8296"/>
      </w:tabs>
      <w:ind w:left="420" w:leftChars="200"/>
    </w:p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Hyperlink"/>
    <w:basedOn w:val="13"/>
    <w:uiPriority w:val="99"/>
    <w:rPr>
      <w:rFonts w:cs="Times New Roman"/>
      <w:color w:val="0000FF"/>
      <w:u w:val="single"/>
    </w:rPr>
  </w:style>
  <w:style w:type="character" w:customStyle="1" w:styleId="17">
    <w:name w:val="标题 1 Char"/>
    <w:basedOn w:val="13"/>
    <w:link w:val="3"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3"/>
    <w:link w:val="4"/>
    <w:locked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9">
    <w:name w:val="标题 3 Char"/>
    <w:basedOn w:val="13"/>
    <w:link w:val="5"/>
    <w:qFormat/>
    <w:locked/>
    <w:uiPriority w:val="99"/>
    <w:rPr>
      <w:rFonts w:ascii="Times New Roman" w:hAnsi="Times New Roman" w:cs="Times New Roman"/>
      <w:b/>
      <w:bCs/>
      <w:kern w:val="2"/>
      <w:sz w:val="32"/>
      <w:szCs w:val="32"/>
    </w:rPr>
  </w:style>
  <w:style w:type="character" w:customStyle="1" w:styleId="20">
    <w:name w:val="Body Text Char"/>
    <w:basedOn w:val="13"/>
    <w:link w:val="6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1">
    <w:name w:val="Footer Char"/>
    <w:basedOn w:val="13"/>
    <w:link w:val="9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2">
    <w:name w:val="Header Char"/>
    <w:basedOn w:val="13"/>
    <w:link w:val="10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3">
    <w:name w:val="页眉 Char"/>
    <w:link w:val="10"/>
    <w:semiHidden/>
    <w:locked/>
    <w:uiPriority w:val="99"/>
    <w:rPr>
      <w:sz w:val="18"/>
    </w:rPr>
  </w:style>
  <w:style w:type="character" w:customStyle="1" w:styleId="24">
    <w:name w:val="页脚 Char"/>
    <w:link w:val="9"/>
    <w:locked/>
    <w:uiPriority w:val="99"/>
    <w:rPr>
      <w:sz w:val="18"/>
    </w:rPr>
  </w:style>
  <w:style w:type="character" w:customStyle="1" w:styleId="25">
    <w:name w:val="正文文本 Char"/>
    <w:link w:val="6"/>
    <w:locked/>
    <w:uiPriority w:val="99"/>
    <w:rPr>
      <w:rFonts w:ascii="仿宋_GB2312" w:hAnsi="Times New Roman" w:eastAsia="仿宋_GB2312"/>
      <w:sz w:val="24"/>
    </w:rPr>
  </w:style>
  <w:style w:type="paragraph" w:customStyle="1" w:styleId="26">
    <w:name w:val="Default"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paragraph" w:customStyle="1" w:styleId="28">
    <w:name w:val="TOC Heading"/>
    <w:basedOn w:val="3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9">
    <w:name w:val="批注框文本 Char"/>
    <w:basedOn w:val="13"/>
    <w:link w:val="8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paragraph" w:customStyle="1" w:styleId="30">
    <w:name w:val="四号正文"/>
    <w:basedOn w:val="1"/>
    <w:qFormat/>
    <w:uiPriority w:val="0"/>
    <w:pPr>
      <w:spacing w:line="360" w:lineRule="auto"/>
    </w:pPr>
    <w:rPr>
      <w:rFonts w:ascii="??" w:hAnsi="??" w:eastAsia="宋体" w:cs="宋体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2017年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收入</c:v>
                </c:pt>
                <c:pt idx="1">
                  <c:v>支出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2018年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收入</c:v>
                </c:pt>
                <c:pt idx="1">
                  <c:v>支出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1.8688</c:v>
                </c:pt>
                <c:pt idx="1">
                  <c:v>1.7689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57130591"/>
        <c:axId val="606278201"/>
      </c:barChart>
      <c:catAx>
        <c:axId val="55713059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06278201"/>
        <c:crosses val="autoZero"/>
        <c:auto val="1"/>
        <c:lblAlgn val="ctr"/>
        <c:lblOffset val="100"/>
        <c:noMultiLvlLbl val="0"/>
      </c:catAx>
      <c:valAx>
        <c:axId val="60627820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57130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一般公共预算财政拨款收入（1607.43万元）</c:v>
                </c:pt>
                <c:pt idx="1">
                  <c:v>政府性基金预算财政拨款收入（2117.24万元）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43.16</c:v>
                </c:pt>
                <c:pt idx="1">
                  <c:v>56.84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列2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一般公共预算财政拨款支出（1601.33万元）</c:v>
                </c:pt>
                <c:pt idx="1">
                  <c:v>政府性基金预算财政拨款支出（2117.24万元）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43.06</c:v>
                </c:pt>
                <c:pt idx="1">
                  <c:v>56.94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1</Pages>
  <Words>1435</Words>
  <Characters>8182</Characters>
  <Lines>68</Lines>
  <Paragraphs>19</Paragraphs>
  <TotalTime>6</TotalTime>
  <ScaleCrop>false</ScaleCrop>
  <LinksUpToDate>false</LinksUpToDate>
  <CharactersWithSpaces>9598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2019-08-01T01:14:00Z</dcterms:created>
  <dc:creator>张彬茜</dc:creator>
  <cp:lastModifiedBy>Administrator</cp:lastModifiedBy>
  <cp:lastPrinted>2019-08-26T11:57:00Z</cp:lastPrinted>
  <dcterms:modified xsi:type="dcterms:W3CDTF">2021-05-21T08:13:52Z</dcterms:modified>
  <dc:title>四川省***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